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May 3, 2021.</w:t>
      </w:r>
    </w:p>
    <w:p>
      <w:pPr>
        <w:spacing w:after="0" w:line="82" w:lineRule="exact"/>
        <w:rPr>
          <w:sz w:val="24"/>
          <w:szCs w:val="24"/>
          <w:color w:val="auto"/>
        </w:rPr>
      </w:pPr>
    </w:p>
    <w:p>
      <w:pPr>
        <w:ind w:left="9220"/>
        <w:spacing w:after="0"/>
        <w:rPr>
          <w:sz w:val="20"/>
          <w:szCs w:val="20"/>
          <w:color w:val="auto"/>
        </w:rPr>
      </w:pPr>
      <w:r>
        <w:rPr>
          <w:rFonts w:ascii="Arial" w:cs="Arial" w:eastAsia="Arial" w:hAnsi="Arial"/>
          <w:sz w:val="14"/>
          <w:szCs w:val="14"/>
          <w:b w:val="1"/>
          <w:bCs w:val="1"/>
          <w:color w:val="auto"/>
        </w:rPr>
        <w:t>Registration No. 333-</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UNITED STATES</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74930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7"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FORM S-1</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REGISTRATION STATEMENT</w:t>
      </w:r>
    </w:p>
    <w:p>
      <w:pPr>
        <w:jc w:val="center"/>
        <w:ind w:right="-119"/>
        <w:spacing w:after="0" w:line="238"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74930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FLYWIRE CORPORATION</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1" w:lineRule="exact"/>
        <w:rPr>
          <w:sz w:val="24"/>
          <w:szCs w:val="24"/>
          <w:color w:val="auto"/>
        </w:rPr>
      </w:pPr>
    </w:p>
    <w:p>
      <w:pPr>
        <w:ind w:left="1660"/>
        <w:spacing w:after="0"/>
        <w:tabs>
          <w:tab w:leader="none" w:pos="5560" w:val="left"/>
          <w:tab w:leader="none" w:pos="89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7372</w:t>
      </w:r>
      <w:r>
        <w:rPr>
          <w:sz w:val="20"/>
          <w:szCs w:val="20"/>
          <w:color w:val="auto"/>
        </w:rPr>
        <w:tab/>
      </w:r>
      <w:r>
        <w:rPr>
          <w:rFonts w:ascii="Arial" w:cs="Arial" w:eastAsia="Arial" w:hAnsi="Arial"/>
          <w:sz w:val="14"/>
          <w:szCs w:val="14"/>
          <w:b w:val="1"/>
          <w:bCs w:val="1"/>
          <w:color w:val="auto"/>
        </w:rPr>
        <w:t>27-0690799</w:t>
      </w:r>
    </w:p>
    <w:p>
      <w:pPr>
        <w:spacing w:after="0" w:line="4" w:lineRule="exact"/>
        <w:rPr>
          <w:sz w:val="24"/>
          <w:szCs w:val="24"/>
          <w:color w:val="auto"/>
        </w:rPr>
      </w:pPr>
    </w:p>
    <w:p>
      <w:pPr>
        <w:ind w:left="1080"/>
        <w:spacing w:after="0"/>
        <w:tabs>
          <w:tab w:leader="none" w:pos="4820" w:val="left"/>
          <w:tab w:leader="none" w:pos="8100" w:val="left"/>
        </w:tabs>
        <w:rPr>
          <w:sz w:val="20"/>
          <w:szCs w:val="20"/>
          <w:color w:val="auto"/>
        </w:rPr>
      </w:pPr>
      <w:r>
        <w:rPr>
          <w:rFonts w:ascii="Arial" w:cs="Arial" w:eastAsia="Arial" w:hAnsi="Arial"/>
          <w:sz w:val="14"/>
          <w:szCs w:val="14"/>
          <w:i w:val="1"/>
          <w:iCs w:val="1"/>
          <w:color w:val="auto"/>
        </w:rPr>
        <w:t>(State or other jurisdiction of</w:t>
      </w:r>
      <w:r>
        <w:rPr>
          <w:sz w:val="20"/>
          <w:szCs w:val="20"/>
          <w:color w:val="auto"/>
        </w:rPr>
        <w:tab/>
      </w:r>
      <w:r>
        <w:rPr>
          <w:rFonts w:ascii="Arial" w:cs="Arial" w:eastAsia="Arial" w:hAnsi="Arial"/>
          <w:sz w:val="14"/>
          <w:szCs w:val="14"/>
          <w:i w:val="1"/>
          <w:iCs w:val="1"/>
          <w:color w:val="auto"/>
        </w:rPr>
        <w:t>(Primary Standard Industrial</w:t>
      </w:r>
      <w:r>
        <w:rPr>
          <w:sz w:val="20"/>
          <w:szCs w:val="20"/>
          <w:color w:val="auto"/>
        </w:rPr>
        <w:tab/>
      </w:r>
      <w:r>
        <w:rPr>
          <w:rFonts w:ascii="Arial" w:cs="Arial" w:eastAsia="Arial" w:hAnsi="Arial"/>
          <w:sz w:val="14"/>
          <w:szCs w:val="14"/>
          <w:i w:val="1"/>
          <w:iCs w:val="1"/>
          <w:color w:val="auto"/>
        </w:rPr>
        <w:t>(I.R.S. Employer Identification Number)</w:t>
      </w:r>
    </w:p>
    <w:p>
      <w:pPr>
        <w:spacing w:after="0" w:line="1" w:lineRule="exact"/>
        <w:rPr>
          <w:sz w:val="24"/>
          <w:szCs w:val="24"/>
          <w:color w:val="auto"/>
        </w:rPr>
      </w:pPr>
    </w:p>
    <w:p>
      <w:pPr>
        <w:ind w:left="1060"/>
        <w:spacing w:after="0"/>
        <w:tabs>
          <w:tab w:leader="none" w:pos="4800" w:val="left"/>
        </w:tabs>
        <w:rPr>
          <w:sz w:val="20"/>
          <w:szCs w:val="20"/>
          <w:color w:val="auto"/>
        </w:rPr>
      </w:pPr>
      <w:r>
        <w:rPr>
          <w:rFonts w:ascii="Arial" w:cs="Arial" w:eastAsia="Arial" w:hAnsi="Arial"/>
          <w:sz w:val="14"/>
          <w:szCs w:val="14"/>
          <w:i w:val="1"/>
          <w:iCs w:val="1"/>
          <w:color w:val="auto"/>
        </w:rPr>
        <w:t>incorporation or organization)</w:t>
      </w:r>
      <w:r>
        <w:rPr>
          <w:sz w:val="20"/>
          <w:szCs w:val="20"/>
          <w:color w:val="auto"/>
        </w:rPr>
        <w:tab/>
      </w:r>
      <w:r>
        <w:rPr>
          <w:rFonts w:ascii="Arial" w:cs="Arial" w:eastAsia="Arial" w:hAnsi="Arial"/>
          <w:sz w:val="14"/>
          <w:szCs w:val="14"/>
          <w:i w:val="1"/>
          <w:iCs w:val="1"/>
          <w:color w:val="auto"/>
        </w:rPr>
        <w:t>Classification Code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74930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141 Tremont St #10</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Boston, MA 02111</w:t>
      </w:r>
    </w:p>
    <w:p>
      <w:pPr>
        <w:jc w:val="center"/>
        <w:ind w:right="-119"/>
        <w:spacing w:after="0" w:line="234" w:lineRule="auto"/>
        <w:rPr>
          <w:sz w:val="20"/>
          <w:szCs w:val="20"/>
          <w:color w:val="auto"/>
        </w:rPr>
      </w:pPr>
      <w:r>
        <w:rPr>
          <w:rFonts w:ascii="Arial" w:cs="Arial" w:eastAsia="Arial" w:hAnsi="Arial"/>
          <w:sz w:val="14"/>
          <w:szCs w:val="14"/>
          <w:b w:val="1"/>
          <w:bCs w:val="1"/>
          <w:color w:val="auto"/>
        </w:rPr>
        <w:t>(617) 329-4524</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76835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Michael Massaro</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Flywire Corporation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141 Tremont St #10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Boston, MA 02111</w:t>
      </w:r>
    </w:p>
    <w:p>
      <w:pPr>
        <w:jc w:val="center"/>
        <w:ind w:right="-119"/>
        <w:spacing w:after="0" w:line="234" w:lineRule="auto"/>
        <w:rPr>
          <w:sz w:val="20"/>
          <w:szCs w:val="20"/>
          <w:color w:val="auto"/>
        </w:rPr>
      </w:pPr>
      <w:r>
        <w:rPr>
          <w:rFonts w:ascii="Arial" w:cs="Arial" w:eastAsia="Arial" w:hAnsi="Arial"/>
          <w:sz w:val="14"/>
          <w:szCs w:val="14"/>
          <w:b w:val="1"/>
          <w:bCs w:val="1"/>
          <w:color w:val="auto"/>
        </w:rPr>
        <w:t>(617) 329-4524</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76835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4" w:lineRule="exact"/>
        <w:rPr>
          <w:sz w:val="24"/>
          <w:szCs w:val="24"/>
          <w:color w:val="auto"/>
        </w:rPr>
      </w:pPr>
    </w:p>
    <w:tbl>
      <w:tblPr>
        <w:tblLayout w:type="fixed"/>
        <w:tblInd w:w="66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3500" w:type="dxa"/>
            <w:vAlign w:val="bottom"/>
          </w:tcPr>
          <w:p>
            <w:pPr>
              <w:ind w:left="1180"/>
              <w:spacing w:after="0"/>
              <w:rPr>
                <w:sz w:val="20"/>
                <w:szCs w:val="20"/>
                <w:color w:val="auto"/>
              </w:rPr>
            </w:pPr>
            <w:r>
              <w:rPr>
                <w:rFonts w:ascii="Arial" w:cs="Arial" w:eastAsia="Arial" w:hAnsi="Arial"/>
                <w:sz w:val="14"/>
                <w:szCs w:val="14"/>
                <w:b w:val="1"/>
                <w:bCs w:val="1"/>
                <w:i w:val="1"/>
                <w:iCs w:val="1"/>
                <w:color w:val="auto"/>
              </w:rPr>
              <w:t>Copies to:</w:t>
            </w:r>
          </w:p>
        </w:tc>
        <w:tc>
          <w:tcPr>
            <w:tcW w:w="2500" w:type="dxa"/>
            <w:vAlign w:val="bottom"/>
          </w:tcPr>
          <w:p>
            <w:pPr>
              <w:spacing w:after="0"/>
              <w:rPr>
                <w:sz w:val="15"/>
                <w:szCs w:val="15"/>
                <w:color w:val="auto"/>
              </w:rPr>
            </w:pPr>
          </w:p>
        </w:tc>
      </w:tr>
      <w:tr>
        <w:trPr>
          <w:trHeight w:val="162"/>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David D. Gammell</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Peter Butterfield</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John J. Egan III</w:t>
            </w:r>
          </w:p>
        </w:tc>
      </w:tr>
      <w:tr>
        <w:trPr>
          <w:trHeight w:val="162"/>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Jeffrey R. Vetter</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General Counsel &amp; Chief</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Joseph C. Theis, Jr.</w:t>
            </w:r>
          </w:p>
        </w:tc>
      </w:tr>
      <w:tr>
        <w:trPr>
          <w:trHeight w:val="162"/>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Jay K. Hachigian</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Compliance Officer</w:t>
            </w:r>
          </w:p>
        </w:tc>
        <w:tc>
          <w:tcPr>
            <w:tcW w:w="2500" w:type="dxa"/>
            <w:vAlign w:val="bottom"/>
          </w:tcPr>
          <w:p>
            <w:pPr>
              <w:jc w:val="center"/>
              <w:ind w:left="988"/>
              <w:spacing w:after="0"/>
              <w:rPr>
                <w:sz w:val="20"/>
                <w:szCs w:val="20"/>
                <w:color w:val="auto"/>
              </w:rPr>
            </w:pPr>
            <w:r>
              <w:rPr>
                <w:rFonts w:ascii="Arial" w:cs="Arial" w:eastAsia="Arial" w:hAnsi="Arial"/>
                <w:sz w:val="14"/>
                <w:szCs w:val="14"/>
                <w:b w:val="1"/>
                <w:bCs w:val="1"/>
                <w:color w:val="auto"/>
              </w:rPr>
              <w:t>Jared J. Fine</w:t>
            </w:r>
          </w:p>
        </w:tc>
      </w:tr>
      <w:tr>
        <w:trPr>
          <w:trHeight w:val="162"/>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Keith J. Scherer</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Flywire Corporation</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Goodwin Procter LLP</w:t>
            </w:r>
          </w:p>
        </w:tc>
      </w:tr>
      <w:tr>
        <w:trPr>
          <w:trHeight w:val="162"/>
        </w:trPr>
        <w:tc>
          <w:tcPr>
            <w:tcW w:w="3440" w:type="dxa"/>
            <w:vAlign w:val="bottom"/>
          </w:tcPr>
          <w:p>
            <w:pPr>
              <w:jc w:val="center"/>
              <w:ind w:right="728"/>
              <w:spacing w:after="0"/>
              <w:rPr>
                <w:sz w:val="20"/>
                <w:szCs w:val="20"/>
                <w:color w:val="auto"/>
              </w:rPr>
            </w:pPr>
            <w:r>
              <w:rPr>
                <w:rFonts w:ascii="Arial" w:cs="Arial" w:eastAsia="Arial" w:hAnsi="Arial"/>
                <w:sz w:val="14"/>
                <w:szCs w:val="14"/>
                <w:b w:val="1"/>
                <w:bCs w:val="1"/>
                <w:color w:val="auto"/>
              </w:rPr>
              <w:t>Gunderson Dettmer Stough Villeneuve</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141 Tremont St #10</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100 Northern Avenue</w:t>
            </w:r>
          </w:p>
        </w:tc>
      </w:tr>
      <w:tr>
        <w:trPr>
          <w:trHeight w:val="162"/>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Franklin &amp; Hachigian, LLP</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Boston, MA 02111</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Boston, MA 02210</w:t>
            </w:r>
          </w:p>
        </w:tc>
      </w:tr>
      <w:tr>
        <w:trPr>
          <w:trHeight w:val="162"/>
        </w:trPr>
        <w:tc>
          <w:tcPr>
            <w:tcW w:w="3440" w:type="dxa"/>
            <w:vAlign w:val="bottom"/>
          </w:tcPr>
          <w:p>
            <w:pPr>
              <w:jc w:val="center"/>
              <w:ind w:right="728"/>
              <w:spacing w:after="0"/>
              <w:rPr>
                <w:sz w:val="20"/>
                <w:szCs w:val="20"/>
                <w:color w:val="auto"/>
              </w:rPr>
            </w:pPr>
            <w:r>
              <w:rPr>
                <w:rFonts w:ascii="Arial" w:cs="Arial" w:eastAsia="Arial" w:hAnsi="Arial"/>
                <w:sz w:val="14"/>
                <w:szCs w:val="14"/>
                <w:b w:val="1"/>
                <w:bCs w:val="1"/>
                <w:color w:val="auto"/>
              </w:rPr>
              <w:t>One Marina Park Drive, Suite 900</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(617) 329-4524</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(617) 570-1000</w:t>
            </w:r>
          </w:p>
        </w:tc>
      </w:tr>
      <w:tr>
        <w:trPr>
          <w:trHeight w:val="162"/>
        </w:trPr>
        <w:tc>
          <w:tcPr>
            <w:tcW w:w="3440" w:type="dxa"/>
            <w:vAlign w:val="bottom"/>
          </w:tcPr>
          <w:p>
            <w:pPr>
              <w:jc w:val="center"/>
              <w:ind w:right="728"/>
              <w:spacing w:after="0"/>
              <w:rPr>
                <w:sz w:val="20"/>
                <w:szCs w:val="20"/>
                <w:color w:val="auto"/>
              </w:rPr>
            </w:pPr>
            <w:r>
              <w:rPr>
                <w:rFonts w:ascii="Arial" w:cs="Arial" w:eastAsia="Arial" w:hAnsi="Arial"/>
                <w:sz w:val="14"/>
                <w:szCs w:val="14"/>
                <w:b w:val="1"/>
                <w:bCs w:val="1"/>
                <w:color w:val="auto"/>
              </w:rPr>
              <w:t>Boston, MA 02210</w:t>
            </w:r>
          </w:p>
        </w:tc>
        <w:tc>
          <w:tcPr>
            <w:tcW w:w="35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90"/>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(617) 648-9100</w:t>
            </w:r>
          </w:p>
        </w:tc>
        <w:tc>
          <w:tcPr>
            <w:tcW w:w="3500" w:type="dxa"/>
            <w:vAlign w:val="bottom"/>
          </w:tcPr>
          <w:p>
            <w:pPr>
              <w:spacing w:after="0"/>
              <w:rPr>
                <w:sz w:val="16"/>
                <w:szCs w:val="16"/>
                <w:color w:val="auto"/>
              </w:rPr>
            </w:pPr>
          </w:p>
        </w:tc>
        <w:tc>
          <w:tcPr>
            <w:tcW w:w="2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76200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1"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33" w:lineRule="exact"/>
        <w:rPr>
          <w:sz w:val="24"/>
          <w:szCs w:val="24"/>
          <w:color w:val="auto"/>
        </w:rPr>
      </w:pPr>
    </w:p>
    <w:p>
      <w:pPr>
        <w:ind w:left="120" w:right="340" w:firstLine="44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or Securities Act, check the following box.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160" w:firstLine="44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ectPr>
          <w:pgSz w:w="11900" w:h="16838" w:orient="portrait"/>
          <w:cols w:equalWidth="0" w:num="1">
            <w:col w:w="11140"/>
          </w:cols>
          <w:pgMar w:left="320" w:top="230" w:right="439" w:bottom="1440" w:gutter="0" w:footer="0" w:header="0"/>
        </w:sectPr>
      </w:pPr>
    </w:p>
    <w:p>
      <w:pPr>
        <w:spacing w:after="0" w:line="1" w:lineRule="exact"/>
        <w:rPr>
          <w:sz w:val="24"/>
          <w:szCs w:val="24"/>
          <w:color w:val="auto"/>
        </w:rPr>
      </w:pPr>
    </w:p>
    <w:p>
      <w:pPr>
        <w:ind w:left="120" w:right="220" w:firstLine="4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220" w:firstLine="4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left="120" w:firstLine="44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1" w:lineRule="exact"/>
        <w:rPr>
          <w:sz w:val="24"/>
          <w:szCs w:val="24"/>
          <w:color w:val="auto"/>
        </w:rPr>
      </w:pPr>
    </w:p>
    <w:p>
      <w:pPr>
        <w:ind w:left="120"/>
        <w:spacing w:after="0" w:line="161" w:lineRule="exact"/>
        <w:tabs>
          <w:tab w:leader="none" w:pos="2100" w:val="left"/>
          <w:tab w:leader="none" w:pos="84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p>
    <w:p>
      <w:pPr>
        <w:spacing w:after="0" w:line="35" w:lineRule="exact"/>
        <w:rPr>
          <w:sz w:val="24"/>
          <w:szCs w:val="24"/>
          <w:color w:val="auto"/>
        </w:rPr>
      </w:pPr>
    </w:p>
    <w:p>
      <w:pPr>
        <w:ind w:left="120"/>
        <w:spacing w:after="0" w:line="161" w:lineRule="exact"/>
        <w:tabs>
          <w:tab w:leader="none" w:pos="2100" w:val="left"/>
          <w:tab w:leader="none" w:pos="84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p>
    <w:p>
      <w:pPr>
        <w:spacing w:after="0" w:line="119" w:lineRule="exact"/>
        <w:rPr>
          <w:sz w:val="24"/>
          <w:szCs w:val="24"/>
          <w:color w:val="auto"/>
        </w:rPr>
      </w:pPr>
    </w:p>
    <w:p>
      <w:pPr>
        <w:ind w:left="850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6" w:lineRule="exact"/>
        <w:rPr>
          <w:sz w:val="24"/>
          <w:szCs w:val="24"/>
          <w:color w:val="auto"/>
        </w:rPr>
      </w:pPr>
    </w:p>
    <w:p>
      <w:pPr>
        <w:sectPr>
          <w:pgSz w:w="11900" w:h="16838" w:orient="portrait"/>
          <w:cols w:equalWidth="0" w:num="2">
            <w:col w:w="10840" w:space="80"/>
            <w:col w:w="220"/>
          </w:cols>
          <w:pgMar w:left="320" w:top="230" w:right="439" w:bottom="1440" w:gutter="0" w:footer="0" w:header="0"/>
          <w:type w:val="continuous"/>
        </w:sectPr>
      </w:pPr>
    </w:p>
    <w:p>
      <w:pPr>
        <w:ind w:left="120" w:right="220" w:firstLine="44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CALCULATION OF REGISTRATION FEE</w:t>
      </w:r>
    </w:p>
    <w:p>
      <w:pPr>
        <w:spacing w:after="0" w:line="75"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080" w:type="dxa"/>
            <w:vAlign w:val="bottom"/>
            <w:tcBorders>
              <w:top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29"/>
        </w:trPr>
        <w:tc>
          <w:tcPr>
            <w:tcW w:w="708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jc w:val="center"/>
              <w:ind w:left="28"/>
              <w:spacing w:after="0" w:line="129" w:lineRule="exact"/>
              <w:rPr>
                <w:sz w:val="20"/>
                <w:szCs w:val="20"/>
                <w:color w:val="auto"/>
              </w:rPr>
            </w:pPr>
            <w:r>
              <w:rPr>
                <w:rFonts w:ascii="Arial" w:cs="Arial" w:eastAsia="Arial" w:hAnsi="Arial"/>
                <w:sz w:val="14"/>
                <w:szCs w:val="14"/>
                <w:b w:val="1"/>
                <w:bCs w:val="1"/>
                <w:color w:val="auto"/>
              </w:rPr>
              <w:t>Proposed maximum</w:t>
            </w:r>
          </w:p>
        </w:tc>
        <w:tc>
          <w:tcPr>
            <w:tcW w:w="1860" w:type="dxa"/>
            <w:vAlign w:val="bottom"/>
          </w:tcPr>
          <w:p>
            <w:pPr>
              <w:spacing w:after="0"/>
              <w:rPr>
                <w:sz w:val="11"/>
                <w:szCs w:val="11"/>
                <w:color w:val="auto"/>
              </w:rPr>
            </w:pPr>
          </w:p>
        </w:tc>
      </w:tr>
      <w:tr>
        <w:trPr>
          <w:trHeight w:val="162"/>
        </w:trPr>
        <w:tc>
          <w:tcPr>
            <w:tcW w:w="7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w:t>
            </w:r>
          </w:p>
        </w:tc>
        <w:tc>
          <w:tcPr>
            <w:tcW w:w="208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aggregate</w:t>
            </w:r>
          </w:p>
        </w:tc>
        <w:tc>
          <w:tcPr>
            <w:tcW w:w="1860" w:type="dxa"/>
            <w:vAlign w:val="bottom"/>
          </w:tcPr>
          <w:p>
            <w:pPr>
              <w:jc w:val="center"/>
              <w:ind w:left="28"/>
              <w:spacing w:after="0"/>
              <w:rPr>
                <w:sz w:val="20"/>
                <w:szCs w:val="20"/>
                <w:color w:val="auto"/>
              </w:rPr>
            </w:pPr>
            <w:r>
              <w:rPr>
                <w:rFonts w:ascii="Arial" w:cs="Arial" w:eastAsia="Arial" w:hAnsi="Arial"/>
                <w:sz w:val="14"/>
                <w:szCs w:val="14"/>
                <w:b w:val="1"/>
                <w:bCs w:val="1"/>
                <w:color w:val="auto"/>
              </w:rPr>
              <w:t>Amount of</w:t>
            </w:r>
          </w:p>
        </w:tc>
      </w:tr>
      <w:tr>
        <w:trPr>
          <w:trHeight w:val="189"/>
        </w:trPr>
        <w:tc>
          <w:tcPr>
            <w:tcW w:w="7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20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offering price(1)(2)</w:t>
            </w:r>
          </w:p>
        </w:tc>
        <w:tc>
          <w:tcPr>
            <w:tcW w:w="18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registration fee(3)</w:t>
            </w:r>
          </w:p>
        </w:tc>
      </w:tr>
      <w:tr>
        <w:trPr>
          <w:trHeight w:val="155"/>
        </w:trPr>
        <w:tc>
          <w:tcPr>
            <w:tcW w:w="708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Voting common stock, $0.0001 par value per share</w:t>
            </w:r>
          </w:p>
        </w:tc>
        <w:tc>
          <w:tcPr>
            <w:tcW w:w="2080" w:type="dxa"/>
            <w:vAlign w:val="bottom"/>
            <w:tcBorders>
              <w:bottom w:val="single" w:sz="8" w:color="auto"/>
              <w:right w:val="single" w:sz="8" w:color="auto"/>
            </w:tcBorders>
          </w:tcPr>
          <w:p>
            <w:pPr>
              <w:jc w:val="center"/>
              <w:ind w:left="8"/>
              <w:spacing w:after="0" w:line="155" w:lineRule="exact"/>
              <w:rPr>
                <w:sz w:val="20"/>
                <w:szCs w:val="20"/>
                <w:color w:val="auto"/>
              </w:rPr>
            </w:pPr>
            <w:r>
              <w:rPr>
                <w:rFonts w:ascii="Arial" w:cs="Arial" w:eastAsia="Arial" w:hAnsi="Arial"/>
                <w:sz w:val="14"/>
                <w:szCs w:val="14"/>
                <w:color w:val="auto"/>
              </w:rPr>
              <w:t>$100,000,000</w:t>
            </w:r>
          </w:p>
        </w:tc>
        <w:tc>
          <w:tcPr>
            <w:tcW w:w="1860" w:type="dxa"/>
            <w:vAlign w:val="bottom"/>
            <w:tcBorders>
              <w:bottom w:val="single" w:sz="8" w:color="auto"/>
            </w:tcBorders>
          </w:tcPr>
          <w:p>
            <w:pPr>
              <w:jc w:val="center"/>
              <w:ind w:left="28"/>
              <w:spacing w:after="0" w:line="155" w:lineRule="exact"/>
              <w:rPr>
                <w:sz w:val="20"/>
                <w:szCs w:val="20"/>
                <w:color w:val="auto"/>
              </w:rPr>
            </w:pPr>
            <w:r>
              <w:rPr>
                <w:rFonts w:ascii="Arial" w:cs="Arial" w:eastAsia="Arial" w:hAnsi="Arial"/>
                <w:sz w:val="14"/>
                <w:szCs w:val="14"/>
                <w:color w:val="auto"/>
              </w:rPr>
              <w:t>$10,910</w:t>
            </w: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457(o) under the Securities Act of 1933, as amended.</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any additional shares that the underwriters have the option to purchase.</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11" w:lineRule="exact"/>
        <w:rPr>
          <w:sz w:val="24"/>
          <w:szCs w:val="24"/>
          <w:color w:val="auto"/>
        </w:rPr>
      </w:pPr>
    </w:p>
    <w:p>
      <w:pPr>
        <w:ind w:left="120" w:right="260" w:firstLine="440"/>
        <w:spacing w:after="0" w:line="24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DE1A1E"/>
        </w:rPr>
        <w:t>Subject to Completion. Dated May 3, 2021</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Preliminary Prospectus</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-1270</wp:posOffset>
            </wp:positionV>
            <wp:extent cx="1097280"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Voting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212090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is the initial public offering of shares of voting common stock of Flywire Corporation. We are selling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shares of our voting common</w:t>
      </w:r>
    </w:p>
    <w:p>
      <w:pPr>
        <w:spacing w:after="0" w:line="11" w:lineRule="exact"/>
        <w:rPr>
          <w:sz w:val="20"/>
          <w:szCs w:val="20"/>
          <w:color w:val="auto"/>
        </w:rPr>
      </w:pPr>
    </w:p>
    <w:p>
      <w:pPr>
        <w:sectPr>
          <w:pgSz w:w="11900" w:h="16838" w:orient="portrait"/>
          <w:cols w:equalWidth="0" w:num="2">
            <w:col w:w="7960" w:space="720"/>
            <w:col w:w="246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stock.</w:t>
      </w:r>
    </w:p>
    <w:p>
      <w:pPr>
        <w:sectPr>
          <w:pgSz w:w="11900" w:h="16838" w:orient="portrait"/>
          <w:cols w:equalWidth="0" w:num="1">
            <w:col w:w="11140"/>
          </w:cols>
          <w:pgMar w:left="320" w:top="459" w:right="439" w:bottom="1440" w:gutter="0" w:footer="0" w:header="0"/>
          <w:type w:val="continuous"/>
        </w:sectPr>
      </w:pPr>
    </w:p>
    <w:p>
      <w:pPr>
        <w:spacing w:after="0" w:line="17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Prior to this offering, there has been no public market for our shares of common stock. It is currently estimated that the initial public offering price</w:t>
      </w:r>
    </w:p>
    <w:p>
      <w:pPr>
        <w:spacing w:after="0" w:line="5" w:lineRule="exact"/>
        <w:rPr>
          <w:sz w:val="20"/>
          <w:szCs w:val="20"/>
          <w:color w:val="auto"/>
        </w:rPr>
      </w:pPr>
    </w:p>
    <w:p>
      <w:pPr>
        <w:ind w:left="120"/>
        <w:spacing w:after="0"/>
        <w:tabs>
          <w:tab w:leader="none" w:pos="2780" w:val="left"/>
          <w:tab w:leader="none" w:pos="3920" w:val="left"/>
        </w:tabs>
        <w:rPr>
          <w:sz w:val="20"/>
          <w:szCs w:val="20"/>
          <w:color w:val="auto"/>
        </w:rPr>
      </w:pPr>
      <w:r>
        <w:rPr>
          <w:rFonts w:ascii="Arial" w:cs="Arial" w:eastAsia="Arial" w:hAnsi="Arial"/>
          <w:sz w:val="16"/>
          <w:szCs w:val="16"/>
          <w:color w:val="auto"/>
        </w:rPr>
        <w:t>per share will be between $</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5"/>
          <w:szCs w:val="15"/>
          <w:color w:val="auto"/>
        </w:rPr>
        <w:t>per share.</w:t>
      </w:r>
    </w:p>
    <w:p>
      <w:pPr>
        <w:spacing w:after="0" w:line="194" w:lineRule="exact"/>
        <w:rPr>
          <w:sz w:val="20"/>
          <w:szCs w:val="20"/>
          <w:color w:val="auto"/>
        </w:rPr>
      </w:pPr>
    </w:p>
    <w:p>
      <w:pPr>
        <w:ind w:left="120" w:right="80" w:firstLine="440"/>
        <w:spacing w:after="0" w:line="249" w:lineRule="auto"/>
        <w:rPr>
          <w:sz w:val="20"/>
          <w:szCs w:val="20"/>
          <w:color w:val="auto"/>
        </w:rPr>
      </w:pPr>
      <w:r>
        <w:rPr>
          <w:rFonts w:ascii="Arial" w:cs="Arial" w:eastAsia="Arial" w:hAnsi="Arial"/>
          <w:sz w:val="16"/>
          <w:szCs w:val="16"/>
          <w:color w:val="auto"/>
        </w:rPr>
        <w:t>We have two classes of common stock, voting common stock and non-voting common stock. The rights of the holders of voting common stock and non-voting common stock are identical, except for voting and conversion rights. Each share of voting common stock is entitled to one vote and is not convertible into another class or series of our securities. Non-voting common stock is not entitled to vote, except as required by law, and automatically converts without the payment of additional consideration into voting common stock upon transfer by holders of non-voting common stock in certain circumstances. As such, only holders of voting common stock are entitled to vote on the election of members of our board of directors. Unless otherwise noted or unless the context provides otherwise, all references in this prospectus to our “common stock” refers to our voting common stock.</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applied to list our common stock on The Nasdaq Global Market under the symbol “FLYW.”</w:t>
      </w:r>
    </w:p>
    <w:p>
      <w:pPr>
        <w:spacing w:after="0" w:line="181" w:lineRule="exact"/>
        <w:rPr>
          <w:sz w:val="20"/>
          <w:szCs w:val="20"/>
          <w:color w:val="auto"/>
        </w:rPr>
      </w:pPr>
    </w:p>
    <w:p>
      <w:pPr>
        <w:ind w:left="120" w:right="100" w:firstLine="440"/>
        <w:spacing w:after="0" w:line="260"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and, as such, may elect to comply with certain reduced public company reporting requirements in future reports after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560"/>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See the section titled “</w:t>
      </w:r>
      <w:hyperlink w:anchor="page25">
        <w:r>
          <w:rPr>
            <w:rFonts w:ascii="Arial" w:cs="Arial" w:eastAsia="Arial" w:hAnsi="Arial"/>
            <w:sz w:val="16"/>
            <w:szCs w:val="16"/>
            <w:i w:val="1"/>
            <w:iCs w:val="1"/>
            <w:u w:val="single" w:color="auto"/>
            <w:color w:val="0000EE"/>
          </w:rPr>
          <w:t>Risk Factors</w:t>
        </w:r>
      </w:hyperlink>
      <w:r>
        <w:rPr>
          <w:rFonts w:ascii="Arial" w:cs="Arial" w:eastAsia="Arial" w:hAnsi="Arial"/>
          <w:sz w:val="16"/>
          <w:szCs w:val="16"/>
          <w:i w:val="1"/>
          <w:iCs w:val="1"/>
          <w:color w:val="auto"/>
        </w:rPr>
        <w:t>” beginning on page 17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217805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20" w:right="420" w:firstLine="440"/>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179070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8"/>
              </w:rPr>
              <w:t>Per Share</w:t>
            </w:r>
          </w:p>
        </w:tc>
        <w:tc>
          <w:tcPr>
            <w:tcW w:w="48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8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8880" w:type="dxa"/>
            <w:vAlign w:val="bottom"/>
          </w:tcPr>
          <w:p>
            <w:pPr>
              <w:spacing w:after="0" w:line="202" w:lineRule="exact"/>
              <w:rPr>
                <w:sz w:val="20"/>
                <w:szCs w:val="20"/>
                <w:color w:val="auto"/>
              </w:rPr>
            </w:pPr>
            <w:r>
              <w:rPr>
                <w:rFonts w:ascii="Arial" w:cs="Arial" w:eastAsia="Arial" w:hAnsi="Arial"/>
                <w:sz w:val="18"/>
                <w:szCs w:val="18"/>
                <w:color w:val="auto"/>
              </w:rPr>
              <w:t>Underwriting discount(1)</w:t>
            </w:r>
          </w:p>
        </w:tc>
        <w:tc>
          <w:tcPr>
            <w:tcW w:w="8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w:t>
            </w: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7" w:lineRule="exact"/>
        <w:rPr>
          <w:sz w:val="20"/>
          <w:szCs w:val="20"/>
          <w:color w:val="auto"/>
        </w:rPr>
      </w:pPr>
    </w:p>
    <w:p>
      <w:pPr>
        <w:ind w:left="660" w:right="1080" w:hanging="544"/>
        <w:spacing w:after="0" w:line="260"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See the section titled “Underwriting” beginning on page 179 of this prospectus for additional information regarding total underwriting compensation.</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200" w:type="dxa"/>
            <w:vAlign w:val="bottom"/>
            <w:gridSpan w:val="3"/>
          </w:tcPr>
          <w:p>
            <w:pPr>
              <w:ind w:left="440"/>
              <w:spacing w:after="0"/>
              <w:rPr>
                <w:sz w:val="20"/>
                <w:szCs w:val="20"/>
                <w:color w:val="auto"/>
              </w:rPr>
            </w:pPr>
            <w:r>
              <w:rPr>
                <w:rFonts w:ascii="Arial" w:cs="Arial" w:eastAsia="Arial" w:hAnsi="Arial"/>
                <w:sz w:val="16"/>
                <w:szCs w:val="16"/>
                <w:color w:val="auto"/>
              </w:rPr>
              <w:t>We have granted the underwriters an option to purchase up to an additional</w:t>
            </w:r>
          </w:p>
        </w:tc>
        <w:tc>
          <w:tcPr>
            <w:tcW w:w="4820" w:type="dxa"/>
            <w:vAlign w:val="bottom"/>
            <w:gridSpan w:val="4"/>
          </w:tcPr>
          <w:p>
            <w:pPr>
              <w:ind w:left="360"/>
              <w:spacing w:after="0"/>
              <w:rPr>
                <w:sz w:val="20"/>
                <w:szCs w:val="20"/>
                <w:color w:val="auto"/>
              </w:rPr>
            </w:pPr>
            <w:r>
              <w:rPr>
                <w:rFonts w:ascii="Arial" w:cs="Arial" w:eastAsia="Arial" w:hAnsi="Arial"/>
                <w:sz w:val="16"/>
                <w:szCs w:val="16"/>
                <w:color w:val="auto"/>
              </w:rPr>
              <w:t>shares of common stock from us within 30 days from the date</w:t>
            </w:r>
          </w:p>
        </w:tc>
      </w:tr>
      <w:tr>
        <w:trPr>
          <w:trHeight w:val="195"/>
        </w:trPr>
        <w:tc>
          <w:tcPr>
            <w:tcW w:w="6200" w:type="dxa"/>
            <w:vAlign w:val="bottom"/>
            <w:gridSpan w:val="3"/>
          </w:tcPr>
          <w:p>
            <w:pPr>
              <w:spacing w:after="0"/>
              <w:rPr>
                <w:sz w:val="20"/>
                <w:szCs w:val="20"/>
                <w:color w:val="auto"/>
              </w:rPr>
            </w:pPr>
            <w:r>
              <w:rPr>
                <w:rFonts w:ascii="Arial" w:cs="Arial" w:eastAsia="Arial" w:hAnsi="Arial"/>
                <w:sz w:val="16"/>
                <w:szCs w:val="16"/>
                <w:color w:val="auto"/>
              </w:rPr>
              <w:t>of this prospectus, at the initial public offering price, less the underwriting discount.</w:t>
            </w: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365"/>
        </w:trPr>
        <w:tc>
          <w:tcPr>
            <w:tcW w:w="7860" w:type="dxa"/>
            <w:vAlign w:val="bottom"/>
            <w:gridSpan w:val="5"/>
          </w:tcPr>
          <w:p>
            <w:pPr>
              <w:ind w:left="440"/>
              <w:spacing w:after="0"/>
              <w:rPr>
                <w:sz w:val="20"/>
                <w:szCs w:val="20"/>
                <w:color w:val="auto"/>
              </w:rPr>
            </w:pPr>
            <w:r>
              <w:rPr>
                <w:rFonts w:ascii="Arial" w:cs="Arial" w:eastAsia="Arial" w:hAnsi="Arial"/>
                <w:sz w:val="16"/>
                <w:szCs w:val="16"/>
                <w:color w:val="auto"/>
              </w:rPr>
              <w:t>The underwriters expect to deliver the shares against payment in New York, New York, on or about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 2021.</w:t>
            </w:r>
          </w:p>
        </w:tc>
        <w:tc>
          <w:tcPr>
            <w:tcW w:w="2080" w:type="dxa"/>
            <w:vAlign w:val="bottom"/>
          </w:tcPr>
          <w:p>
            <w:pPr>
              <w:spacing w:after="0"/>
              <w:rPr>
                <w:sz w:val="24"/>
                <w:szCs w:val="24"/>
                <w:color w:val="auto"/>
              </w:rPr>
            </w:pPr>
          </w:p>
        </w:tc>
      </w:tr>
      <w:tr>
        <w:trPr>
          <w:trHeight w:val="514"/>
        </w:trPr>
        <w:tc>
          <w:tcPr>
            <w:tcW w:w="3740" w:type="dxa"/>
            <w:vAlign w:val="bottom"/>
          </w:tcPr>
          <w:p>
            <w:pPr>
              <w:spacing w:after="0"/>
              <w:rPr>
                <w:sz w:val="20"/>
                <w:szCs w:val="20"/>
                <w:color w:val="auto"/>
              </w:rPr>
            </w:pPr>
            <w:r>
              <w:rPr>
                <w:rFonts w:ascii="Arial" w:cs="Arial" w:eastAsia="Arial" w:hAnsi="Arial"/>
                <w:sz w:val="25"/>
                <w:szCs w:val="25"/>
                <w:b w:val="1"/>
                <w:bCs w:val="1"/>
                <w:color w:val="auto"/>
              </w:rPr>
              <w:t>Goldman Sachs &amp; Co. LLC</w:t>
            </w:r>
          </w:p>
        </w:tc>
        <w:tc>
          <w:tcPr>
            <w:tcW w:w="600" w:type="dxa"/>
            <w:vAlign w:val="bottom"/>
          </w:tcPr>
          <w:p>
            <w:pPr>
              <w:spacing w:after="0"/>
              <w:rPr>
                <w:sz w:val="24"/>
                <w:szCs w:val="24"/>
                <w:color w:val="auto"/>
              </w:rPr>
            </w:pPr>
          </w:p>
        </w:tc>
        <w:tc>
          <w:tcPr>
            <w:tcW w:w="1860" w:type="dxa"/>
            <w:vAlign w:val="bottom"/>
          </w:tcPr>
          <w:p>
            <w:pPr>
              <w:ind w:left="400"/>
              <w:spacing w:after="0"/>
              <w:rPr>
                <w:sz w:val="20"/>
                <w:szCs w:val="20"/>
                <w:color w:val="auto"/>
              </w:rPr>
            </w:pPr>
            <w:r>
              <w:rPr>
                <w:rFonts w:ascii="Arial" w:cs="Arial" w:eastAsia="Arial" w:hAnsi="Arial"/>
                <w:sz w:val="25"/>
                <w:szCs w:val="25"/>
                <w:b w:val="1"/>
                <w:bCs w:val="1"/>
                <w:color w:val="auto"/>
              </w:rPr>
              <w:t>J.P. Morgan</w:t>
            </w:r>
          </w:p>
        </w:tc>
        <w:tc>
          <w:tcPr>
            <w:tcW w:w="460" w:type="dxa"/>
            <w:vAlign w:val="bottom"/>
          </w:tcPr>
          <w:p>
            <w:pPr>
              <w:spacing w:after="0"/>
              <w:rPr>
                <w:sz w:val="24"/>
                <w:szCs w:val="24"/>
                <w:color w:val="auto"/>
              </w:rPr>
            </w:pPr>
          </w:p>
        </w:tc>
        <w:tc>
          <w:tcPr>
            <w:tcW w:w="2280" w:type="dxa"/>
            <w:vAlign w:val="bottom"/>
            <w:gridSpan w:val="2"/>
          </w:tcPr>
          <w:p>
            <w:pPr>
              <w:jc w:val="right"/>
              <w:ind w:right="579"/>
              <w:spacing w:after="0"/>
              <w:rPr>
                <w:sz w:val="20"/>
                <w:szCs w:val="20"/>
                <w:color w:val="auto"/>
              </w:rPr>
            </w:pPr>
            <w:r>
              <w:rPr>
                <w:rFonts w:ascii="Arial" w:cs="Arial" w:eastAsia="Arial" w:hAnsi="Arial"/>
                <w:sz w:val="25"/>
                <w:szCs w:val="25"/>
                <w:b w:val="1"/>
                <w:bCs w:val="1"/>
                <w:color w:val="auto"/>
              </w:rPr>
              <w:t>Citigroup</w:t>
            </w:r>
          </w:p>
        </w:tc>
        <w:tc>
          <w:tcPr>
            <w:tcW w:w="2080" w:type="dxa"/>
            <w:vAlign w:val="bottom"/>
          </w:tcPr>
          <w:p>
            <w:pPr>
              <w:ind w:left="200"/>
              <w:spacing w:after="0"/>
              <w:rPr>
                <w:sz w:val="20"/>
                <w:szCs w:val="20"/>
                <w:color w:val="auto"/>
              </w:rPr>
            </w:pPr>
            <w:r>
              <w:rPr>
                <w:rFonts w:ascii="Arial" w:cs="Arial" w:eastAsia="Arial" w:hAnsi="Arial"/>
                <w:sz w:val="25"/>
                <w:szCs w:val="25"/>
                <w:b w:val="1"/>
                <w:bCs w:val="1"/>
                <w:color w:val="auto"/>
                <w:w w:val="99"/>
              </w:rPr>
              <w:t>BofA Securities</w:t>
            </w:r>
          </w:p>
        </w:tc>
      </w:tr>
      <w:tr>
        <w:trPr>
          <w:trHeight w:val="315"/>
        </w:trPr>
        <w:tc>
          <w:tcPr>
            <w:tcW w:w="3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79"/>
        </w:trPr>
        <w:tc>
          <w:tcPr>
            <w:tcW w:w="3740" w:type="dxa"/>
            <w:vAlign w:val="bottom"/>
          </w:tcPr>
          <w:p>
            <w:pPr>
              <w:spacing w:after="0"/>
              <w:rPr>
                <w:sz w:val="24"/>
                <w:szCs w:val="24"/>
                <w:color w:val="auto"/>
              </w:rPr>
            </w:pPr>
          </w:p>
        </w:tc>
        <w:tc>
          <w:tcPr>
            <w:tcW w:w="2460" w:type="dxa"/>
            <w:vAlign w:val="bottom"/>
            <w:gridSpan w:val="2"/>
          </w:tcPr>
          <w:p>
            <w:pPr>
              <w:ind w:left="540"/>
              <w:spacing w:after="0"/>
              <w:rPr>
                <w:sz w:val="20"/>
                <w:szCs w:val="20"/>
                <w:color w:val="auto"/>
              </w:rPr>
            </w:pPr>
            <w:r>
              <w:rPr>
                <w:rFonts w:ascii="Arial" w:cs="Arial" w:eastAsia="Arial" w:hAnsi="Arial"/>
                <w:sz w:val="16"/>
                <w:szCs w:val="16"/>
                <w:color w:val="auto"/>
              </w:rPr>
              <w:t>Prospectus dated</w:t>
            </w:r>
          </w:p>
        </w:tc>
        <w:tc>
          <w:tcPr>
            <w:tcW w:w="1660" w:type="dxa"/>
            <w:vAlign w:val="bottom"/>
            <w:gridSpan w:val="2"/>
          </w:tcPr>
          <w:p>
            <w:pPr>
              <w:jc w:val="right"/>
              <w:ind w:right="1014"/>
              <w:spacing w:after="0"/>
              <w:rPr>
                <w:sz w:val="20"/>
                <w:szCs w:val="20"/>
                <w:color w:val="auto"/>
              </w:rPr>
            </w:pPr>
            <w:r>
              <w:rPr>
                <w:rFonts w:ascii="Arial" w:cs="Arial" w:eastAsia="Arial" w:hAnsi="Arial"/>
                <w:sz w:val="16"/>
                <w:szCs w:val="16"/>
                <w:color w:val="auto"/>
              </w:rPr>
              <w:t>, 2021</w:t>
            </w:r>
          </w:p>
        </w:tc>
        <w:tc>
          <w:tcPr>
            <w:tcW w:w="108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220345</wp:posOffset>
            </wp:positionV>
            <wp:extent cx="5648960" cy="7715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77152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220345</wp:posOffset>
            </wp:positionV>
            <wp:extent cx="5648960" cy="7715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77152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220345</wp:posOffset>
            </wp:positionV>
            <wp:extent cx="5915025" cy="7715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15025" cy="77152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220345</wp:posOffset>
            </wp:positionV>
            <wp:extent cx="6574790" cy="8572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74790" cy="85725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220345</wp:posOffset>
            </wp:positionV>
            <wp:extent cx="6574790" cy="8572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74790" cy="85725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0640" w:type="dxa"/>
            <w:vAlign w:val="bottom"/>
            <w:gridSpan w:val="21"/>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Table of Contents</w:t>
              </w:r>
            </w:hyperlink>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60" w:type="dxa"/>
            <w:vAlign w:val="bottom"/>
            <w:gridSpan w:val="3"/>
          </w:tcPr>
          <w:p>
            <w:pPr>
              <w:ind w:left="28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720" w:type="dxa"/>
            <w:vAlign w:val="bottom"/>
            <w:gridSpan w:val="8"/>
            <w:vMerge w:val="restart"/>
          </w:tcPr>
          <w:p>
            <w:pPr>
              <w:spacing w:after="0"/>
              <w:rPr>
                <w:rFonts w:ascii="Arial" w:cs="Arial" w:eastAsia="Arial" w:hAnsi="Arial"/>
                <w:sz w:val="18"/>
                <w:szCs w:val="18"/>
                <w:color w:val="0000EE"/>
                <w:w w:val="98"/>
              </w:rPr>
            </w:pPr>
            <w:hyperlink w:anchor="page9">
              <w:r>
                <w:rPr>
                  <w:rFonts w:ascii="Arial" w:cs="Arial" w:eastAsia="Arial" w:hAnsi="Arial"/>
                  <w:sz w:val="18"/>
                  <w:szCs w:val="18"/>
                  <w:color w:val="0000EE"/>
                  <w:w w:val="98"/>
                </w:rPr>
                <w:t>Prospectus Summary</w:t>
              </w:r>
            </w:hyperlink>
          </w:p>
        </w:tc>
        <w:tc>
          <w:tcPr>
            <w:tcW w:w="8800" w:type="dxa"/>
            <w:vAlign w:val="bottom"/>
            <w:gridSpan w:val="12"/>
            <w:vMerge w:val="restart"/>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1720" w:type="dxa"/>
            <w:vAlign w:val="bottom"/>
            <w:tcBorders>
              <w:bottom w:val="single" w:sz="8" w:color="0000EE"/>
            </w:tcBorders>
            <w:gridSpan w:val="8"/>
            <w:vMerge w:val="continue"/>
          </w:tcPr>
          <w:p>
            <w:pPr>
              <w:spacing w:after="0"/>
              <w:rPr>
                <w:sz w:val="13"/>
                <w:szCs w:val="13"/>
                <w:color w:val="auto"/>
              </w:rPr>
            </w:pPr>
          </w:p>
        </w:tc>
        <w:tc>
          <w:tcPr>
            <w:tcW w:w="8800" w:type="dxa"/>
            <w:vAlign w:val="bottom"/>
            <w:gridSpan w:val="12"/>
            <w:vMerge w:val="continue"/>
          </w:tcPr>
          <w:p>
            <w:pPr>
              <w:spacing w:after="0"/>
              <w:rPr>
                <w:sz w:val="13"/>
                <w:szCs w:val="13"/>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Risk Factors</w:t>
              </w:r>
            </w:hyperlink>
          </w:p>
        </w:tc>
        <w:tc>
          <w:tcPr>
            <w:tcW w:w="9520" w:type="dxa"/>
            <w:vAlign w:val="bottom"/>
            <w:gridSpan w:val="17"/>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26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74">
              <w:r>
                <w:rPr>
                  <w:rFonts w:ascii="Arial" w:cs="Arial" w:eastAsia="Arial" w:hAnsi="Arial"/>
                  <w:sz w:val="18"/>
                  <w:szCs w:val="18"/>
                  <w:color w:val="0000EE"/>
                  <w:w w:val="99"/>
                </w:rPr>
                <w:t>Special Note Regarding Forward-Looking Statements</w:t>
              </w:r>
            </w:hyperlink>
          </w:p>
        </w:tc>
        <w:tc>
          <w:tcPr>
            <w:tcW w:w="6260" w:type="dxa"/>
            <w:vAlign w:val="bottom"/>
            <w:gridSpan w:val="3"/>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020" w:type="dxa"/>
            <w:vAlign w:val="bottom"/>
            <w:tcBorders>
              <w:bottom w:val="single" w:sz="8" w:color="0000EE"/>
            </w:tcBorders>
            <w:gridSpan w:val="11"/>
          </w:tcPr>
          <w:p>
            <w:pPr>
              <w:spacing w:after="0" w:line="182" w:lineRule="exact"/>
              <w:rPr>
                <w:rFonts w:ascii="Arial" w:cs="Arial" w:eastAsia="Arial" w:hAnsi="Arial"/>
                <w:sz w:val="18"/>
                <w:szCs w:val="18"/>
                <w:color w:val="0000EE"/>
                <w:w w:val="98"/>
              </w:rPr>
            </w:pPr>
            <w:hyperlink w:anchor="page76">
              <w:r>
                <w:rPr>
                  <w:rFonts w:ascii="Arial" w:cs="Arial" w:eastAsia="Arial" w:hAnsi="Arial"/>
                  <w:sz w:val="18"/>
                  <w:szCs w:val="18"/>
                  <w:color w:val="0000EE"/>
                  <w:w w:val="98"/>
                </w:rPr>
                <w:t>Industry and Market Data</w:t>
              </w:r>
            </w:hyperlink>
          </w:p>
        </w:tc>
        <w:tc>
          <w:tcPr>
            <w:tcW w:w="8500" w:type="dxa"/>
            <w:vAlign w:val="bottom"/>
            <w:gridSpan w:val="9"/>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Use of Proceeds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32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Dividend Policy</w:t>
              </w:r>
            </w:hyperlink>
          </w:p>
        </w:tc>
        <w:tc>
          <w:tcPr>
            <w:tcW w:w="9200" w:type="dxa"/>
            <w:vAlign w:val="bottom"/>
            <w:gridSpan w:val="13"/>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79">
              <w:r>
                <w:rPr>
                  <w:rFonts w:ascii="Arial" w:cs="Arial" w:eastAsia="Arial" w:hAnsi="Arial"/>
                  <w:sz w:val="18"/>
                  <w:szCs w:val="18"/>
                  <w:color w:val="0000EE"/>
                  <w:w w:val="98"/>
                </w:rPr>
                <w:t>Capitalization</w:t>
              </w:r>
            </w:hyperlink>
          </w:p>
        </w:tc>
        <w:tc>
          <w:tcPr>
            <w:tcW w:w="140" w:type="dxa"/>
            <w:vAlign w:val="bottom"/>
            <w:tcBorders>
              <w:top w:val="single" w:sz="8" w:color="0000EE"/>
            </w:tcBorders>
          </w:tcPr>
          <w:p>
            <w:pPr>
              <w:spacing w:after="0"/>
              <w:rPr>
                <w:sz w:val="15"/>
                <w:szCs w:val="15"/>
                <w:color w:val="auto"/>
              </w:rPr>
            </w:pPr>
          </w:p>
        </w:tc>
        <w:tc>
          <w:tcPr>
            <w:tcW w:w="9300" w:type="dxa"/>
            <w:vAlign w:val="bottom"/>
            <w:gridSpan w:val="15"/>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0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Dilution</w:t>
              </w:r>
            </w:hyperlink>
          </w:p>
        </w:tc>
        <w:tc>
          <w:tcPr>
            <w:tcW w:w="9920" w:type="dxa"/>
            <w:vAlign w:val="bottom"/>
            <w:gridSpan w:val="19"/>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0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84">
              <w:r>
                <w:rPr>
                  <w:rFonts w:ascii="Arial" w:cs="Arial" w:eastAsia="Arial" w:hAnsi="Arial"/>
                  <w:sz w:val="18"/>
                  <w:szCs w:val="18"/>
                  <w:color w:val="0000EE"/>
                  <w:w w:val="99"/>
                </w:rPr>
                <w:t>Selected Consolidated Financial Data</w:t>
              </w:r>
            </w:hyperlink>
          </w:p>
        </w:tc>
        <w:tc>
          <w:tcPr>
            <w:tcW w:w="7520" w:type="dxa"/>
            <w:vAlign w:val="bottom"/>
            <w:gridSpan w:val="6"/>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08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87">
              <w:r>
                <w:rPr>
                  <w:rFonts w:ascii="Arial" w:cs="Arial" w:eastAsia="Arial" w:hAnsi="Arial"/>
                  <w:sz w:val="18"/>
                  <w:szCs w:val="18"/>
                  <w:color w:val="0000EE"/>
                  <w:w w:val="99"/>
                </w:rPr>
                <w:t>Management’s Discussion and Analysis of Financial Condition and Results of Operations</w:t>
              </w:r>
            </w:hyperlink>
          </w:p>
        </w:tc>
        <w:tc>
          <w:tcPr>
            <w:tcW w:w="3440" w:type="dxa"/>
            <w:vAlign w:val="bottom"/>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17">
              <w:r>
                <w:rPr>
                  <w:rFonts w:ascii="Arial" w:cs="Arial" w:eastAsia="Arial" w:hAnsi="Arial"/>
                  <w:sz w:val="18"/>
                  <w:szCs w:val="18"/>
                  <w:color w:val="0000EE"/>
                </w:rPr>
                <w:t>Business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48">
              <w:r>
                <w:rPr>
                  <w:rFonts w:ascii="Arial" w:cs="Arial" w:eastAsia="Arial" w:hAnsi="Arial"/>
                  <w:sz w:val="18"/>
                  <w:szCs w:val="18"/>
                  <w:color w:val="0000EE"/>
                </w:rPr>
                <w:t>Management</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55">
              <w:r>
                <w:rPr>
                  <w:rFonts w:ascii="Arial" w:cs="Arial" w:eastAsia="Arial" w:hAnsi="Arial"/>
                  <w:sz w:val="18"/>
                  <w:szCs w:val="18"/>
                  <w:color w:val="0000EE"/>
                </w:rPr>
                <w:t>Executive Compensation</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69">
              <w:r>
                <w:rPr>
                  <w:rFonts w:ascii="Arial" w:cs="Arial" w:eastAsia="Arial" w:hAnsi="Arial"/>
                  <w:sz w:val="18"/>
                  <w:szCs w:val="18"/>
                  <w:color w:val="0000EE"/>
                </w:rPr>
                <w:t>Certain Relationships and Related Party Transactions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78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8"/>
              </w:rPr>
            </w:pPr>
            <w:hyperlink w:anchor="page172">
              <w:r>
                <w:rPr>
                  <w:rFonts w:ascii="Arial" w:cs="Arial" w:eastAsia="Arial" w:hAnsi="Arial"/>
                  <w:sz w:val="18"/>
                  <w:szCs w:val="18"/>
                  <w:color w:val="0000EE"/>
                  <w:w w:val="98"/>
                </w:rPr>
                <w:t>Principal Stockholders</w:t>
              </w:r>
            </w:hyperlink>
          </w:p>
        </w:tc>
        <w:tc>
          <w:tcPr>
            <w:tcW w:w="2480" w:type="dxa"/>
            <w:vAlign w:val="bottom"/>
            <w:tcBorders>
              <w:top w:val="single" w:sz="8" w:color="0000EE"/>
            </w:tcBorders>
            <w:gridSpan w:val="8"/>
          </w:tcPr>
          <w:p>
            <w:pPr>
              <w:spacing w:after="0"/>
              <w:rPr>
                <w:sz w:val="15"/>
                <w:szCs w:val="15"/>
                <w:color w:val="auto"/>
              </w:rPr>
            </w:pPr>
          </w:p>
        </w:tc>
        <w:tc>
          <w:tcPr>
            <w:tcW w:w="6260" w:type="dxa"/>
            <w:vAlign w:val="bottom"/>
            <w:gridSpan w:val="3"/>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74">
              <w:r>
                <w:rPr>
                  <w:rFonts w:ascii="Arial" w:cs="Arial" w:eastAsia="Arial" w:hAnsi="Arial"/>
                  <w:sz w:val="18"/>
                  <w:szCs w:val="18"/>
                  <w:color w:val="0000EE"/>
                </w:rPr>
                <w:t>Description of Capital Stock</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24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80">
              <w:r>
                <w:rPr>
                  <w:rFonts w:ascii="Arial" w:cs="Arial" w:eastAsia="Arial" w:hAnsi="Arial"/>
                  <w:sz w:val="18"/>
                  <w:szCs w:val="18"/>
                  <w:color w:val="0000EE"/>
                  <w:w w:val="99"/>
                </w:rPr>
                <w:t>Shares Eligible for Future Sale</w:t>
              </w:r>
            </w:hyperlink>
          </w:p>
        </w:tc>
        <w:tc>
          <w:tcPr>
            <w:tcW w:w="8080" w:type="dxa"/>
            <w:vAlign w:val="bottom"/>
            <w:gridSpan w:val="7"/>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83">
              <w:r>
                <w:rPr>
                  <w:rFonts w:ascii="Arial" w:cs="Arial" w:eastAsia="Arial" w:hAnsi="Arial"/>
                  <w:sz w:val="18"/>
                  <w:szCs w:val="18"/>
                  <w:color w:val="0000EE"/>
                </w:rPr>
                <w:t>Material U.S. Federal Tax Consequences to Non-U.S. Holders of Our Common Stock</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7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87">
              <w:r>
                <w:rPr>
                  <w:rFonts w:ascii="Arial" w:cs="Arial" w:eastAsia="Arial" w:hAnsi="Arial"/>
                  <w:sz w:val="18"/>
                  <w:szCs w:val="18"/>
                  <w:color w:val="0000EE"/>
                </w:rPr>
                <w:t>Underwriting</w:t>
              </w:r>
            </w:hyperlink>
          </w:p>
        </w:tc>
        <w:tc>
          <w:tcPr>
            <w:tcW w:w="3760" w:type="dxa"/>
            <w:vAlign w:val="bottom"/>
            <w:gridSpan w:val="2"/>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92">
              <w:r>
                <w:rPr>
                  <w:rFonts w:ascii="Arial" w:cs="Arial" w:eastAsia="Arial" w:hAnsi="Arial"/>
                  <w:sz w:val="18"/>
                  <w:szCs w:val="18"/>
                  <w:color w:val="0000EE"/>
                </w:rPr>
                <w:t>Legal Matters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192">
              <w:r>
                <w:rPr>
                  <w:rFonts w:ascii="Arial" w:cs="Arial" w:eastAsia="Arial" w:hAnsi="Arial"/>
                  <w:sz w:val="18"/>
                  <w:szCs w:val="18"/>
                  <w:color w:val="0000EE"/>
                </w:rPr>
                <w:t>Experts</w:t>
              </w:r>
            </w:hyperlink>
          </w:p>
        </w:tc>
        <w:tc>
          <w:tcPr>
            <w:tcW w:w="9440" w:type="dxa"/>
            <w:vAlign w:val="bottom"/>
            <w:gridSpan w:val="16"/>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60" w:type="dxa"/>
            <w:vAlign w:val="bottom"/>
            <w:gridSpan w:val="1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92">
              <w:r>
                <w:rPr>
                  <w:rFonts w:ascii="Arial" w:cs="Arial" w:eastAsia="Arial" w:hAnsi="Arial"/>
                  <w:sz w:val="18"/>
                  <w:szCs w:val="18"/>
                  <w:color w:val="0000EE"/>
                </w:rPr>
                <w:t>Where You Can Find More Information</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60" w:type="dxa"/>
            <w:vAlign w:val="bottom"/>
            <w:gridSpan w:val="1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93">
              <w:r>
                <w:rPr>
                  <w:rFonts w:ascii="Arial" w:cs="Arial" w:eastAsia="Arial" w:hAnsi="Arial"/>
                  <w:sz w:val="18"/>
                  <w:szCs w:val="18"/>
                  <w:color w:val="0000EE"/>
                </w:rPr>
                <w:t>Index to Consolidated Financial Statements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160" w:firstLine="440"/>
        <w:spacing w:after="0" w:line="247" w:lineRule="auto"/>
        <w:rPr>
          <w:sz w:val="20"/>
          <w:szCs w:val="20"/>
          <w:color w:val="auto"/>
        </w:rPr>
      </w:pPr>
      <w:r>
        <w:rPr>
          <w:rFonts w:ascii="Arial" w:cs="Arial" w:eastAsia="Arial" w:hAnsi="Arial"/>
          <w:sz w:val="18"/>
          <w:szCs w:val="18"/>
          <w:b w:val="1"/>
          <w:bCs w:val="1"/>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5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accurate only as of its date, regardless of the time of delivery of this prospectus or of any sale of our common stock.</w:t>
      </w:r>
    </w:p>
    <w:p>
      <w:pPr>
        <w:spacing w:after="0" w:line="146"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i w:val="1"/>
          <w:iCs w:val="1"/>
          <w:color w:val="auto"/>
        </w:rPr>
        <w:t>For investors outside the United States</w:t>
      </w:r>
      <w:r>
        <w:rPr>
          <w:rFonts w:ascii="Arial" w:cs="Arial" w:eastAsia="Arial" w:hAnsi="Arial"/>
          <w:sz w:val="18"/>
          <w:szCs w:val="18"/>
          <w:color w:val="auto"/>
        </w:rPr>
        <w:t>: Neither we nor any of the underwriters have done anything that would permit this offering or</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w:t>
      </w:r>
    </w:p>
    <w:p>
      <w:pPr>
        <w:sectPr>
          <w:pgSz w:w="11900" w:h="16838" w:orient="portrait"/>
          <w:cols w:equalWidth="0" w:num="1">
            <w:col w:w="11080"/>
          </w:cols>
          <w:pgMar w:left="320" w:top="446"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44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6445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left="300" w:right="20" w:firstLine="426"/>
        <w:spacing w:after="0" w:line="239" w:lineRule="auto"/>
        <w:rPr>
          <w:sz w:val="20"/>
          <w:szCs w:val="20"/>
          <w:color w:val="auto"/>
        </w:rPr>
      </w:pPr>
      <w:r>
        <w:rPr>
          <w:rFonts w:ascii="Arial" w:cs="Arial" w:eastAsia="Arial" w:hAnsi="Arial"/>
          <w:sz w:val="18"/>
          <w:szCs w:val="18"/>
          <w:i w:val="1"/>
          <w:iCs w:val="1"/>
          <w:color w:val="auto"/>
        </w:rPr>
        <w:t>This summary highlights selected information presented in greater detail elsewhere in this prospectus. This summary does not contain all the information you should consider before investing in our common stock. You should carefully read this prospectus in its entirety before investing in our common stock, including the sections titled “Risk Factors,” “Management’s Discussion and Analysis of Financial Condition and Results of Operations,” and “Special Note Regarding Forward-Looking Statements,” and our consolidated financial statements and the accompanying notes included elsewhere in this prospectus. Our fiscal year end is December 31, and our fiscal quarters end on March 31, June 30, September 30, and December 31. Unless the context otherwise requires, we use the terms “Flywire,” the “Company,” “we,” “us,” “our” and similar designations in this prospectus to refer to Flywire Corporation and its subsidiaries and references to “Simplee” refer to Simplificare, Inc., its indirect wholly-owned subsidiary.</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193" w:lineRule="exact"/>
        <w:rPr>
          <w:sz w:val="20"/>
          <w:szCs w:val="20"/>
          <w:color w:val="auto"/>
        </w:rPr>
      </w:pPr>
    </w:p>
    <w:p>
      <w:pPr>
        <w:ind w:left="300" w:right="60" w:firstLine="426"/>
        <w:spacing w:after="0" w:line="446" w:lineRule="auto"/>
        <w:rPr>
          <w:sz w:val="20"/>
          <w:szCs w:val="20"/>
          <w:color w:val="auto"/>
        </w:rPr>
      </w:pPr>
      <w:r>
        <w:rPr>
          <w:rFonts w:ascii="Arial" w:cs="Arial" w:eastAsia="Arial" w:hAnsi="Arial"/>
          <w:sz w:val="18"/>
          <w:szCs w:val="18"/>
          <w:color w:val="auto"/>
        </w:rPr>
        <w:t xml:space="preserve">Our mission is to deliver the most important and complex payments. In an increasingly digital world, getting paid means Flywire. </w:t>
      </w:r>
      <w:r>
        <w:rPr>
          <w:rFonts w:ascii="Arial" w:cs="Arial" w:eastAsia="Arial" w:hAnsi="Arial"/>
          <w:sz w:val="18"/>
          <w:szCs w:val="18"/>
          <w:b w:val="1"/>
          <w:bCs w:val="1"/>
          <w:color w:val="auto"/>
        </w:rPr>
        <w:t>Our Company</w:t>
      </w:r>
    </w:p>
    <w:p>
      <w:pPr>
        <w:ind w:left="300" w:right="120" w:firstLine="426"/>
        <w:spacing w:after="0" w:line="237"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combine tailored invoicing with flexible payment options, and deliver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There have been substantial strides made in payments technology in the retail and e-commerce industries; however, massive</w:t>
      </w:r>
    </w:p>
    <w:p>
      <w:pPr>
        <w:ind w:left="300"/>
        <w:spacing w:after="0" w:line="234" w:lineRule="auto"/>
        <w:rPr>
          <w:sz w:val="20"/>
          <w:szCs w:val="20"/>
          <w:color w:val="auto"/>
        </w:rPr>
      </w:pPr>
      <w:r>
        <w:rPr>
          <w:rFonts w:ascii="Arial" w:cs="Arial" w:eastAsia="Arial" w:hAnsi="Arial"/>
          <w:sz w:val="18"/>
          <w:szCs w:val="18"/>
          <w:color w:val="auto"/>
        </w:rPr>
        <w:t>sectors of our global economy—including education, healthcare, travel, and business-to-business, or B2B, payments—are still in the</w:t>
      </w:r>
    </w:p>
    <w:p>
      <w:pPr>
        <w:ind w:left="300"/>
        <w:spacing w:after="0" w:line="235" w:lineRule="auto"/>
        <w:rPr>
          <w:sz w:val="20"/>
          <w:szCs w:val="20"/>
          <w:color w:val="auto"/>
        </w:rPr>
      </w:pPr>
      <w:r>
        <w:rPr>
          <w:rFonts w:ascii="Arial" w:cs="Arial" w:eastAsia="Arial" w:hAnsi="Arial"/>
          <w:sz w:val="18"/>
          <w:szCs w:val="18"/>
          <w:color w:val="auto"/>
        </w:rPr>
        <w:t>early stages of digital transformation. We estimate the annual addressable volume for these sectors alone to be approximately</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$11.7 trillion, as more fully described below in “Our Market Opportunity”. We believe Flywire is well-positioned to capture a meaningful</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share of this global payment volume given our ability to provide deeply-integrated digital solutions that address both domestic and</w:t>
      </w:r>
    </w:p>
    <w:p>
      <w:pPr>
        <w:ind w:left="300"/>
        <w:spacing w:after="0"/>
        <w:rPr>
          <w:sz w:val="20"/>
          <w:szCs w:val="20"/>
          <w:color w:val="auto"/>
        </w:rPr>
      </w:pPr>
      <w:r>
        <w:rPr>
          <w:rFonts w:ascii="Arial" w:cs="Arial" w:eastAsia="Arial" w:hAnsi="Arial"/>
          <w:sz w:val="18"/>
          <w:szCs w:val="18"/>
          <w:color w:val="auto"/>
        </w:rPr>
        <w:t>cross-border payments.</w:t>
      </w:r>
    </w:p>
    <w:p>
      <w:pPr>
        <w:spacing w:after="0" w:line="171" w:lineRule="exact"/>
        <w:rPr>
          <w:sz w:val="20"/>
          <w:szCs w:val="20"/>
          <w:color w:val="auto"/>
        </w:rPr>
      </w:pPr>
    </w:p>
    <w:p>
      <w:pPr>
        <w:ind w:left="300" w:right="180" w:firstLine="426"/>
        <w:spacing w:after="0" w:line="237" w:lineRule="auto"/>
        <w:rPr>
          <w:sz w:val="20"/>
          <w:szCs w:val="20"/>
          <w:color w:val="auto"/>
        </w:rPr>
      </w:pPr>
      <w:r>
        <w:rPr>
          <w:rFonts w:ascii="Arial" w:cs="Arial" w:eastAsia="Arial" w:hAnsi="Arial"/>
          <w:sz w:val="18"/>
          <w:szCs w:val="18"/>
          <w:color w:val="auto"/>
        </w:rPr>
        <w:t>Our clients, and the types of organizations we serve in education, healthcare, travel, and B2B, require payment processes and experiences that can deliver high-stakes, high-value payments and are specifically tailored to their industry, their business, and their customers. Often, payment solutions have a “one size fits all” approach, without regard for the particular nuances and detailed operations of specific verticals. Without Flywire, organizations often invest substantial resources in building their own payment offerings or rely on disparate legacy systems, which not only fail to meet their or their customers’ needs but also divert meaningful resources away from revenue-generating work. When core payment capabilities like invoicing, diverse payment offerings and reconciliation are inefficient, organizations miss the opportunity to use payments to scale and grow their business.</w:t>
      </w:r>
    </w:p>
    <w:p>
      <w:pPr>
        <w:spacing w:after="0" w:line="162" w:lineRule="exact"/>
        <w:rPr>
          <w:sz w:val="20"/>
          <w:szCs w:val="20"/>
          <w:color w:val="auto"/>
        </w:rPr>
      </w:pPr>
    </w:p>
    <w:p>
      <w:pPr>
        <w:ind w:left="300" w:right="40" w:firstLine="426"/>
        <w:spacing w:after="0" w:line="246" w:lineRule="auto"/>
        <w:rPr>
          <w:sz w:val="20"/>
          <w:szCs w:val="20"/>
          <w:color w:val="auto"/>
        </w:rPr>
      </w:pPr>
      <w:r>
        <w:rPr>
          <w:rFonts w:ascii="Arial" w:cs="Arial" w:eastAsia="Arial" w:hAnsi="Arial"/>
          <w:sz w:val="18"/>
          <w:szCs w:val="18"/>
          <w:color w:val="auto"/>
        </w:rPr>
        <w:t>Flywire was founded to solve these challenges. We aim to power the transformation of our clients’ accounts receivable functions by automating paper and check-based business processes in addition to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8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39889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40"/>
        <w:spacing w:after="0" w:line="238" w:lineRule="auto"/>
        <w:rPr>
          <w:sz w:val="20"/>
          <w:szCs w:val="20"/>
          <w:color w:val="auto"/>
        </w:rPr>
      </w:pPr>
      <w:r>
        <w:rPr>
          <w:rFonts w:ascii="Arial" w:cs="Arial" w:eastAsia="Arial" w:hAnsi="Arial"/>
          <w:sz w:val="18"/>
          <w:szCs w:val="18"/>
          <w:color w:val="auto"/>
        </w:rPr>
        <w:t>creating interactive, digital payment experiences for their customers. As a result, clients who implement our domestic and cross-border payments and software solutions can see improved accounts receivable, higher enrollment in payment plans, and a reduction in customer support inquiries. We help our clients turn their accounts receivable functions into strategic, value-enhancing areas of their organizations.</w:t>
      </w:r>
    </w:p>
    <w:p>
      <w:pPr>
        <w:spacing w:after="0" w:line="164"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sms, chat, email, text or phone) to enhance our clients’ ability to engage with their customers through a digital-first user experience. The result of these investments is our </w:t>
      </w:r>
      <w:r>
        <w:rPr>
          <w:rFonts w:ascii="Arial" w:cs="Arial" w:eastAsia="Arial" w:hAnsi="Arial"/>
          <w:sz w:val="18"/>
          <w:szCs w:val="18"/>
          <w:i w:val="1"/>
          <w:iCs w:val="1"/>
          <w:color w:val="auto"/>
        </w:rPr>
        <w:t>Flywire Advantage</w:t>
      </w:r>
      <w:r>
        <w:rPr>
          <w:rFonts w:ascii="Arial" w:cs="Arial" w:eastAsia="Arial" w:hAnsi="Arial"/>
          <w:sz w:val="18"/>
          <w:szCs w:val="18"/>
          <w:color w:val="auto"/>
        </w:rPr>
        <w:t>.</w:t>
      </w:r>
    </w:p>
    <w:p>
      <w:pPr>
        <w:spacing w:after="0" w:line="160" w:lineRule="exact"/>
        <w:rPr>
          <w:sz w:val="20"/>
          <w:szCs w:val="20"/>
          <w:color w:val="auto"/>
        </w:rPr>
      </w:pPr>
    </w:p>
    <w:p>
      <w:pPr>
        <w:ind w:left="300" w:right="560" w:firstLine="426"/>
        <w:spacing w:after="0" w:line="26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20" w:right="320" w:hanging="195"/>
        <w:spacing w:after="0" w:line="25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Next-Gen Payments Platform</w:t>
      </w:r>
      <w:r>
        <w:rPr>
          <w:rFonts w:ascii="Arial" w:cs="Arial" w:eastAsia="Arial" w:hAnsi="Arial"/>
          <w:sz w:val="18"/>
          <w:szCs w:val="18"/>
          <w:color w:val="auto"/>
        </w:rPr>
        <w:t>. Our platform improves the legacy accounts receivable value chain by facilitating global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flows across multiple currencies, payment types, and payment options. We do not simply collect payments and track money flows. Rather, our clients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61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40" w:right="80"/>
        <w:spacing w:after="0" w:line="237" w:lineRule="auto"/>
        <w:rPr>
          <w:sz w:val="20"/>
          <w:szCs w:val="20"/>
          <w:color w:val="auto"/>
        </w:rPr>
      </w:pPr>
      <w:r>
        <w:rPr>
          <w:rFonts w:ascii="Arial" w:cs="Arial" w:eastAsia="Arial" w:hAnsi="Arial"/>
          <w:sz w:val="18"/>
          <w:szCs w:val="18"/>
          <w:color w:val="auto"/>
        </w:rPr>
        <w:t>integrate our platform into their existing apps and workflows once and have access to a full suite of solutions, including tailored invoicing, settlement and reconciliation tools, single sign-on and checkout, recurring payments, and split payouts. Our platform automates and manages the process from initial invoice delivery through payment settlement and core system reconciliation. In addition, we leverage deep data and analytics to help our clients understand their customers’ historic payment behavior, facilitate transaction matching to optimize costs and offer flexible domestic and international payment plans.</w:t>
      </w:r>
    </w:p>
    <w:p>
      <w:pPr>
        <w:spacing w:after="0" w:line="183" w:lineRule="exact"/>
        <w:rPr>
          <w:sz w:val="20"/>
          <w:szCs w:val="20"/>
          <w:color w:val="auto"/>
        </w:rPr>
      </w:pPr>
    </w:p>
    <w:p>
      <w:pPr>
        <w:ind w:left="1020" w:right="20" w:hanging="19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Proprietary Global Payment Network. </w:t>
      </w:r>
      <w:r>
        <w:rPr>
          <w:rFonts w:ascii="Arial" w:cs="Arial" w:eastAsia="Arial" w:hAnsi="Arial"/>
          <w:sz w:val="18"/>
          <w:szCs w:val="18"/>
          <w:color w:val="auto"/>
        </w:rPr>
        <w:t>At the core of our business is our network of global, regional and local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which we have been strategically expanding for over a decade. With a single connection to Flywire, our clients have access to a unique set of payment methods including banks, third-party payment providers, payment networks and digital wallets—making it possible to accept and settle payments in over 240 countries and territories and in over 130 currencies. Our global payment network also provides direct connections to alternative payment methods such as Alipay, Boleto, PayPal/Venmo, and Trustly. Regardless of the currency on the invoice received, our clients’ customers can pay in their local currency with their preferred payment method. Additionally, our global payment network is optimized for country-specific regulatory and compliance standards which often require vertical-specific functionality and processes to serve our clients and their customers.</w:t>
      </w:r>
    </w:p>
    <w:p>
      <w:pPr>
        <w:spacing w:after="0" w:line="183" w:lineRule="exact"/>
        <w:rPr>
          <w:rFonts w:ascii="Arial" w:cs="Arial" w:eastAsia="Arial" w:hAnsi="Arial"/>
          <w:sz w:val="18"/>
          <w:szCs w:val="18"/>
          <w:color w:val="auto"/>
        </w:rPr>
      </w:pPr>
    </w:p>
    <w:p>
      <w:pPr>
        <w:ind w:left="1020" w:hanging="19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Vertical-Specific Software Backed by Deep Industry Expertise</w:t>
      </w:r>
      <w:r>
        <w:rPr>
          <w:rFonts w:ascii="Arial" w:cs="Arial" w:eastAsia="Arial" w:hAnsi="Arial"/>
          <w:sz w:val="18"/>
          <w:szCs w:val="18"/>
          <w:color w:val="auto"/>
        </w:rPr>
        <w:t>. We go beyond payments by offering seamless</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 of our software within our clients’ existing operating workflows and IT infrastructure. Our team, with decades of industry and domain expertise, designed our cloud-based software to be highly scalable across the types of clients we serve, aiming to solve unique payments and accounts receivable challenges of education, healthcare, travel, and B2B. For example, we have launched over 6,000 client payment portals, each built on our shared payments platform and global payment network but tailored to our clients’ brands and needs. In addition, our software solutions include interactive dashboards to manage payments, reporting tools to streamline reconciliation and customer communication tools to personalize and digitize engagement. This enables us to be a hub of omni-channel connectivity, augmenting the relationship between our clients and their customers.</w:t>
      </w:r>
    </w:p>
    <w:p>
      <w:pPr>
        <w:spacing w:after="0" w:line="165" w:lineRule="exact"/>
        <w:rPr>
          <w:sz w:val="20"/>
          <w:szCs w:val="20"/>
          <w:color w:val="auto"/>
        </w:rPr>
      </w:pPr>
    </w:p>
    <w:p>
      <w:pPr>
        <w:ind w:left="300" w:right="40" w:firstLine="426"/>
        <w:spacing w:after="0" w:line="238" w:lineRule="auto"/>
        <w:rPr>
          <w:sz w:val="20"/>
          <w:szCs w:val="20"/>
          <w:color w:val="auto"/>
        </w:rPr>
      </w:pPr>
      <w:r>
        <w:rPr>
          <w:rFonts w:ascii="Arial" w:cs="Arial" w:eastAsia="Arial" w:hAnsi="Arial"/>
          <w:sz w:val="18"/>
          <w:szCs w:val="18"/>
          <w:color w:val="auto"/>
        </w:rPr>
        <w:t>These three core elements of our business fuel a powerful and accelerating flywheel. When we started Flywire, we built a robust payments platform that solved pain points for cross-border payments and delivered simplicity, transparency, and cost-effective solutions. Continued adoption of our payments platform has enabled us to enhance engagement with our clients, create more personalized connections for our clients’ customers, and extend our reach. Adding new clients and their customers builds our global scale and deepens our knowledge and expertise, enabling us to streamline and automate complex accounts receivable functions.</w:t>
      </w:r>
    </w:p>
    <w:p>
      <w:pPr>
        <w:spacing w:after="0" w:line="175" w:lineRule="exact"/>
        <w:rPr>
          <w:sz w:val="20"/>
          <w:szCs w:val="20"/>
          <w:color w:val="auto"/>
        </w:rPr>
      </w:pPr>
    </w:p>
    <w:p>
      <w:pPr>
        <w:ind w:left="300" w:right="100" w:firstLine="426"/>
        <w:spacing w:after="0" w:line="238" w:lineRule="auto"/>
        <w:rPr>
          <w:sz w:val="20"/>
          <w:szCs w:val="20"/>
          <w:color w:val="auto"/>
        </w:rPr>
      </w:pPr>
      <w:r>
        <w:rPr>
          <w:rFonts w:ascii="Arial" w:cs="Arial" w:eastAsia="Arial" w:hAnsi="Arial"/>
          <w:sz w:val="18"/>
          <w:szCs w:val="18"/>
          <w:color w:val="auto"/>
        </w:rPr>
        <w:t>The benefits of our flywheel are visible in the significant scale we have achieved to date. Today, we serve over 2,250 clients around the world. In education alone, we serve more than 1,900 institutions and 1.6 million students globally. In healthcare, we serve more than 80 healthcare systems, including four of the top 10 healthcare systems in the United States ranked by hospital size. In our newer verticals of travel and B2B payments, we have a growing portfolio of more than 200 clients.</w:t>
      </w:r>
    </w:p>
    <w:p>
      <w:pPr>
        <w:spacing w:after="0" w:line="164" w:lineRule="exact"/>
        <w:rPr>
          <w:sz w:val="20"/>
          <w:szCs w:val="20"/>
          <w:color w:val="auto"/>
        </w:rPr>
      </w:pPr>
    </w:p>
    <w:p>
      <w:pPr>
        <w:jc w:val="both"/>
        <w:ind w:left="300" w:right="40" w:firstLine="426"/>
        <w:spacing w:after="0" w:line="238" w:lineRule="auto"/>
        <w:rPr>
          <w:sz w:val="20"/>
          <w:szCs w:val="20"/>
          <w:color w:val="auto"/>
        </w:rPr>
      </w:pPr>
      <w:r>
        <w:rPr>
          <w:rFonts w:ascii="Arial" w:cs="Arial" w:eastAsia="Arial" w:hAnsi="Arial"/>
          <w:sz w:val="18"/>
          <w:szCs w:val="18"/>
          <w:color w:val="auto"/>
        </w:rPr>
        <w:t>Our business model is designed to encourage rapid, widespread utilization of our solutions. We enable our clients to scale the use of Flywire to an unlimited number of their customers with favorable unit economics. In 2020, we enabled over $7.5 billion of total payment volume across more than 130 currencies. In the three months ended March 31, 2021, we enabled approximately $2.9 billion of total payment volume.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300" w:right="60" w:firstLine="426"/>
        <w:spacing w:after="0" w:line="242" w:lineRule="auto"/>
        <w:rPr>
          <w:sz w:val="20"/>
          <w:szCs w:val="20"/>
          <w:color w:val="auto"/>
        </w:rPr>
      </w:pPr>
      <w:r>
        <w:rPr>
          <w:rFonts w:ascii="Arial" w:cs="Arial" w:eastAsia="Arial" w:hAnsi="Arial"/>
          <w:sz w:val="18"/>
          <w:szCs w:val="18"/>
          <w:color w:val="auto"/>
        </w:rPr>
        <w:t xml:space="preserve">The value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has been recognized, with global financial institutions and technology providers choosing to form channel partnerships with us. Our channel partners include financial institutions such as Bank of America Corporation; payment providers such as China UnionPay Co. Ltd. and Adyen N.V.; and software companies that serve as the core systems in our verticals such as Ellucian Company, L.P. in education and Cerner Corporation in healthcare. These partnerships promote organic referral and lead generation opportunities and enhance our indirect sales strategy.</w:t>
      </w:r>
    </w:p>
    <w:p>
      <w:pPr>
        <w:spacing w:after="0" w:line="162" w:lineRule="exact"/>
        <w:rPr>
          <w:sz w:val="20"/>
          <w:szCs w:val="20"/>
          <w:color w:val="auto"/>
        </w:rPr>
      </w:pPr>
    </w:p>
    <w:p>
      <w:pPr>
        <w:ind w:left="300" w:right="100" w:firstLine="426"/>
        <w:spacing w:after="0" w:line="237" w:lineRule="auto"/>
        <w:rPr>
          <w:sz w:val="20"/>
          <w:szCs w:val="20"/>
          <w:color w:val="auto"/>
        </w:rPr>
      </w:pPr>
      <w:r>
        <w:rPr>
          <w:rFonts w:ascii="Arial" w:cs="Arial" w:eastAsia="Arial" w:hAnsi="Arial"/>
          <w:sz w:val="18"/>
          <w:szCs w:val="18"/>
          <w:color w:val="auto"/>
        </w:rPr>
        <w:t>We also reach clients through our direct channel. Our domain-experienced sales and relationship management teams bring vertical expertise and regional and local reach that drives high dollar-based net retention. In 2018 and 2019, our annual dollar-based net retention rate was approximately 126% and 128%, respectively. In 2020, despite the impact of COVID-19 on our clients and the industries we serve, we had an annual dollar-based net retention rate of 100%, added over 400 new clients, and had client retention of approximately 97%. Our client and customer service combines high-tech and high-touch functions backed by 24x7 multilingual customer support, resulting in high client and customer satisfaction. For fiscal year 2020, we had a net promoter score (NPS) of 64, which exceeds the average NPS of traditional financial institutions.</w:t>
      </w:r>
    </w:p>
    <w:p>
      <w:pPr>
        <w:spacing w:after="0" w:line="176" w:lineRule="exact"/>
        <w:rPr>
          <w:sz w:val="20"/>
          <w:szCs w:val="20"/>
          <w:color w:val="auto"/>
        </w:rPr>
      </w:pPr>
    </w:p>
    <w:p>
      <w:pPr>
        <w:ind w:left="300" w:right="140" w:firstLine="426"/>
        <w:spacing w:after="0" w:line="237" w:lineRule="auto"/>
        <w:rPr>
          <w:sz w:val="20"/>
          <w:szCs w:val="20"/>
          <w:color w:val="auto"/>
        </w:rPr>
      </w:pPr>
      <w:r>
        <w:rPr>
          <w:rFonts w:ascii="Arial" w:cs="Arial" w:eastAsia="Arial" w:hAnsi="Arial"/>
          <w:sz w:val="18"/>
          <w:szCs w:val="18"/>
          <w:color w:val="auto"/>
        </w:rPr>
        <w:t>We have grown rapidly since our founding. We generated revenue of $94.9 million and $131.8 million for the years ended December 31, 2019 and 2020, respectively, and incurred net losses of $20.1 million and $11.1 million, respectively, for those same years. We generated revenue of $45.0 million for the three months ended March 31, 2021, and incurred a net loss of $8.7 million for the same three-month period. In February, 2020, we acquired Simplee, a provider of healthcare payment and collections software. Pro forma revenue and pro forma net loss for the year ended December 31, 2020, as if our acquisition of Simplee had occurred on January 1, 2020, was $136.3 million and $14.8 million, respectively.</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Benefits of the Flywire Advantage to Our Clients and Their Customers</w:t>
      </w:r>
    </w:p>
    <w:p>
      <w:pPr>
        <w:spacing w:after="0" w:line="193" w:lineRule="exact"/>
        <w:rPr>
          <w:sz w:val="20"/>
          <w:szCs w:val="20"/>
          <w:color w:val="auto"/>
        </w:rPr>
      </w:pPr>
    </w:p>
    <w:p>
      <w:pPr>
        <w:ind w:left="300" w:right="160" w:firstLine="426"/>
        <w:spacing w:after="0" w:line="238" w:lineRule="auto"/>
        <w:rPr>
          <w:sz w:val="20"/>
          <w:szCs w:val="20"/>
          <w:color w:val="auto"/>
        </w:rPr>
      </w:pPr>
      <w:r>
        <w:rPr>
          <w:rFonts w:ascii="Arial" w:cs="Arial" w:eastAsia="Arial" w:hAnsi="Arial"/>
          <w:sz w:val="18"/>
          <w:szCs w:val="18"/>
          <w:color w:val="auto"/>
        </w:rPr>
        <w:t>Flywire sits in between our clients, which include educational institutions, hospitals, travel providers, and businesses, and their customers: students, patients, travelers, and businesses. We believe this two-sided relationship makes us strategically important for our clients—who rely on us for their complex accounts receivable needs, and for our clients’ customers—who rely on us to deliver their most important payments.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of the Flywire Advantage to Our Clients</w:t>
      </w:r>
    </w:p>
    <w:p>
      <w:pPr>
        <w:spacing w:after="0" w:line="193" w:lineRule="exact"/>
        <w:rPr>
          <w:sz w:val="20"/>
          <w:szCs w:val="20"/>
          <w:color w:val="auto"/>
        </w:rPr>
      </w:pPr>
    </w:p>
    <w:p>
      <w:pPr>
        <w:jc w:val="both"/>
        <w:ind w:left="300" w:firstLine="426"/>
        <w:spacing w:after="0"/>
        <w:rPr>
          <w:sz w:val="20"/>
          <w:szCs w:val="20"/>
          <w:color w:val="auto"/>
        </w:rPr>
      </w:pPr>
      <w:r>
        <w:rPr>
          <w:rFonts w:ascii="Arial" w:cs="Arial" w:eastAsia="Arial" w:hAnsi="Arial"/>
          <w:sz w:val="18"/>
          <w:szCs w:val="18"/>
          <w:color w:val="auto"/>
        </w:rPr>
        <w:t>We continuously apply our knowledge and domain expertise in education, healthcare, travel, and B2B payments to expand upon our solutions and meet the specific needs of our clients, while freeing them from cumbersome and legacy financial processes. For our clients, key benefits of our solutions include:</w:t>
      </w:r>
    </w:p>
    <w:p>
      <w:pPr>
        <w:spacing w:after="0" w:line="181" w:lineRule="exact"/>
        <w:rPr>
          <w:sz w:val="20"/>
          <w:szCs w:val="20"/>
          <w:color w:val="auto"/>
        </w:rPr>
      </w:pPr>
    </w:p>
    <w:p>
      <w:pPr>
        <w:ind w:left="1020" w:right="60" w:hanging="195"/>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Modern customer-focused payment experience</w:t>
      </w:r>
      <w:r>
        <w:rPr>
          <w:rFonts w:ascii="Arial" w:cs="Arial" w:eastAsia="Arial" w:hAnsi="Arial"/>
          <w:sz w:val="18"/>
          <w:szCs w:val="18"/>
          <w:color w:val="auto"/>
        </w:rPr>
        <w:t>. We enable a convenient and secure online payment experience—which</w:t>
      </w:r>
      <w:r>
        <w:rPr>
          <w:rFonts w:ascii="Arial" w:cs="Arial" w:eastAsia="Arial" w:hAnsi="Arial"/>
          <w:sz w:val="18"/>
          <w:szCs w:val="18"/>
          <w:b w:val="1"/>
          <w:bCs w:val="1"/>
          <w:color w:val="auto"/>
        </w:rPr>
        <w:t xml:space="preserve"> </w:t>
      </w:r>
      <w:r>
        <w:rPr>
          <w:rFonts w:ascii="Arial" w:cs="Arial" w:eastAsia="Arial" w:hAnsi="Arial"/>
          <w:sz w:val="18"/>
          <w:szCs w:val="18"/>
          <w:color w:val="auto"/>
        </w:rPr>
        <w:t>can be configured by country, currency, client, and vertical. In addition, our personalization engine leverages our data and applies artificial intelligence and machine learning to match the payment preferences of our clients’ customers with the right payment options.</w:t>
      </w:r>
    </w:p>
    <w:p>
      <w:pPr>
        <w:spacing w:after="0" w:line="173" w:lineRule="exact"/>
        <w:rPr>
          <w:rFonts w:ascii="Arial" w:cs="Arial" w:eastAsia="Arial" w:hAnsi="Arial"/>
          <w:sz w:val="18"/>
          <w:szCs w:val="18"/>
          <w:color w:val="auto"/>
        </w:rPr>
      </w:pPr>
    </w:p>
    <w:p>
      <w:pPr>
        <w:ind w:left="1020" w:right="160" w:hanging="195"/>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Simplify payments complexity</w:t>
      </w:r>
      <w:r>
        <w:rPr>
          <w:rFonts w:ascii="Arial" w:cs="Arial" w:eastAsia="Arial" w:hAnsi="Arial"/>
          <w:sz w:val="18"/>
          <w:szCs w:val="18"/>
          <w:color w:val="auto"/>
        </w:rPr>
        <w:t>. We address complexity in payments by providing our clients with a “one-stop shop”</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substantially reducing the need to work with and manage multiple disparate vendors and systems. Our clients can experience a seamless workflow from start to finish with end-to-end visibility, from invoice to payment to receipt and reconciliation. This helps accelerate funds flow while streamlining operational expenses.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020" w:right="160" w:hanging="195"/>
        <w:spacing w:after="0" w:line="24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Processing cost savings and enhanced payments yield</w:t>
      </w:r>
      <w:r>
        <w:rPr>
          <w:rFonts w:ascii="Arial" w:cs="Arial" w:eastAsia="Arial" w:hAnsi="Arial"/>
          <w:sz w:val="18"/>
          <w:szCs w:val="18"/>
          <w:color w:val="auto"/>
        </w:rPr>
        <w:t>. We leverage our significant global volume and in-house</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hedging algorithms to mitigate our clients’ risk from currency fluctuation and reduce incremental payment fees, which we believe results in significant cost savings to our clients’ bottom line. Additionally, to optimize affordability for our clients’ customers, we design personalized payment plan offers. By providing a better customer experience, our clients can eliminate time-consuming customer calls and make their operations more efficient.</w:t>
      </w:r>
    </w:p>
    <w:p>
      <w:pPr>
        <w:spacing w:after="0" w:line="176" w:lineRule="exact"/>
        <w:rPr>
          <w:rFonts w:ascii="Arial" w:cs="Arial" w:eastAsia="Arial" w:hAnsi="Arial"/>
          <w:sz w:val="18"/>
          <w:szCs w:val="18"/>
          <w:color w:val="auto"/>
        </w:rPr>
      </w:pPr>
    </w:p>
    <w:p>
      <w:pPr>
        <w:ind w:left="1020" w:right="140" w:hanging="195"/>
        <w:spacing w:after="0" w:line="24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Ease of integration</w:t>
      </w:r>
      <w:r>
        <w:rPr>
          <w:rFonts w:ascii="Arial" w:cs="Arial" w:eastAsia="Arial" w:hAnsi="Arial"/>
          <w:sz w:val="18"/>
          <w:szCs w:val="18"/>
          <w:color w:val="auto"/>
        </w:rPr>
        <w:t>. Built on open architecture, Flywire integrates with existing systems and technology, allowing clients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 both domestic and cross-border transactions and accounts, automate payment plans and cash management, and optimize processing through aligned billing-related tools. This ease of integration enables our clients to serve their customers better and faster, increasing satisfaction while reducing costs.</w:t>
      </w:r>
    </w:p>
    <w:p>
      <w:pPr>
        <w:spacing w:after="0" w:line="173" w:lineRule="exact"/>
        <w:rPr>
          <w:rFonts w:ascii="Arial" w:cs="Arial" w:eastAsia="Arial" w:hAnsi="Arial"/>
          <w:sz w:val="18"/>
          <w:szCs w:val="18"/>
          <w:color w:val="auto"/>
        </w:rPr>
      </w:pPr>
    </w:p>
    <w:p>
      <w:pPr>
        <w:ind w:left="1020" w:hanging="195"/>
        <w:spacing w:after="0" w:line="25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Trusted expertise and a trusted brand</w:t>
      </w:r>
      <w:r>
        <w:rPr>
          <w:rFonts w:ascii="Arial" w:cs="Arial" w:eastAsia="Arial" w:hAnsi="Arial"/>
          <w:sz w:val="18"/>
          <w:szCs w:val="18"/>
          <w:color w:val="auto"/>
        </w:rPr>
        <w:t>. Our clients and their customers view Flywire as a trusted technology partner. With</w:t>
      </w:r>
      <w:r>
        <w:rPr>
          <w:rFonts w:ascii="Arial" w:cs="Arial" w:eastAsia="Arial" w:hAnsi="Arial"/>
          <w:sz w:val="18"/>
          <w:szCs w:val="18"/>
          <w:b w:val="1"/>
          <w:bCs w:val="1"/>
          <w:color w:val="auto"/>
        </w:rPr>
        <w:t xml:space="preserve"> </w:t>
      </w:r>
      <w:r>
        <w:rPr>
          <w:rFonts w:ascii="Arial" w:cs="Arial" w:eastAsia="Arial" w:hAnsi="Arial"/>
          <w:sz w:val="18"/>
          <w:szCs w:val="18"/>
          <w:color w:val="auto"/>
        </w:rPr>
        <w:t>deep roots in each industry we serve, our thought leadership, guidance, and innovation in our solutions have built confidence and advocacy in Flywire throughout our clients and their customers around the world.</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of the Flywire Advantage to Our Clients’ Customers</w:t>
      </w:r>
    </w:p>
    <w:p>
      <w:pPr>
        <w:spacing w:after="0" w:line="207" w:lineRule="exact"/>
        <w:rPr>
          <w:sz w:val="20"/>
          <w:szCs w:val="20"/>
          <w:color w:val="auto"/>
        </w:rPr>
      </w:pPr>
    </w:p>
    <w:p>
      <w:pPr>
        <w:ind w:left="300" w:right="100" w:firstLine="426"/>
        <w:spacing w:after="0" w:line="246" w:lineRule="auto"/>
        <w:rPr>
          <w:sz w:val="20"/>
          <w:szCs w:val="20"/>
          <w:color w:val="auto"/>
        </w:rPr>
      </w:pPr>
      <w:r>
        <w:rPr>
          <w:rFonts w:ascii="Arial" w:cs="Arial" w:eastAsia="Arial" w:hAnsi="Arial"/>
          <w:sz w:val="18"/>
          <w:szCs w:val="18"/>
          <w:color w:val="auto"/>
        </w:rPr>
        <w:t>Our digital-first customer experience is designed to make the process of paying invoices simple. For our clients’ customers, key benefits of our solutions include:</w:t>
      </w:r>
    </w:p>
    <w:p>
      <w:pPr>
        <w:spacing w:after="0" w:line="175" w:lineRule="exact"/>
        <w:rPr>
          <w:sz w:val="20"/>
          <w:szCs w:val="20"/>
          <w:color w:val="auto"/>
        </w:rPr>
      </w:pPr>
    </w:p>
    <w:p>
      <w:pPr>
        <w:ind w:left="1020" w:right="260" w:hanging="195"/>
        <w:spacing w:after="0" w:line="261"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Superior and simple payment experiences</w:t>
      </w:r>
      <w:r>
        <w:rPr>
          <w:rFonts w:ascii="Arial" w:cs="Arial" w:eastAsia="Arial" w:hAnsi="Arial"/>
          <w:sz w:val="17"/>
          <w:szCs w:val="17"/>
          <w:color w:val="auto"/>
        </w:rPr>
        <w:t>. Our customer value proposition is simple: we provide a fast and nearly</w:t>
      </w:r>
      <w:r>
        <w:rPr>
          <w:rFonts w:ascii="Arial" w:cs="Arial" w:eastAsia="Arial" w:hAnsi="Arial"/>
          <w:sz w:val="17"/>
          <w:szCs w:val="17"/>
          <w:b w:val="1"/>
          <w:bCs w:val="1"/>
          <w:color w:val="auto"/>
        </w:rPr>
        <w:t xml:space="preserve"> </w:t>
      </w:r>
      <w:r>
        <w:rPr>
          <w:rFonts w:ascii="Arial" w:cs="Arial" w:eastAsia="Arial" w:hAnsi="Arial"/>
          <w:sz w:val="17"/>
          <w:szCs w:val="17"/>
          <w:color w:val="auto"/>
        </w:rPr>
        <w:t>frictionless experience for our clients’ customers’ most important payments. Providing an integrated experience that leverages single sign-on, our clients’ customers can very quickly view real-time account balance updates, receive personalized communication, and complete their payments – all as part of a streamlined digital self-service experience. These features can lead to an increase in self-service digital payments and optimized conversion of completed payments.</w:t>
      </w:r>
    </w:p>
    <w:p>
      <w:pPr>
        <w:spacing w:after="0" w:line="165" w:lineRule="exact"/>
        <w:rPr>
          <w:rFonts w:ascii="Arial" w:cs="Arial" w:eastAsia="Arial" w:hAnsi="Arial"/>
          <w:sz w:val="17"/>
          <w:szCs w:val="17"/>
          <w:color w:val="auto"/>
        </w:rPr>
      </w:pPr>
    </w:p>
    <w:p>
      <w:pPr>
        <w:ind w:left="1020" w:right="80" w:hanging="195"/>
        <w:spacing w:after="0" w:line="24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Customer preference</w:t>
      </w:r>
      <w:r>
        <w:rPr>
          <w:rFonts w:ascii="Arial" w:cs="Arial" w:eastAsia="Arial" w:hAnsi="Arial"/>
          <w:sz w:val="18"/>
          <w:szCs w:val="18"/>
          <w:color w:val="auto"/>
        </w:rPr>
        <w:t>. Using Flywire, our clients’ customers can choose their preferred payment method, currency,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channel, such as sms, chat, email, text or phone. We make it possible to accept and settle payments in over 240 countries and territories and in more than 130 currencies, so our clients’ customers can choose the way they pay using local payment methods that they are most comfortable using.</w:t>
      </w:r>
    </w:p>
    <w:p>
      <w:pPr>
        <w:spacing w:after="0" w:line="173" w:lineRule="exact"/>
        <w:rPr>
          <w:rFonts w:ascii="Arial" w:cs="Arial" w:eastAsia="Arial" w:hAnsi="Arial"/>
          <w:sz w:val="18"/>
          <w:szCs w:val="18"/>
          <w:color w:val="auto"/>
        </w:rPr>
      </w:pPr>
    </w:p>
    <w:p>
      <w:pPr>
        <w:ind w:left="1020" w:right="240" w:hanging="195"/>
        <w:spacing w:after="0" w:line="24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Flexible on-demand payment options</w:t>
      </w:r>
      <w:r>
        <w:rPr>
          <w:rFonts w:ascii="Arial" w:cs="Arial" w:eastAsia="Arial" w:hAnsi="Arial"/>
          <w:sz w:val="18"/>
          <w:szCs w:val="18"/>
          <w:color w:val="auto"/>
        </w:rPr>
        <w:t>. We believe we provide favorable and transparent payment plans that can lead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engagement and enrollment by our clients’ customers. As a result, our clients’ customers can spread expenses across smaller, easier-to-manage payments. Our payments platform also enables our clients to offer their customers the choice to either front-load payment plans or provide extension options beyond service delivery.</w:t>
      </w:r>
    </w:p>
    <w:p>
      <w:pPr>
        <w:spacing w:after="0" w:line="173" w:lineRule="exact"/>
        <w:rPr>
          <w:rFonts w:ascii="Arial" w:cs="Arial" w:eastAsia="Arial" w:hAnsi="Arial"/>
          <w:sz w:val="18"/>
          <w:szCs w:val="18"/>
          <w:color w:val="auto"/>
        </w:rPr>
      </w:pPr>
    </w:p>
    <w:p>
      <w:pPr>
        <w:ind w:left="1020" w:right="440" w:hanging="195"/>
        <w:spacing w:after="0" w:line="25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Customer confidence</w:t>
      </w:r>
      <w:r>
        <w:rPr>
          <w:rFonts w:ascii="Arial" w:cs="Arial" w:eastAsia="Arial" w:hAnsi="Arial"/>
          <w:sz w:val="18"/>
          <w:szCs w:val="18"/>
          <w:color w:val="auto"/>
        </w:rPr>
        <w:t>. Navigating the world of complex cross-border payments can be overwhelming for our clients’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With our superior customer support, including around the clock multilingual support, we believe that we give customers the confidence that their payments are delivered securely, accurately, and on time.</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Our Flywire Advantage Works</w:t>
      </w:r>
    </w:p>
    <w:p>
      <w:pPr>
        <w:spacing w:after="0" w:line="193" w:lineRule="exact"/>
        <w:rPr>
          <w:sz w:val="20"/>
          <w:szCs w:val="20"/>
          <w:color w:val="auto"/>
        </w:rPr>
      </w:pPr>
    </w:p>
    <w:p>
      <w:pPr>
        <w:ind w:left="300" w:right="320" w:firstLine="426"/>
        <w:spacing w:after="0" w:line="246" w:lineRule="auto"/>
        <w:rPr>
          <w:sz w:val="20"/>
          <w:szCs w:val="20"/>
          <w:color w:val="auto"/>
        </w:rPr>
      </w:pPr>
      <w:r>
        <w:rPr>
          <w:rFonts w:ascii="Arial" w:cs="Arial" w:eastAsia="Arial" w:hAnsi="Arial"/>
          <w:sz w:val="18"/>
          <w:szCs w:val="18"/>
          <w:color w:val="auto"/>
        </w:rPr>
        <w:t>Our clients’ needs extend beyond simple payment processing. Enabling our clients to use enhanced payment functionality to drive business value, as well as streamlining and automating their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44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60"/>
        <w:spacing w:after="0" w:line="246" w:lineRule="auto"/>
        <w:rPr>
          <w:sz w:val="20"/>
          <w:szCs w:val="20"/>
          <w:color w:val="auto"/>
        </w:rPr>
      </w:pPr>
      <w:r>
        <w:rPr>
          <w:rFonts w:ascii="Arial" w:cs="Arial" w:eastAsia="Arial" w:hAnsi="Arial"/>
          <w:sz w:val="18"/>
          <w:szCs w:val="18"/>
          <w:color w:val="auto"/>
        </w:rPr>
        <w:t>domestic and cross-border payment operations, requires a specialized approach that combines a secure, reliable, and robust suite of payments and software solutions with a seamless customer experience.</w:t>
      </w:r>
    </w:p>
    <w:p>
      <w:pPr>
        <w:spacing w:after="0" w:line="138" w:lineRule="exact"/>
        <w:rPr>
          <w:sz w:val="20"/>
          <w:szCs w:val="20"/>
          <w:color w:val="auto"/>
        </w:rPr>
      </w:pPr>
    </w:p>
    <w:p>
      <w:pPr>
        <w:ind w:left="300" w:right="440" w:firstLine="426"/>
        <w:spacing w:after="0" w:line="267" w:lineRule="auto"/>
        <w:rPr>
          <w:sz w:val="20"/>
          <w:szCs w:val="20"/>
          <w:color w:val="auto"/>
        </w:rPr>
      </w:pPr>
      <w:r>
        <w:rPr>
          <w:rFonts w:ascii="Arial" w:cs="Arial" w:eastAsia="Arial" w:hAnsi="Arial"/>
          <w:sz w:val="18"/>
          <w:szCs w:val="18"/>
          <w:color w:val="auto"/>
        </w:rPr>
        <w:t xml:space="preserve">To achieve this, 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and its three core elements: (i) our next-gen payments platform; (ii) our proprietary global payment network; and (iii) our vertical-specific software backed by our deep industry expertise.</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Next-Gen Payments Platform</w:t>
      </w:r>
    </w:p>
    <w:p>
      <w:pPr>
        <w:spacing w:after="0" w:line="193" w:lineRule="exact"/>
        <w:rPr>
          <w:sz w:val="20"/>
          <w:szCs w:val="20"/>
          <w:color w:val="auto"/>
        </w:rPr>
      </w:pPr>
    </w:p>
    <w:p>
      <w:pPr>
        <w:ind w:left="300" w:right="260" w:firstLine="426"/>
        <w:spacing w:after="0" w:line="261" w:lineRule="auto"/>
        <w:rPr>
          <w:sz w:val="20"/>
          <w:szCs w:val="20"/>
          <w:color w:val="auto"/>
        </w:rPr>
      </w:pPr>
      <w:r>
        <w:rPr>
          <w:rFonts w:ascii="Arial" w:cs="Arial" w:eastAsia="Arial" w:hAnsi="Arial"/>
          <w:sz w:val="17"/>
          <w:szCs w:val="17"/>
          <w:color w:val="auto"/>
        </w:rPr>
        <w:t>Our next-gen payments platform is designed for payment processes and experiences that can deliver high-stakes, high-value payments. Through a single connection to our platform, we support the entire lifecycle of a domestic or cross-border transaction across online, mobile, or in-person channels. This eliminates the need to work with multiple vendors and payment providers.</w:t>
      </w:r>
    </w:p>
    <w:p>
      <w:pPr>
        <w:spacing w:after="0" w:line="145"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color w:val="auto"/>
        </w:rPr>
        <w:t>In 2020, we enabled over $7.5 billion in total payment volume across multiple payment types, including local bank transfer, credit and debit cards, and other alternative payment methods such as Alipay, Boleto, PayPal / Venmo, and Trustly. In the quarter ended March 31, 2021, we enabled approximately $2.9 billion in total payment volume. The majority of our payment volume is not card-related and is completed over our global payment network. This reflects the myriad of payment options enabled by our global payment network that are critical for the larger, more complex payments that we handle.</w:t>
      </w:r>
    </w:p>
    <w:p>
      <w:pPr>
        <w:spacing w:after="0" w:line="175" w:lineRule="exact"/>
        <w:rPr>
          <w:sz w:val="20"/>
          <w:szCs w:val="20"/>
          <w:color w:val="auto"/>
        </w:rPr>
      </w:pPr>
    </w:p>
    <w:p>
      <w:pPr>
        <w:ind w:left="300" w:right="160" w:firstLine="426"/>
        <w:spacing w:after="0"/>
        <w:rPr>
          <w:sz w:val="20"/>
          <w:szCs w:val="20"/>
          <w:color w:val="auto"/>
        </w:rPr>
      </w:pPr>
      <w:r>
        <w:rPr>
          <w:rFonts w:ascii="Arial" w:cs="Arial" w:eastAsia="Arial" w:hAnsi="Arial"/>
          <w:sz w:val="18"/>
          <w:szCs w:val="18"/>
          <w:color w:val="auto"/>
        </w:rPr>
        <w:t>Our comprehensive payments offering enables our clients to provide their customers with a choice of cost-effective payment methods, currencies, and terms while enjoying a seamless digital experience. Our offering, supported by Flywire’s security, risk, and compliance monitoring tools, includes:</w:t>
      </w:r>
    </w:p>
    <w:p>
      <w:pPr>
        <w:spacing w:after="0" w:line="203" w:lineRule="exact"/>
        <w:rPr>
          <w:sz w:val="20"/>
          <w:szCs w:val="20"/>
          <w:color w:val="auto"/>
        </w:rPr>
      </w:pPr>
    </w:p>
    <w:p>
      <w:pPr>
        <w:ind w:left="1020" w:right="60" w:hanging="195"/>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enhanced invoicing, settlement, and reconciliation tools that simplify billing and customer payments and better manage cash flow and revenue;</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end-to-end processing, from authorization to clearing to settlement and reconciliation;</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turnkey solution for enhanced and secure single sign-on and checkout;</w:t>
      </w:r>
    </w:p>
    <w:p>
      <w:pPr>
        <w:spacing w:after="0" w:line="211" w:lineRule="exact"/>
        <w:rPr>
          <w:rFonts w:ascii="Arial" w:cs="Arial" w:eastAsia="Arial" w:hAnsi="Arial"/>
          <w:sz w:val="18"/>
          <w:szCs w:val="18"/>
          <w:color w:val="auto"/>
        </w:rPr>
      </w:pPr>
    </w:p>
    <w:p>
      <w:pPr>
        <w:ind w:left="1020" w:right="140" w:hanging="195"/>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recurring, split, and flexible payment options, including robust payment plan logic that can be tailored in our vertical-specific implementations; and</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unified reporting and analytics tools through direct integrations to client back-end infrastructure.</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Proprietary Global Payment Network</w:t>
      </w:r>
    </w:p>
    <w:p>
      <w:pPr>
        <w:spacing w:after="0" w:line="193" w:lineRule="exact"/>
        <w:rPr>
          <w:sz w:val="20"/>
          <w:szCs w:val="20"/>
          <w:color w:val="auto"/>
        </w:rPr>
      </w:pPr>
    </w:p>
    <w:p>
      <w:pPr>
        <w:jc w:val="both"/>
        <w:ind w:left="300" w:right="40" w:firstLine="426"/>
        <w:spacing w:after="0" w:line="238" w:lineRule="auto"/>
        <w:rPr>
          <w:sz w:val="20"/>
          <w:szCs w:val="20"/>
          <w:color w:val="auto"/>
        </w:rPr>
      </w:pPr>
      <w:r>
        <w:rPr>
          <w:rFonts w:ascii="Arial" w:cs="Arial" w:eastAsia="Arial" w:hAnsi="Arial"/>
          <w:sz w:val="18"/>
          <w:szCs w:val="18"/>
          <w:color w:val="auto"/>
        </w:rPr>
        <w:t>Our proprietary global payment network is comprised of global, regional, and local banks and technology and payment partners around the world. We believe the extensive global reach and breadth of our network, serving more than 240 countries and territories, provides a strong competitive advantage. Additionally, we have local market knowledge and expertise to enable funds flow in some of the hardest to reach markets. We have also assembled redundant payment rails, wherever possible.</w:t>
      </w:r>
    </w:p>
    <w:p>
      <w:pPr>
        <w:spacing w:after="0" w:line="164" w:lineRule="exact"/>
        <w:rPr>
          <w:sz w:val="20"/>
          <w:szCs w:val="20"/>
          <w:color w:val="auto"/>
        </w:rPr>
      </w:pPr>
    </w:p>
    <w:p>
      <w:pPr>
        <w:ind w:left="300" w:right="180" w:firstLine="426"/>
        <w:spacing w:after="0"/>
        <w:rPr>
          <w:sz w:val="20"/>
          <w:szCs w:val="20"/>
          <w:color w:val="auto"/>
        </w:rPr>
      </w:pPr>
      <w:r>
        <w:rPr>
          <w:rFonts w:ascii="Arial" w:cs="Arial" w:eastAsia="Arial" w:hAnsi="Arial"/>
          <w:sz w:val="18"/>
          <w:szCs w:val="18"/>
          <w:color w:val="auto"/>
        </w:rPr>
        <w:t>With Flywire’s network, our clients can take advantage of our “local-in / local-out strategy”—providing access to pay-in options, such as local bank transfers, card-based payments, and alternative payment methods, while enabling pay-out capabilities in our clients’ preferred local payment methods.</w:t>
      </w:r>
    </w:p>
    <w:p>
      <w:pPr>
        <w:spacing w:after="0" w:line="176" w:lineRule="exact"/>
        <w:rPr>
          <w:sz w:val="20"/>
          <w:szCs w:val="20"/>
          <w:color w:val="auto"/>
        </w:rPr>
      </w:pPr>
    </w:p>
    <w:p>
      <w:pPr>
        <w:ind w:left="300" w:right="360" w:firstLine="426"/>
        <w:spacing w:after="0" w:line="246" w:lineRule="auto"/>
        <w:rPr>
          <w:sz w:val="20"/>
          <w:szCs w:val="20"/>
          <w:color w:val="auto"/>
        </w:rPr>
      </w:pPr>
      <w:r>
        <w:rPr>
          <w:rFonts w:ascii="Arial" w:cs="Arial" w:eastAsia="Arial" w:hAnsi="Arial"/>
          <w:sz w:val="18"/>
          <w:szCs w:val="18"/>
          <w:color w:val="auto"/>
        </w:rPr>
        <w:t>We believe our receive-side network sets us apart. Flywire clients, no matter the vertical or market they are in, can receive a single daily payment in their preferred currency that aggregates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21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6217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300" w:right="60"/>
        <w:spacing w:after="0"/>
        <w:rPr>
          <w:sz w:val="20"/>
          <w:szCs w:val="20"/>
          <w:color w:val="auto"/>
        </w:rPr>
      </w:pPr>
      <w:r>
        <w:rPr>
          <w:rFonts w:ascii="Arial" w:cs="Arial" w:eastAsia="Arial" w:hAnsi="Arial"/>
          <w:sz w:val="18"/>
          <w:szCs w:val="18"/>
          <w:color w:val="auto"/>
        </w:rPr>
        <w:t>reconciles all their customer payments made via Flywire from around the globe—across approximately 2,900 geographic corridors representing transaction flows between payers and payees. The illustration below shows our top payment corridors, with a scale of connections denoting the relative payment volume originating from the applicable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20" w:right="140" w:hanging="522"/>
        <w:spacing w:after="0" w:line="249" w:lineRule="auto"/>
        <w:tabs>
          <w:tab w:leader="none" w:pos="8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chart above represents relative payment volume based on the country from which our client’s customer’s payment originates. We recognize revenue based on the geographic location of our client. As a result, payment volume by originating geography does not correlate with revenue recognized by client geography.</w:t>
      </w:r>
    </w:p>
    <w:p>
      <w:pPr>
        <w:spacing w:after="0" w:line="155" w:lineRule="exact"/>
        <w:rPr>
          <w:sz w:val="20"/>
          <w:szCs w:val="20"/>
          <w:color w:val="auto"/>
        </w:rPr>
      </w:pPr>
    </w:p>
    <w:p>
      <w:pPr>
        <w:ind w:left="300" w:right="740" w:firstLine="426"/>
        <w:spacing w:after="0" w:line="246" w:lineRule="auto"/>
        <w:rPr>
          <w:sz w:val="20"/>
          <w:szCs w:val="20"/>
          <w:color w:val="auto"/>
        </w:rPr>
      </w:pPr>
      <w:r>
        <w:rPr>
          <w:rFonts w:ascii="Arial" w:cs="Arial" w:eastAsia="Arial" w:hAnsi="Arial"/>
          <w:sz w:val="18"/>
          <w:szCs w:val="18"/>
          <w:color w:val="auto"/>
        </w:rPr>
        <w:t>Once our clients are connected to our global payment network, they can leverage an extended range of services and capabilities, including:</w:t>
      </w:r>
    </w:p>
    <w:p>
      <w:pPr>
        <w:spacing w:after="0" w:line="197" w:lineRule="exact"/>
        <w:rPr>
          <w:sz w:val="20"/>
          <w:szCs w:val="20"/>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transaction routing optimized for cost, risk and compliance management;</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clearing capabilities;</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ecosystem of alternative payment methods;</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pay-out; and</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tailored and scalable regulatory and compliance infrastructure.</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Vertical-Specific Software Backed by Deep Industry Expertise</w:t>
      </w:r>
    </w:p>
    <w:p>
      <w:pPr>
        <w:spacing w:after="0" w:line="207" w:lineRule="exact"/>
        <w:rPr>
          <w:sz w:val="20"/>
          <w:szCs w:val="20"/>
          <w:color w:val="auto"/>
        </w:rPr>
      </w:pPr>
    </w:p>
    <w:p>
      <w:pPr>
        <w:jc w:val="both"/>
        <w:ind w:left="300" w:firstLine="426"/>
        <w:spacing w:after="0"/>
        <w:rPr>
          <w:sz w:val="20"/>
          <w:szCs w:val="20"/>
          <w:color w:val="auto"/>
        </w:rPr>
      </w:pPr>
      <w:r>
        <w:rPr>
          <w:rFonts w:ascii="Arial" w:cs="Arial" w:eastAsia="Arial" w:hAnsi="Arial"/>
          <w:sz w:val="18"/>
          <w:szCs w:val="18"/>
          <w:color w:val="auto"/>
        </w:rPr>
        <w:t>We tailor our software to meet the needs of each vertical market we serve. We do so by leveraging our industry expertise and knowledge to develop a comprehensive view of our clients’ complex business challenges. We learn to “speak our clients’ language” and tailor their invoicing processes and payment options to their specific situations.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40"/>
          </w:cols>
          <w:pgMar w:left="320" w:top="459" w:right="8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67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80" w:firstLine="426"/>
        <w:spacing w:after="0" w:line="238" w:lineRule="auto"/>
        <w:rPr>
          <w:sz w:val="20"/>
          <w:szCs w:val="20"/>
          <w:color w:val="auto"/>
        </w:rPr>
      </w:pPr>
      <w:r>
        <w:rPr>
          <w:rFonts w:ascii="Arial" w:cs="Arial" w:eastAsia="Arial" w:hAnsi="Arial"/>
          <w:sz w:val="18"/>
          <w:szCs w:val="18"/>
          <w:color w:val="auto"/>
        </w:rPr>
        <w:t>We offer deep integration within our clients’ existing apps and workflows for seamless payment acceptance and reconciliation. Our integrations, supported by our APIs, include some of the largest and most recognized accounting and ERP systems, such as Ellucian Company, L.P. in education, Epic Systems Corporation in healthcare, Rezdy Pty Ltd in travel, and Oracle Corporation in B2B payments. Through these integrations, our clients are able to reduce the number of banks and technology and payment providers on which they rely, while achieving faster settlements and lower wire and transaction fees.</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Specific features of our vertical-specific software include:</w:t>
      </w:r>
    </w:p>
    <w:p>
      <w:pPr>
        <w:spacing w:after="0" w:line="212" w:lineRule="exact"/>
        <w:rPr>
          <w:sz w:val="20"/>
          <w:szCs w:val="20"/>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vertical-specific digital workflows;</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integration and synchronization to core and industry specific systems;</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real-time invoice and payment status updates; and</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predictive analytics to assess payment transactions and drive our personalization engine.</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Industry</w:t>
      </w:r>
    </w:p>
    <w:p>
      <w:pPr>
        <w:spacing w:after="0" w:line="193" w:lineRule="exact"/>
        <w:rPr>
          <w:sz w:val="20"/>
          <w:szCs w:val="20"/>
          <w:color w:val="auto"/>
        </w:rPr>
      </w:pPr>
    </w:p>
    <w:p>
      <w:pPr>
        <w:jc w:val="both"/>
        <w:ind w:left="300" w:right="60" w:firstLine="426"/>
        <w:spacing w:after="0" w:line="238" w:lineRule="auto"/>
        <w:rPr>
          <w:sz w:val="20"/>
          <w:szCs w:val="20"/>
          <w:color w:val="auto"/>
        </w:rPr>
      </w:pPr>
      <w:r>
        <w:rPr>
          <w:rFonts w:ascii="Arial" w:cs="Arial" w:eastAsia="Arial" w:hAnsi="Arial"/>
          <w:sz w:val="18"/>
          <w:szCs w:val="18"/>
          <w:color w:val="auto"/>
        </w:rPr>
        <w:t>We believe Flywire plays a critical role in helping digitize transactions in traditionally underserved markets, facilitating domestic and cross-border invoicing and payments, automating reconciliation, and providing a seamless experience for our clients’ customers. Our ability to deliver the most important and complex payments both domestically and internationally has become increasingly valued by our clients due to the following trends:</w:t>
      </w:r>
    </w:p>
    <w:p>
      <w:pPr>
        <w:spacing w:after="0" w:line="205" w:lineRule="exact"/>
        <w:rPr>
          <w:sz w:val="20"/>
          <w:szCs w:val="20"/>
          <w:color w:val="auto"/>
        </w:rPr>
      </w:pPr>
    </w:p>
    <w:p>
      <w:pPr>
        <w:ind w:left="1020" w:right="440" w:hanging="195"/>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globalization—and the rise of a “borderless” economy—requires global, cross-border, and local payment and regulatory expertise;</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shift to software-integrated digital payments is accelerating;</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legacy payment and accounts receivable management infrastructure has significant limitations and is ripe for innovation; and</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accelerating digitization of B2B payments.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207" w:lineRule="exact"/>
        <w:rPr>
          <w:sz w:val="20"/>
          <w:szCs w:val="20"/>
          <w:color w:val="auto"/>
        </w:rPr>
      </w:pPr>
    </w:p>
    <w:p>
      <w:pPr>
        <w:ind w:left="300" w:firstLine="426"/>
        <w:spacing w:after="0"/>
        <w:rPr>
          <w:sz w:val="20"/>
          <w:szCs w:val="20"/>
          <w:color w:val="auto"/>
        </w:rPr>
      </w:pPr>
      <w:r>
        <w:rPr>
          <w:rFonts w:ascii="Arial" w:cs="Arial" w:eastAsia="Arial" w:hAnsi="Arial"/>
          <w:sz w:val="18"/>
          <w:szCs w:val="18"/>
          <w:color w:val="auto"/>
        </w:rPr>
        <w:t>We believe the trend of digitizing payments is inevitable across all industries. When businesses and consumers make payments, they expect a quick and easy process. On the receiving end, businesses expect to accept payments from different sources and countries, and reconcile them from within one system, but without added complexity or additional costs.</w:t>
      </w:r>
    </w:p>
    <w:p>
      <w:pPr>
        <w:spacing w:after="0" w:line="162" w:lineRule="exact"/>
        <w:rPr>
          <w:sz w:val="20"/>
          <w:szCs w:val="20"/>
          <w:color w:val="auto"/>
        </w:rPr>
      </w:pPr>
    </w:p>
    <w:p>
      <w:pPr>
        <w:ind w:left="300" w:right="60" w:firstLine="426"/>
        <w:spacing w:after="0" w:line="238" w:lineRule="auto"/>
        <w:rPr>
          <w:sz w:val="20"/>
          <w:szCs w:val="20"/>
          <w:color w:val="auto"/>
        </w:rPr>
      </w:pPr>
      <w:r>
        <w:rPr>
          <w:rFonts w:ascii="Arial" w:cs="Arial" w:eastAsia="Arial" w:hAnsi="Arial"/>
          <w:sz w:val="18"/>
          <w:szCs w:val="18"/>
          <w:color w:val="auto"/>
        </w:rPr>
        <w:t>Many industries still lack the digital payments infrastructure that is necessary to meet customer demand and solve operational inefficiencies. For example, the majority of healthcare payments are still made by check. Likewise, in education, budget shortfalls and jobs impacted by the COVID-19 pandemic, along with rising tuition costs, have added financial strain and created collections problems.</w:t>
      </w:r>
    </w:p>
    <w:p>
      <w:pPr>
        <w:spacing w:after="0" w:line="164" w:lineRule="exact"/>
        <w:rPr>
          <w:sz w:val="20"/>
          <w:szCs w:val="20"/>
          <w:color w:val="auto"/>
        </w:rPr>
      </w:pPr>
    </w:p>
    <w:p>
      <w:pPr>
        <w:ind w:left="300" w:right="480" w:firstLine="426"/>
        <w:spacing w:after="0"/>
        <w:rPr>
          <w:sz w:val="20"/>
          <w:szCs w:val="20"/>
          <w:color w:val="auto"/>
        </w:rPr>
      </w:pPr>
      <w:r>
        <w:rPr>
          <w:rFonts w:ascii="Arial" w:cs="Arial" w:eastAsia="Arial" w:hAnsi="Arial"/>
          <w:sz w:val="18"/>
          <w:szCs w:val="18"/>
          <w:color w:val="auto"/>
        </w:rPr>
        <w:t>Despite these shortfalls, the demand for domestic and cross-border money movement continues to accelerate and global payments present one of the largest market opportunities. For the primary industries we currently serve, we estimate the current addressable market for our solutions to be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00" w:right="540"/>
        <w:spacing w:after="0" w:line="249" w:lineRule="auto"/>
        <w:rPr>
          <w:sz w:val="20"/>
          <w:szCs w:val="20"/>
          <w:color w:val="auto"/>
        </w:rPr>
      </w:pPr>
      <w:r>
        <w:rPr>
          <w:rFonts w:ascii="Arial" w:cs="Arial" w:eastAsia="Arial" w:hAnsi="Arial"/>
          <w:sz w:val="18"/>
          <w:szCs w:val="18"/>
          <w:color w:val="auto"/>
        </w:rPr>
        <w:t>approximately $1.7 trillion in global payment volume, including education ($660 billion)</w:t>
      </w:r>
      <w:r>
        <w:rPr>
          <w:rFonts w:ascii="Arial" w:cs="Arial" w:eastAsia="Arial" w:hAnsi="Arial"/>
          <w:sz w:val="15"/>
          <w:szCs w:val="15"/>
          <w:color w:val="auto"/>
        </w:rPr>
        <w:t>(1)</w:t>
      </w:r>
      <w:r>
        <w:rPr>
          <w:rFonts w:ascii="Arial" w:cs="Arial" w:eastAsia="Arial" w:hAnsi="Arial"/>
          <w:sz w:val="18"/>
          <w:szCs w:val="18"/>
          <w:color w:val="auto"/>
        </w:rPr>
        <w:t>, healthcare ($500 billion)</w:t>
      </w:r>
      <w:r>
        <w:rPr>
          <w:rFonts w:ascii="Arial" w:cs="Arial" w:eastAsia="Arial" w:hAnsi="Arial"/>
          <w:sz w:val="15"/>
          <w:szCs w:val="15"/>
          <w:color w:val="auto"/>
        </w:rPr>
        <w:t>(2)</w:t>
      </w:r>
      <w:r>
        <w:rPr>
          <w:rFonts w:ascii="Arial" w:cs="Arial" w:eastAsia="Arial" w:hAnsi="Arial"/>
          <w:sz w:val="18"/>
          <w:szCs w:val="18"/>
          <w:color w:val="auto"/>
        </w:rPr>
        <w:t xml:space="preserve"> and travel (approximately $530 billion)</w:t>
      </w:r>
      <w:r>
        <w:rPr>
          <w:rFonts w:ascii="Arial" w:cs="Arial" w:eastAsia="Arial" w:hAnsi="Arial"/>
          <w:sz w:val="15"/>
          <w:szCs w:val="15"/>
          <w:color w:val="auto"/>
        </w:rPr>
        <w:t>(3)</w:t>
      </w:r>
      <w:r>
        <w:rPr>
          <w:rFonts w:ascii="Arial" w:cs="Arial" w:eastAsia="Arial" w:hAnsi="Arial"/>
          <w:sz w:val="18"/>
          <w:szCs w:val="18"/>
          <w:color w:val="auto"/>
        </w:rPr>
        <w:t>.</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Additionally, our B2B payments offering expands the addressable market for our solutions, which we estimate to be over</w:t>
      </w:r>
    </w:p>
    <w:p>
      <w:pPr>
        <w:ind w:left="300"/>
        <w:spacing w:after="0" w:line="234" w:lineRule="auto"/>
        <w:rPr>
          <w:sz w:val="20"/>
          <w:szCs w:val="20"/>
          <w:color w:val="auto"/>
        </w:rPr>
      </w:pPr>
      <w:r>
        <w:rPr>
          <w:rFonts w:ascii="Arial" w:cs="Arial" w:eastAsia="Arial" w:hAnsi="Arial"/>
          <w:sz w:val="18"/>
          <w:szCs w:val="18"/>
          <w:color w:val="auto"/>
        </w:rPr>
        <w:t>$10 trillion in addressable B2B payment volume</w:t>
      </w:r>
      <w:r>
        <w:rPr>
          <w:rFonts w:ascii="Arial" w:cs="Arial" w:eastAsia="Arial" w:hAnsi="Arial"/>
          <w:sz w:val="15"/>
          <w:szCs w:val="15"/>
          <w:color w:val="auto"/>
        </w:rPr>
        <w:t>(4)</w:t>
      </w:r>
      <w:r>
        <w:rPr>
          <w:rFonts w:ascii="Arial" w:cs="Arial" w:eastAsia="Arial" w:hAnsi="Arial"/>
          <w:sz w:val="18"/>
          <w:szCs w:val="18"/>
          <w:color w:val="auto"/>
        </w:rPr>
        <w:t>. Given Flywire’s existing penetration of key verticals, ability to integrate with a</w:t>
      </w:r>
    </w:p>
    <w:p>
      <w:pPr>
        <w:ind w:left="300"/>
        <w:spacing w:after="0" w:line="235" w:lineRule="auto"/>
        <w:rPr>
          <w:sz w:val="20"/>
          <w:szCs w:val="20"/>
          <w:color w:val="auto"/>
        </w:rPr>
      </w:pPr>
      <w:r>
        <w:rPr>
          <w:rFonts w:ascii="Arial" w:cs="Arial" w:eastAsia="Arial" w:hAnsi="Arial"/>
          <w:sz w:val="18"/>
          <w:szCs w:val="18"/>
          <w:color w:val="auto"/>
        </w:rPr>
        <w:t>broad range of core systems and continued investments in our next-gen payments platform, proprietary global payment network, and</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vertical-specific software, we believe we have the opportunity to capture a meaningful share of this payment volume.</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93" w:lineRule="exact"/>
        <w:rPr>
          <w:sz w:val="20"/>
          <w:szCs w:val="20"/>
          <w:color w:val="auto"/>
        </w:rPr>
      </w:pPr>
    </w:p>
    <w:p>
      <w:pPr>
        <w:ind w:left="300" w:right="240" w:firstLine="426"/>
        <w:spacing w:after="0" w:line="246" w:lineRule="auto"/>
        <w:rPr>
          <w:sz w:val="20"/>
          <w:szCs w:val="20"/>
          <w:color w:val="auto"/>
        </w:rPr>
      </w:pPr>
      <w:r>
        <w:rPr>
          <w:rFonts w:ascii="Arial" w:cs="Arial" w:eastAsia="Arial" w:hAnsi="Arial"/>
          <w:sz w:val="18"/>
          <w:szCs w:val="18"/>
          <w:color w:val="auto"/>
        </w:rPr>
        <w:t>We believe we have a significant opportunity to build on our success and momentum to date. The key elements of our growth strategy include:</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Our Client Reach</w:t>
      </w:r>
    </w:p>
    <w:p>
      <w:pPr>
        <w:spacing w:after="0" w:line="212" w:lineRule="exact"/>
        <w:rPr>
          <w:sz w:val="20"/>
          <w:szCs w:val="20"/>
          <w:color w:val="auto"/>
        </w:rPr>
      </w:pPr>
    </w:p>
    <w:p>
      <w:pPr>
        <w:ind w:left="1020" w:right="240" w:hanging="195"/>
        <w:spacing w:after="0" w:line="24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Grow with existing clients</w:t>
      </w:r>
      <w:r>
        <w:rPr>
          <w:rFonts w:ascii="Arial" w:cs="Arial" w:eastAsia="Arial" w:hAnsi="Arial"/>
          <w:sz w:val="18"/>
          <w:szCs w:val="18"/>
          <w:color w:val="auto"/>
        </w:rPr>
        <w:t>. We intend to continue to become a more integral part of our clients’ businesses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our clients’ customers who utilize our solutions increases. As our clients transform and digitize their operational workflows, we plan to encourage them to add additional solutions, such as tailored invoicing, payment plans, and eStore marketplaces.</w:t>
      </w:r>
    </w:p>
    <w:p>
      <w:pPr>
        <w:spacing w:after="0" w:line="173" w:lineRule="exact"/>
        <w:rPr>
          <w:rFonts w:ascii="Arial" w:cs="Arial" w:eastAsia="Arial" w:hAnsi="Arial"/>
          <w:sz w:val="18"/>
          <w:szCs w:val="18"/>
          <w:color w:val="auto"/>
        </w:rPr>
      </w:pPr>
    </w:p>
    <w:p>
      <w:pPr>
        <w:ind w:left="1020" w:right="340" w:hanging="195"/>
        <w:spacing w:after="0" w:line="25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Continue to win new clients</w:t>
      </w:r>
      <w:r>
        <w:rPr>
          <w:rFonts w:ascii="Arial" w:cs="Arial" w:eastAsia="Arial" w:hAnsi="Arial"/>
          <w:sz w:val="18"/>
          <w:szCs w:val="18"/>
          <w:color w:val="auto"/>
        </w:rPr>
        <w:t>. We plan to expand our sales and marketing efforts to increase brand awareness and</w:t>
      </w:r>
      <w:r>
        <w:rPr>
          <w:rFonts w:ascii="Arial" w:cs="Arial" w:eastAsia="Arial" w:hAnsi="Arial"/>
          <w:sz w:val="18"/>
          <w:szCs w:val="18"/>
          <w:b w:val="1"/>
          <w:bCs w:val="1"/>
          <w:color w:val="auto"/>
        </w:rPr>
        <w:t xml:space="preserve"> </w:t>
      </w:r>
      <w:r>
        <w:rPr>
          <w:rFonts w:ascii="Arial" w:cs="Arial" w:eastAsia="Arial" w:hAnsi="Arial"/>
          <w:sz w:val="18"/>
          <w:szCs w:val="18"/>
          <w:color w:val="auto"/>
        </w:rPr>
        <w:t>highlight the value of our solutions. We believe this will attract new clients to Flywire and as we add more clients, we can accelerate the effects of our flywheel.</w:t>
      </w:r>
    </w:p>
    <w:p>
      <w:pPr>
        <w:spacing w:after="0" w:line="168" w:lineRule="exact"/>
        <w:rPr>
          <w:rFonts w:ascii="Arial" w:cs="Arial" w:eastAsia="Arial" w:hAnsi="Arial"/>
          <w:sz w:val="18"/>
          <w:szCs w:val="18"/>
          <w:color w:val="auto"/>
        </w:rPr>
      </w:pPr>
    </w:p>
    <w:p>
      <w:pPr>
        <w:ind w:left="1020" w:hanging="195"/>
        <w:spacing w:after="0" w:line="24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Increase payments platform monetization</w:t>
      </w:r>
      <w:r>
        <w:rPr>
          <w:rFonts w:ascii="Arial" w:cs="Arial" w:eastAsia="Arial" w:hAnsi="Arial"/>
          <w:sz w:val="18"/>
          <w:szCs w:val="18"/>
          <w:color w:val="auto"/>
        </w:rPr>
        <w:t>. We have the opportunity to offer additional complementary payment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our clients’ customers in support of our clients’ business goals. We intend to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by expanding the number of use cases we can address such as handling payables in education, business invoices in hospitals, and commissions in travel.</w:t>
      </w:r>
    </w:p>
    <w:p>
      <w:pPr>
        <w:spacing w:after="0" w:line="173" w:lineRule="exact"/>
        <w:rPr>
          <w:rFonts w:ascii="Arial" w:cs="Arial" w:eastAsia="Arial" w:hAnsi="Arial"/>
          <w:sz w:val="18"/>
          <w:szCs w:val="18"/>
          <w:color w:val="auto"/>
        </w:rPr>
      </w:pPr>
    </w:p>
    <w:p>
      <w:pPr>
        <w:ind w:left="1020" w:right="260" w:hanging="195"/>
        <w:spacing w:after="0" w:line="24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Expand our solution portfolio</w:t>
      </w:r>
      <w:r>
        <w:rPr>
          <w:rFonts w:ascii="Arial" w:cs="Arial" w:eastAsia="Arial" w:hAnsi="Arial"/>
          <w:sz w:val="18"/>
          <w:szCs w:val="18"/>
          <w:color w:val="auto"/>
        </w:rPr>
        <w:t>. We expect to continue investing in our solution portfolio by expanding the breadth and</w:t>
      </w:r>
      <w:r>
        <w:rPr>
          <w:rFonts w:ascii="Arial" w:cs="Arial" w:eastAsia="Arial" w:hAnsi="Arial"/>
          <w:sz w:val="18"/>
          <w:szCs w:val="18"/>
          <w:b w:val="1"/>
          <w:bCs w:val="1"/>
          <w:color w:val="auto"/>
        </w:rPr>
        <w:t xml:space="preserve"> </w:t>
      </w:r>
      <w:r>
        <w:rPr>
          <w:rFonts w:ascii="Arial" w:cs="Arial" w:eastAsia="Arial" w:hAnsi="Arial"/>
          <w:sz w:val="18"/>
          <w:szCs w:val="18"/>
          <w:color w:val="auto"/>
        </w:rPr>
        <w:t>depth of our payments and software capabilities. For example, over the last year, we introduced various new solutions to help our clients better meet the needs of their customers, including pre-service capabilities in healthcare and international payment plans in education.</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Our Ecosystem Through Channel Partnerships</w:t>
      </w:r>
    </w:p>
    <w:p>
      <w:pPr>
        <w:spacing w:after="0" w:line="193"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color w:val="auto"/>
        </w:rPr>
        <w:t>While the majority of our clients to date have been acquired by our direct sales team, we expect that continued engagement with channel partners, including financial institutions and providers of enterprise software solutions in our key verticals, will enhance our client acquisition efforts and drive continued growth. We also believe our channel partners, which include consultants specialized in our industry verticals, will help amplify the reach and visibility of our solutions to clients worldwide.</w:t>
      </w:r>
    </w:p>
    <w:p>
      <w:pPr>
        <w:spacing w:after="0" w:line="170" w:lineRule="exact"/>
        <w:rPr>
          <w:sz w:val="20"/>
          <w:szCs w:val="20"/>
          <w:color w:val="auto"/>
        </w:rPr>
      </w:pPr>
    </w:p>
    <w:p>
      <w:pPr>
        <w:ind w:left="600" w:right="740" w:hanging="302"/>
        <w:spacing w:after="0" w:line="182" w:lineRule="auto"/>
        <w:tabs>
          <w:tab w:leader="none" w:pos="60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color w:val="auto"/>
        </w:rPr>
        <w:t>Based on net household payments to educational institutions in OECD countries in 2020 according to the Organisation for Economic Co-operation and Development and payments made to private education institutions in Southeast Asia in 2015 according to EY Parthenon.</w:t>
      </w:r>
    </w:p>
    <w:p>
      <w:pPr>
        <w:spacing w:after="0" w:line="1" w:lineRule="exact"/>
        <w:rPr>
          <w:rFonts w:ascii="Arial" w:cs="Arial" w:eastAsia="Arial" w:hAnsi="Arial"/>
          <w:sz w:val="23"/>
          <w:szCs w:val="23"/>
          <w:color w:val="auto"/>
          <w:vertAlign w:val="superscript"/>
        </w:rPr>
      </w:pPr>
    </w:p>
    <w:p>
      <w:pPr>
        <w:ind w:left="600" w:right="220" w:hanging="302"/>
        <w:spacing w:after="0" w:line="182" w:lineRule="auto"/>
        <w:tabs>
          <w:tab w:leader="none" w:pos="60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color w:val="auto"/>
        </w:rPr>
        <w:t>Based on U.S. out of pocket healthcare spending in 2019 according to the Centers for Medicare &amp; Medicaid Services and cross-border healthcare payments in 2020 according to Patients Without Borders.</w:t>
      </w:r>
    </w:p>
    <w:p>
      <w:pPr>
        <w:spacing w:after="0" w:line="1" w:lineRule="exact"/>
        <w:rPr>
          <w:rFonts w:ascii="Arial" w:cs="Arial" w:eastAsia="Arial" w:hAnsi="Arial"/>
          <w:sz w:val="23"/>
          <w:szCs w:val="23"/>
          <w:color w:val="auto"/>
          <w:vertAlign w:val="superscript"/>
        </w:rPr>
      </w:pPr>
    </w:p>
    <w:p>
      <w:pPr>
        <w:ind w:left="600" w:right="720" w:hanging="302"/>
        <w:spacing w:after="0" w:line="182" w:lineRule="auto"/>
        <w:tabs>
          <w:tab w:leader="none" w:pos="60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color w:val="auto"/>
        </w:rPr>
        <w:t>Based on global travel industry revenue in 2020 according to IBISWorld and management’s estimates that approximately 41% of the non-business and professional travel payment volume is addressable by our solutions.</w:t>
      </w:r>
    </w:p>
    <w:p>
      <w:pPr>
        <w:spacing w:after="0" w:line="1" w:lineRule="exact"/>
        <w:rPr>
          <w:rFonts w:ascii="Arial" w:cs="Arial" w:eastAsia="Arial" w:hAnsi="Arial"/>
          <w:sz w:val="23"/>
          <w:szCs w:val="23"/>
          <w:color w:val="auto"/>
          <w:vertAlign w:val="superscript"/>
        </w:rPr>
      </w:pPr>
    </w:p>
    <w:p>
      <w:pPr>
        <w:ind w:left="600" w:right="20" w:hanging="302"/>
        <w:spacing w:after="0" w:line="183" w:lineRule="auto"/>
        <w:tabs>
          <w:tab w:leader="none" w:pos="60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Based on cross-border B2B inflows in 2020 according to Juniper and management’s estimates that at least 75% of total B2B payment volume is made by medium to large businesses and potentially addressable by our solutions.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to New Verticals and Geographies</w:t>
      </w:r>
    </w:p>
    <w:p>
      <w:pPr>
        <w:spacing w:after="0" w:line="175" w:lineRule="exact"/>
        <w:rPr>
          <w:sz w:val="20"/>
          <w:szCs w:val="20"/>
          <w:color w:val="auto"/>
        </w:rPr>
      </w:pPr>
    </w:p>
    <w:p>
      <w:pPr>
        <w:ind w:left="300" w:right="200" w:firstLine="426"/>
        <w:spacing w:after="0" w:line="245" w:lineRule="auto"/>
        <w:rPr>
          <w:sz w:val="20"/>
          <w:szCs w:val="20"/>
          <w:color w:val="auto"/>
        </w:rPr>
      </w:pPr>
      <w:r>
        <w:rPr>
          <w:rFonts w:ascii="Arial" w:cs="Arial" w:eastAsia="Arial" w:hAnsi="Arial"/>
          <w:sz w:val="18"/>
          <w:szCs w:val="18"/>
          <w:color w:val="auto"/>
        </w:rPr>
        <w:t xml:space="preserve">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to scale into new verticals and geographies. We have a strong track record of scaling efficiently into new verticals and geographic markets, as we have shown in healthcare, travel, and B2B payments and in the expanded reach of our global payment network. Additionally, there are other industries, including real estate and government taxes, that we believe are poorly digitized and could benefit from our solutions.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Pursue Strategic and Value-Enhancing Acquisitions</w:t>
      </w:r>
    </w:p>
    <w:p>
      <w:pPr>
        <w:spacing w:after="0" w:line="193" w:lineRule="exact"/>
        <w:rPr>
          <w:sz w:val="20"/>
          <w:szCs w:val="20"/>
          <w:color w:val="auto"/>
        </w:rPr>
      </w:pPr>
    </w:p>
    <w:p>
      <w:pPr>
        <w:ind w:left="300" w:right="160" w:firstLine="426"/>
        <w:spacing w:after="0" w:line="238" w:lineRule="auto"/>
        <w:rPr>
          <w:sz w:val="20"/>
          <w:szCs w:val="20"/>
          <w:color w:val="auto"/>
        </w:rPr>
      </w:pPr>
      <w:r>
        <w:rPr>
          <w:rFonts w:ascii="Arial" w:cs="Arial" w:eastAsia="Arial" w:hAnsi="Arial"/>
          <w:sz w:val="18"/>
          <w:szCs w:val="18"/>
          <w:color w:val="auto"/>
        </w:rPr>
        <w:t>We intend to continue to complement and accelerate our organic growth strategies through acquisitions. We have a successful record of identifying, executing, and integrating acquisitions, and we intend to continue to pursue acquisitions through a highly disciplined approach. We believe our approach and breadth of experience in integrating culturally-aligned businesses position us to maximize the value we derive from future acquisitions.</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Risks Affecting Us</w:t>
      </w:r>
    </w:p>
    <w:p>
      <w:pPr>
        <w:spacing w:after="0" w:line="207" w:lineRule="exact"/>
        <w:rPr>
          <w:sz w:val="20"/>
          <w:szCs w:val="20"/>
          <w:color w:val="auto"/>
        </w:rPr>
      </w:pPr>
    </w:p>
    <w:p>
      <w:pPr>
        <w:ind w:left="300" w:right="300" w:firstLine="426"/>
        <w:spacing w:after="0"/>
        <w:rPr>
          <w:sz w:val="20"/>
          <w:szCs w:val="20"/>
          <w:color w:val="auto"/>
        </w:rPr>
      </w:pPr>
      <w:r>
        <w:rPr>
          <w:rFonts w:ascii="Arial" w:cs="Arial" w:eastAsia="Arial" w:hAnsi="Arial"/>
          <w:sz w:val="18"/>
          <w:szCs w:val="18"/>
          <w:color w:val="auto"/>
        </w:rPr>
        <w:t>Investing in our common stock involves substantial risk. Our ability to execute our business strategy is subject to numerous risks, as more fully described in the section titled “Risk Factors” immediately following this prospectus summary. Some of the most significant challenges and risks are more fully described in the section titled “Risk Factors—Risk Factor Summary.”</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93" w:lineRule="exact"/>
        <w:rPr>
          <w:sz w:val="20"/>
          <w:szCs w:val="20"/>
          <w:color w:val="auto"/>
        </w:rPr>
      </w:pPr>
    </w:p>
    <w:p>
      <w:pPr>
        <w:ind w:left="300" w:right="20" w:firstLine="426"/>
        <w:spacing w:after="0" w:line="253" w:lineRule="auto"/>
        <w:rPr>
          <w:sz w:val="20"/>
          <w:szCs w:val="20"/>
          <w:color w:val="auto"/>
        </w:rPr>
      </w:pPr>
      <w:r>
        <w:rPr>
          <w:rFonts w:ascii="Arial" w:cs="Arial" w:eastAsia="Arial" w:hAnsi="Arial"/>
          <w:sz w:val="17"/>
          <w:szCs w:val="17"/>
          <w:color w:val="auto"/>
        </w:rPr>
        <w:t>Investors, the media, and others should note that we intend to announce material information to the public through filings with the SEC, the investor relations page on our website, blog posts on our website (www.flywire.com), press releases, public conference calls, webcasts, and our Twitter feed (@flywire).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information contained on, or that can be accessed through, our website is not a part of this prospectus. Investors should not rely on any such information in deciding whether to purchase our common stock.</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207"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color w:val="auto"/>
        </w:rPr>
        <w:t>We were initially formed in July 2009 as peerTransfer Corporation, a Delaware corporation. We changed our name to Flywire Corporation in December 2016. Our principal executive offices are located at 141 Tremont St., #10, Boston, MA 02111. Our telephone number is (617) 329-4524. Our website address is www.flywire.com. The information contained on, or that can be accessed through, our website is not a part of this prospectus. Investors should not rely on any such information in deciding whether to purchase our common stock.</w:t>
      </w:r>
    </w:p>
    <w:p>
      <w:pPr>
        <w:spacing w:after="0" w:line="162" w:lineRule="exact"/>
        <w:rPr>
          <w:sz w:val="20"/>
          <w:szCs w:val="20"/>
          <w:color w:val="auto"/>
        </w:rPr>
      </w:pPr>
    </w:p>
    <w:p>
      <w:pPr>
        <w:ind w:left="300" w:right="40" w:firstLine="426"/>
        <w:spacing w:after="0" w:line="253" w:lineRule="auto"/>
        <w:rPr>
          <w:sz w:val="20"/>
          <w:szCs w:val="20"/>
          <w:color w:val="auto"/>
        </w:rPr>
      </w:pPr>
      <w:r>
        <w:rPr>
          <w:rFonts w:ascii="Arial" w:cs="Arial" w:eastAsia="Arial" w:hAnsi="Arial"/>
          <w:sz w:val="17"/>
          <w:szCs w:val="17"/>
          <w:color w:val="auto"/>
        </w:rPr>
        <w:t xml:space="preserve">Flywire, the Flywire logo, and other registered or common law trade names, trademarks, or service marks of Flywire appearing in this prospectus are the property of Flywire. This prospectus contains additional trade names, trademarks, and service marks of ours and of other companies. We do not intend our use or display of other companies’ trade names, trademarks, or service marks to imply a relationship with, or endorsement or sponsorship of us, by these other companies. Other trademarks appearing in this prospectus are the property of their respective holders. Solely for convenience, our trademarks and tradenames referred to in this prospectus appear without the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w:t>
      </w:r>
      <w:r>
        <w:rPr>
          <w:rFonts w:ascii="Arial" w:cs="Arial" w:eastAsia="Arial" w:hAnsi="Arial"/>
          <w:sz w:val="17"/>
          <w:szCs w:val="17"/>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93" w:lineRule="exact"/>
        <w:rPr>
          <w:sz w:val="20"/>
          <w:szCs w:val="20"/>
          <w:color w:val="auto"/>
        </w:rPr>
      </w:pPr>
    </w:p>
    <w:p>
      <w:pPr>
        <w:ind w:left="300" w:right="20" w:firstLine="426"/>
        <w:spacing w:after="0" w:line="238" w:lineRule="auto"/>
        <w:rPr>
          <w:sz w:val="20"/>
          <w:szCs w:val="20"/>
          <w:color w:val="auto"/>
        </w:rPr>
      </w:pPr>
      <w:r>
        <w:rPr>
          <w:rFonts w:ascii="Arial" w:cs="Arial" w:eastAsia="Arial" w:hAnsi="Arial"/>
          <w:sz w:val="18"/>
          <w:szCs w:val="18"/>
          <w:color w:val="auto"/>
        </w:rPr>
        <w:t>As a company with less than $1.07 billion in revenue during our most recently completed fiscal year, we qualify as an “emerging growth company” as defined in Section 2(a) of the Securities Act of 1933, as amended, or the Securities Act, as modified by the Jumpstart Our Business Startups Act of 2012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202" w:lineRule="exact"/>
        <w:rPr>
          <w:sz w:val="20"/>
          <w:szCs w:val="20"/>
          <w:color w:val="auto"/>
        </w:rPr>
      </w:pPr>
    </w:p>
    <w:p>
      <w:pPr>
        <w:ind w:left="1020" w:right="320" w:hanging="19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correspondingly reduced disclosure in the section titled “Management’s Discussion and Analysis of Financial Condition and Results of Operations”, in registration statements, including this prospectus, subject to certain exceptions;</w:t>
      </w:r>
    </w:p>
    <w:p>
      <w:pPr>
        <w:spacing w:after="0" w:line="202" w:lineRule="exact"/>
        <w:rPr>
          <w:rFonts w:ascii="Arial" w:cs="Arial" w:eastAsia="Arial" w:hAnsi="Arial"/>
          <w:sz w:val="18"/>
          <w:szCs w:val="18"/>
          <w:color w:val="auto"/>
        </w:rPr>
      </w:pPr>
    </w:p>
    <w:p>
      <w:pPr>
        <w:ind w:left="1020" w:right="460" w:hanging="195"/>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 over financial reporting pursuant to the Sarbanes-Oxley Act of 2002;</w:t>
      </w:r>
    </w:p>
    <w:p>
      <w:pPr>
        <w:spacing w:after="0" w:line="196" w:lineRule="exact"/>
        <w:rPr>
          <w:rFonts w:ascii="Arial" w:cs="Arial" w:eastAsia="Arial" w:hAnsi="Arial"/>
          <w:sz w:val="18"/>
          <w:szCs w:val="18"/>
          <w:color w:val="auto"/>
        </w:rPr>
      </w:pPr>
    </w:p>
    <w:p>
      <w:pPr>
        <w:ind w:left="1020" w:right="340" w:hanging="19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202" w:lineRule="exact"/>
        <w:rPr>
          <w:rFonts w:ascii="Arial" w:cs="Arial" w:eastAsia="Arial" w:hAnsi="Arial"/>
          <w:sz w:val="18"/>
          <w:szCs w:val="18"/>
          <w:color w:val="auto"/>
        </w:rPr>
      </w:pPr>
    </w:p>
    <w:p>
      <w:pPr>
        <w:ind w:left="1020" w:right="740" w:hanging="195"/>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in our periodic reports, proxy statements, and registration statements, including this prospectus;</w:t>
      </w:r>
    </w:p>
    <w:p>
      <w:pPr>
        <w:spacing w:after="0" w:line="196" w:lineRule="exact"/>
        <w:rPr>
          <w:rFonts w:ascii="Arial" w:cs="Arial" w:eastAsia="Arial" w:hAnsi="Arial"/>
          <w:sz w:val="18"/>
          <w:szCs w:val="18"/>
          <w:color w:val="auto"/>
        </w:rPr>
      </w:pPr>
    </w:p>
    <w:p>
      <w:pPr>
        <w:ind w:left="1020" w:right="580" w:hanging="195"/>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exemptions from the requirements to obtain a non-binding advisory vote on executive compensation or a stockholder approval of any golden parachute arrangements; and</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85" w:lineRule="exact"/>
        <w:rPr>
          <w:sz w:val="20"/>
          <w:szCs w:val="20"/>
          <w:color w:val="auto"/>
        </w:rPr>
      </w:pPr>
    </w:p>
    <w:p>
      <w:pPr>
        <w:ind w:left="300" w:right="360" w:firstLine="426"/>
        <w:spacing w:after="0" w:line="238"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$ 1.0 billion in non-convertible debt securities; and (iv) the last day of the fiscal year ending after the fifth anniversary of the completion of this offering.</w:t>
      </w:r>
    </w:p>
    <w:p>
      <w:pPr>
        <w:spacing w:after="0" w:line="162"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We may take advantage of these exemptions until such time that we are no longer an emerging growth company. Accordingly,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consolidated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w:t>
      </w:r>
    </w:p>
    <w:p>
      <w:pPr>
        <w:spacing w:after="0" w:line="167" w:lineRule="exact"/>
        <w:rPr>
          <w:sz w:val="20"/>
          <w:szCs w:val="20"/>
          <w:color w:val="auto"/>
        </w:rPr>
      </w:pPr>
    </w:p>
    <w:p>
      <w:pPr>
        <w:jc w:val="both"/>
        <w:ind w:left="300" w:right="240" w:firstLine="426"/>
        <w:spacing w:after="0"/>
        <w:rPr>
          <w:sz w:val="20"/>
          <w:szCs w:val="20"/>
          <w:color w:val="auto"/>
        </w:rPr>
      </w:pPr>
      <w:r>
        <w:rPr>
          <w:rFonts w:ascii="Arial" w:cs="Arial" w:eastAsia="Arial" w:hAnsi="Arial"/>
          <w:sz w:val="18"/>
          <w:szCs w:val="18"/>
          <w:color w:val="auto"/>
        </w:rPr>
        <w:t>For certain risks related to our status as an emerging growth company, see the section titled “Risk Factors—Risks Related to Ownership of Our Common Stock—We are an “emerging growth company,” and we cannot be certain if the reduced reporting and disclosure requirements applicable to emerging growth companies will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459" w:right="6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740" w:type="dxa"/>
            <w:vAlign w:val="bottom"/>
            <w:tcBorders>
              <w:top w:val="single" w:sz="8" w:color="auto"/>
              <w:left w:val="single" w:sz="8" w:color="auto"/>
            </w:tcBorders>
          </w:tcPr>
          <w:p>
            <w:pPr>
              <w:spacing w:after="0"/>
              <w:rPr>
                <w:sz w:val="24"/>
                <w:szCs w:val="24"/>
                <w:color w:val="auto"/>
              </w:rPr>
            </w:pPr>
          </w:p>
        </w:tc>
        <w:tc>
          <w:tcPr>
            <w:tcW w:w="234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The Offering</w:t>
            </w:r>
          </w:p>
        </w:tc>
        <w:tc>
          <w:tcPr>
            <w:tcW w:w="2780" w:type="dxa"/>
            <w:vAlign w:val="bottom"/>
            <w:tcBorders>
              <w:top w:val="single" w:sz="8" w:color="auto"/>
            </w:tcBorders>
          </w:tcPr>
          <w:p>
            <w:pPr>
              <w:spacing w:after="0"/>
              <w:rPr>
                <w:sz w:val="24"/>
                <w:szCs w:val="24"/>
                <w:color w:val="auto"/>
              </w:rPr>
            </w:pPr>
          </w:p>
        </w:tc>
        <w:tc>
          <w:tcPr>
            <w:tcW w:w="1160" w:type="dxa"/>
            <w:vAlign w:val="bottom"/>
            <w:tcBorders>
              <w:top w:val="single" w:sz="8" w:color="auto"/>
              <w:right w:val="single" w:sz="8" w:color="auto"/>
            </w:tcBorders>
          </w:tcPr>
          <w:p>
            <w:pPr>
              <w:spacing w:after="0"/>
              <w:rPr>
                <w:sz w:val="24"/>
                <w:szCs w:val="24"/>
                <w:color w:val="auto"/>
              </w:rPr>
            </w:pPr>
          </w:p>
        </w:tc>
      </w:tr>
      <w:tr>
        <w:trPr>
          <w:trHeight w:val="419"/>
        </w:trPr>
        <w:tc>
          <w:tcPr>
            <w:tcW w:w="47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Common stock offered by us</w:t>
            </w:r>
          </w:p>
        </w:tc>
        <w:tc>
          <w:tcPr>
            <w:tcW w:w="100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shares</w:t>
            </w:r>
          </w:p>
        </w:tc>
        <w:tc>
          <w:tcPr>
            <w:tcW w:w="278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r>
      <w:tr>
        <w:trPr>
          <w:trHeight w:val="418"/>
        </w:trPr>
        <w:tc>
          <w:tcPr>
            <w:tcW w:w="47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 to purchase additional shares of common stock</w:t>
            </w:r>
          </w:p>
        </w:tc>
        <w:tc>
          <w:tcPr>
            <w:tcW w:w="628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We have granted the underwriters a 30-day option to purchase up</w:t>
            </w:r>
          </w:p>
        </w:tc>
      </w:tr>
      <w:tr>
        <w:trPr>
          <w:trHeight w:val="203"/>
        </w:trPr>
        <w:tc>
          <w:tcPr>
            <w:tcW w:w="4740" w:type="dxa"/>
            <w:vAlign w:val="bottom"/>
            <w:tcBorders>
              <w:left w:val="single" w:sz="8" w:color="auto"/>
            </w:tcBorders>
          </w:tcPr>
          <w:p>
            <w:pPr>
              <w:spacing w:after="0"/>
              <w:rPr>
                <w:sz w:val="17"/>
                <w:szCs w:val="17"/>
                <w:color w:val="auto"/>
              </w:rPr>
            </w:pPr>
          </w:p>
        </w:tc>
        <w:tc>
          <w:tcPr>
            <w:tcW w:w="1000" w:type="dxa"/>
            <w:vAlign w:val="bottom"/>
          </w:tcPr>
          <w:p>
            <w:pPr>
              <w:ind w:left="440"/>
              <w:spacing w:after="0" w:line="202" w:lineRule="exact"/>
              <w:rPr>
                <w:sz w:val="20"/>
                <w:szCs w:val="20"/>
                <w:color w:val="auto"/>
              </w:rPr>
            </w:pPr>
            <w:r>
              <w:rPr>
                <w:rFonts w:ascii="Arial" w:cs="Arial" w:eastAsia="Arial" w:hAnsi="Arial"/>
                <w:sz w:val="18"/>
                <w:szCs w:val="18"/>
                <w:color w:val="auto"/>
              </w:rPr>
              <w:t>to</w:t>
            </w:r>
          </w:p>
        </w:tc>
        <w:tc>
          <w:tcPr>
            <w:tcW w:w="528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additional shares of our common stock at the public offering</w:t>
            </w:r>
          </w:p>
        </w:tc>
      </w:tr>
      <w:tr>
        <w:trPr>
          <w:trHeight w:val="217"/>
        </w:trPr>
        <w:tc>
          <w:tcPr>
            <w:tcW w:w="4740" w:type="dxa"/>
            <w:vAlign w:val="bottom"/>
            <w:tcBorders>
              <w:left w:val="single" w:sz="8" w:color="auto"/>
            </w:tcBorders>
          </w:tcPr>
          <w:p>
            <w:pPr>
              <w:spacing w:after="0"/>
              <w:rPr>
                <w:sz w:val="18"/>
                <w:szCs w:val="18"/>
                <w:color w:val="auto"/>
              </w:rPr>
            </w:pPr>
          </w:p>
        </w:tc>
        <w:tc>
          <w:tcPr>
            <w:tcW w:w="628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price less the estimated underwriting discounts and commissions.</w:t>
            </w:r>
          </w:p>
        </w:tc>
      </w:tr>
      <w:tr>
        <w:trPr>
          <w:trHeight w:val="404"/>
        </w:trPr>
        <w:tc>
          <w:tcPr>
            <w:tcW w:w="47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Common stock and non-voting common stock to be</w:t>
            </w:r>
          </w:p>
        </w:tc>
        <w:tc>
          <w:tcPr>
            <w:tcW w:w="100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w w:val="97"/>
              </w:rPr>
              <w:t>shares (of which</w:t>
            </w:r>
          </w:p>
        </w:tc>
        <w:tc>
          <w:tcPr>
            <w:tcW w:w="394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shares will be common stock</w:t>
            </w:r>
          </w:p>
        </w:tc>
      </w:tr>
      <w:tr>
        <w:trPr>
          <w:trHeight w:val="203"/>
        </w:trPr>
        <w:tc>
          <w:tcPr>
            <w:tcW w:w="4740" w:type="dxa"/>
            <w:vAlign w:val="bottom"/>
            <w:tcBorders>
              <w:left w:val="single" w:sz="8" w:color="auto"/>
            </w:tcBorders>
          </w:tcPr>
          <w:p>
            <w:pPr>
              <w:ind w:left="280"/>
              <w:spacing w:after="0" w:line="202" w:lineRule="exact"/>
              <w:rPr>
                <w:sz w:val="20"/>
                <w:szCs w:val="20"/>
                <w:color w:val="auto"/>
              </w:rPr>
            </w:pPr>
            <w:r>
              <w:rPr>
                <w:rFonts w:ascii="Arial" w:cs="Arial" w:eastAsia="Arial" w:hAnsi="Arial"/>
                <w:sz w:val="18"/>
                <w:szCs w:val="18"/>
                <w:color w:val="auto"/>
              </w:rPr>
              <w:t>outstanding immediately after this offering</w:t>
            </w:r>
          </w:p>
        </w:tc>
        <w:tc>
          <w:tcPr>
            <w:tcW w:w="1000" w:type="dxa"/>
            <w:vAlign w:val="bottom"/>
          </w:tcPr>
          <w:p>
            <w:pPr>
              <w:ind w:left="440"/>
              <w:spacing w:after="0" w:line="202" w:lineRule="exact"/>
              <w:rPr>
                <w:sz w:val="20"/>
                <w:szCs w:val="20"/>
                <w:color w:val="auto"/>
              </w:rPr>
            </w:pPr>
            <w:r>
              <w:rPr>
                <w:rFonts w:ascii="Arial" w:cs="Arial" w:eastAsia="Arial" w:hAnsi="Arial"/>
                <w:sz w:val="18"/>
                <w:szCs w:val="18"/>
                <w:color w:val="auto"/>
              </w:rPr>
              <w:t>and</w:t>
            </w:r>
          </w:p>
        </w:tc>
        <w:tc>
          <w:tcPr>
            <w:tcW w:w="41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shares will be non-voting common stock) and</w:t>
            </w:r>
          </w:p>
        </w:tc>
        <w:tc>
          <w:tcPr>
            <w:tcW w:w="1160" w:type="dxa"/>
            <w:vAlign w:val="bottom"/>
            <w:tcBorders>
              <w:right w:val="single" w:sz="8" w:color="auto"/>
            </w:tcBorders>
          </w:tcPr>
          <w:p>
            <w:pPr>
              <w:spacing w:after="0"/>
              <w:rPr>
                <w:sz w:val="17"/>
                <w:szCs w:val="17"/>
                <w:color w:val="auto"/>
              </w:rPr>
            </w:pPr>
          </w:p>
        </w:tc>
      </w:tr>
      <w:tr>
        <w:trPr>
          <w:trHeight w:val="203"/>
        </w:trPr>
        <w:tc>
          <w:tcPr>
            <w:tcW w:w="4740" w:type="dxa"/>
            <w:vAlign w:val="bottom"/>
            <w:tcBorders>
              <w:left w:val="single" w:sz="8" w:color="auto"/>
            </w:tcBorders>
          </w:tcPr>
          <w:p>
            <w:pPr>
              <w:spacing w:after="0"/>
              <w:rPr>
                <w:sz w:val="17"/>
                <w:szCs w:val="17"/>
                <w:color w:val="auto"/>
              </w:rPr>
            </w:pPr>
          </w:p>
        </w:tc>
        <w:tc>
          <w:tcPr>
            <w:tcW w:w="6280" w:type="dxa"/>
            <w:vAlign w:val="bottom"/>
            <w:tcBorders>
              <w:right w:val="single" w:sz="8" w:color="auto"/>
            </w:tcBorders>
            <w:gridSpan w:val="4"/>
          </w:tcPr>
          <w:p>
            <w:pPr>
              <w:ind w:left="440"/>
              <w:spacing w:after="0" w:line="202" w:lineRule="exact"/>
              <w:rPr>
                <w:sz w:val="20"/>
                <w:szCs w:val="20"/>
                <w:color w:val="auto"/>
              </w:rPr>
            </w:pPr>
            <w:r>
              <w:rPr>
                <w:rFonts w:ascii="Arial" w:cs="Arial" w:eastAsia="Arial" w:hAnsi="Arial"/>
                <w:sz w:val="18"/>
                <w:szCs w:val="18"/>
                <w:color w:val="auto"/>
              </w:rPr>
              <w:t>shares, if the underwriters’ option to purchase additional shares of our</w:t>
            </w:r>
          </w:p>
        </w:tc>
      </w:tr>
      <w:tr>
        <w:trPr>
          <w:trHeight w:val="203"/>
        </w:trPr>
        <w:tc>
          <w:tcPr>
            <w:tcW w:w="4740" w:type="dxa"/>
            <w:vAlign w:val="bottom"/>
            <w:tcBorders>
              <w:left w:val="single" w:sz="8" w:color="auto"/>
            </w:tcBorders>
          </w:tcPr>
          <w:p>
            <w:pPr>
              <w:spacing w:after="0"/>
              <w:rPr>
                <w:sz w:val="17"/>
                <w:szCs w:val="17"/>
                <w:color w:val="auto"/>
              </w:rPr>
            </w:pPr>
          </w:p>
        </w:tc>
        <w:tc>
          <w:tcPr>
            <w:tcW w:w="51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common stock from us is exercised in full (of which</w:t>
            </w:r>
          </w:p>
        </w:tc>
        <w:tc>
          <w:tcPr>
            <w:tcW w:w="11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shares will</w:t>
            </w:r>
          </w:p>
        </w:tc>
      </w:tr>
      <w:tr>
        <w:trPr>
          <w:trHeight w:val="203"/>
        </w:trPr>
        <w:tc>
          <w:tcPr>
            <w:tcW w:w="4740" w:type="dxa"/>
            <w:vAlign w:val="bottom"/>
            <w:tcBorders>
              <w:left w:val="single" w:sz="8" w:color="auto"/>
            </w:tcBorders>
          </w:tcPr>
          <w:p>
            <w:pPr>
              <w:spacing w:after="0"/>
              <w:rPr>
                <w:sz w:val="17"/>
                <w:szCs w:val="17"/>
                <w:color w:val="auto"/>
              </w:rPr>
            </w:pPr>
          </w:p>
        </w:tc>
        <w:tc>
          <w:tcPr>
            <w:tcW w:w="23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be common stock and</w:t>
            </w:r>
          </w:p>
        </w:tc>
        <w:tc>
          <w:tcPr>
            <w:tcW w:w="3940" w:type="dxa"/>
            <w:vAlign w:val="bottom"/>
            <w:tcBorders>
              <w:right w:val="single" w:sz="8" w:color="auto"/>
            </w:tcBorders>
            <w:gridSpan w:val="2"/>
          </w:tcPr>
          <w:p>
            <w:pPr>
              <w:ind w:left="500"/>
              <w:spacing w:after="0" w:line="202" w:lineRule="exact"/>
              <w:rPr>
                <w:sz w:val="20"/>
                <w:szCs w:val="20"/>
                <w:color w:val="auto"/>
              </w:rPr>
            </w:pPr>
            <w:r>
              <w:rPr>
                <w:rFonts w:ascii="Arial" w:cs="Arial" w:eastAsia="Arial" w:hAnsi="Arial"/>
                <w:sz w:val="18"/>
                <w:szCs w:val="18"/>
                <w:color w:val="auto"/>
              </w:rPr>
              <w:t>shares will be non-voting common</w:t>
            </w:r>
          </w:p>
        </w:tc>
      </w:tr>
      <w:tr>
        <w:trPr>
          <w:trHeight w:val="217"/>
        </w:trPr>
        <w:tc>
          <w:tcPr>
            <w:tcW w:w="4740" w:type="dxa"/>
            <w:vAlign w:val="bottom"/>
            <w:tcBorders>
              <w:left w:val="single" w:sz="8" w:color="auto"/>
            </w:tcBorders>
          </w:tcPr>
          <w:p>
            <w:pPr>
              <w:spacing w:after="0"/>
              <w:rPr>
                <w:sz w:val="18"/>
                <w:szCs w:val="18"/>
                <w:color w:val="auto"/>
              </w:rPr>
            </w:pPr>
          </w:p>
        </w:tc>
        <w:tc>
          <w:tcPr>
            <w:tcW w:w="1000" w:type="dxa"/>
            <w:vAlign w:val="bottom"/>
          </w:tcPr>
          <w:p>
            <w:pPr>
              <w:ind w:left="440"/>
              <w:spacing w:after="0"/>
              <w:rPr>
                <w:sz w:val="20"/>
                <w:szCs w:val="20"/>
                <w:color w:val="auto"/>
              </w:rPr>
            </w:pPr>
            <w:r>
              <w:rPr>
                <w:rFonts w:ascii="Arial" w:cs="Arial" w:eastAsia="Arial" w:hAnsi="Arial"/>
                <w:sz w:val="18"/>
                <w:szCs w:val="18"/>
                <w:color w:val="auto"/>
              </w:rPr>
              <w:t>stock).</w:t>
            </w:r>
          </w:p>
        </w:tc>
        <w:tc>
          <w:tcPr>
            <w:tcW w:w="13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r>
      <w:tr>
        <w:trPr>
          <w:trHeight w:val="404"/>
        </w:trPr>
        <w:tc>
          <w:tcPr>
            <w:tcW w:w="4740" w:type="dxa"/>
            <w:vAlign w:val="bottom"/>
            <w:tcBorders>
              <w:left w:val="single" w:sz="8" w:color="auto"/>
            </w:tcBorders>
          </w:tcPr>
          <w:p>
            <w:pPr>
              <w:spacing w:after="0"/>
              <w:rPr>
                <w:sz w:val="24"/>
                <w:szCs w:val="24"/>
                <w:color w:val="auto"/>
              </w:rPr>
            </w:pPr>
          </w:p>
        </w:tc>
        <w:tc>
          <w:tcPr>
            <w:tcW w:w="628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We estimate that the net proceeds from the sale of shares of our</w:t>
            </w:r>
          </w:p>
        </w:tc>
      </w:tr>
      <w:tr>
        <w:trPr>
          <w:trHeight w:val="203"/>
        </w:trPr>
        <w:tc>
          <w:tcPr>
            <w:tcW w:w="4740" w:type="dxa"/>
            <w:vAlign w:val="bottom"/>
            <w:tcBorders>
              <w:left w:val="single" w:sz="8" w:color="auto"/>
            </w:tcBorders>
          </w:tcPr>
          <w:p>
            <w:pPr>
              <w:spacing w:after="0"/>
              <w:rPr>
                <w:sz w:val="17"/>
                <w:szCs w:val="17"/>
                <w:color w:val="auto"/>
              </w:rPr>
            </w:pPr>
          </w:p>
        </w:tc>
        <w:tc>
          <w:tcPr>
            <w:tcW w:w="51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common stock in this offering will be approximately $</w:t>
            </w:r>
          </w:p>
        </w:tc>
        <w:tc>
          <w:tcPr>
            <w:tcW w:w="116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million, or</w:t>
            </w:r>
          </w:p>
        </w:tc>
      </w:tr>
      <w:tr>
        <w:trPr>
          <w:trHeight w:val="203"/>
        </w:trPr>
        <w:tc>
          <w:tcPr>
            <w:tcW w:w="4740" w:type="dxa"/>
            <w:vAlign w:val="bottom"/>
            <w:tcBorders>
              <w:left w:val="single" w:sz="8" w:color="auto"/>
            </w:tcBorders>
          </w:tcPr>
          <w:p>
            <w:pPr>
              <w:spacing w:after="0"/>
              <w:rPr>
                <w:sz w:val="17"/>
                <w:szCs w:val="17"/>
                <w:color w:val="auto"/>
              </w:rPr>
            </w:pPr>
          </w:p>
        </w:tc>
        <w:tc>
          <w:tcPr>
            <w:tcW w:w="23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approximately $</w:t>
            </w:r>
          </w:p>
        </w:tc>
        <w:tc>
          <w:tcPr>
            <w:tcW w:w="3940" w:type="dxa"/>
            <w:vAlign w:val="bottom"/>
            <w:tcBorders>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million if the underwriters exercise their option</w:t>
            </w:r>
          </w:p>
        </w:tc>
      </w:tr>
      <w:tr>
        <w:trPr>
          <w:trHeight w:val="203"/>
        </w:trPr>
        <w:tc>
          <w:tcPr>
            <w:tcW w:w="4740" w:type="dxa"/>
            <w:vAlign w:val="bottom"/>
            <w:tcBorders>
              <w:left w:val="single" w:sz="8" w:color="auto"/>
            </w:tcBorders>
          </w:tcPr>
          <w:p>
            <w:pPr>
              <w:spacing w:after="0"/>
              <w:rPr>
                <w:sz w:val="17"/>
                <w:szCs w:val="17"/>
                <w:color w:val="auto"/>
              </w:rPr>
            </w:pPr>
          </w:p>
        </w:tc>
        <w:tc>
          <w:tcPr>
            <w:tcW w:w="6280" w:type="dxa"/>
            <w:vAlign w:val="bottom"/>
            <w:tcBorders>
              <w:right w:val="single" w:sz="8" w:color="auto"/>
            </w:tcBorders>
            <w:gridSpan w:val="4"/>
          </w:tcPr>
          <w:p>
            <w:pPr>
              <w:ind w:left="440"/>
              <w:spacing w:after="0" w:line="202" w:lineRule="exact"/>
              <w:rPr>
                <w:sz w:val="20"/>
                <w:szCs w:val="20"/>
                <w:color w:val="auto"/>
              </w:rPr>
            </w:pPr>
            <w:r>
              <w:rPr>
                <w:rFonts w:ascii="Arial" w:cs="Arial" w:eastAsia="Arial" w:hAnsi="Arial"/>
                <w:sz w:val="18"/>
                <w:szCs w:val="18"/>
                <w:color w:val="auto"/>
              </w:rPr>
              <w:t>to purchase additional shares in full, based upon an assumed initial</w:t>
            </w:r>
          </w:p>
        </w:tc>
      </w:tr>
      <w:tr>
        <w:trPr>
          <w:trHeight w:val="203"/>
        </w:trPr>
        <w:tc>
          <w:tcPr>
            <w:tcW w:w="4740" w:type="dxa"/>
            <w:vAlign w:val="bottom"/>
            <w:tcBorders>
              <w:left w:val="single" w:sz="8" w:color="auto"/>
            </w:tcBorders>
          </w:tcPr>
          <w:p>
            <w:pPr>
              <w:spacing w:after="0"/>
              <w:rPr>
                <w:sz w:val="17"/>
                <w:szCs w:val="17"/>
                <w:color w:val="auto"/>
              </w:rPr>
            </w:pPr>
          </w:p>
        </w:tc>
        <w:tc>
          <w:tcPr>
            <w:tcW w:w="234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8"/>
              </w:rPr>
              <w:t>public offering price of $</w:t>
            </w:r>
          </w:p>
        </w:tc>
        <w:tc>
          <w:tcPr>
            <w:tcW w:w="3940" w:type="dxa"/>
            <w:vAlign w:val="bottom"/>
            <w:tcBorders>
              <w:right w:val="single" w:sz="8" w:color="auto"/>
            </w:tcBorders>
            <w:gridSpan w:val="2"/>
          </w:tcPr>
          <w:p>
            <w:pPr>
              <w:ind w:left="660"/>
              <w:spacing w:after="0" w:line="202" w:lineRule="exact"/>
              <w:rPr>
                <w:sz w:val="20"/>
                <w:szCs w:val="20"/>
                <w:color w:val="auto"/>
              </w:rPr>
            </w:pPr>
            <w:r>
              <w:rPr>
                <w:rFonts w:ascii="Arial" w:cs="Arial" w:eastAsia="Arial" w:hAnsi="Arial"/>
                <w:sz w:val="18"/>
                <w:szCs w:val="18"/>
                <w:color w:val="auto"/>
              </w:rPr>
              <w:t>per share, which is the midpoint of the</w:t>
            </w:r>
          </w:p>
        </w:tc>
      </w:tr>
      <w:tr>
        <w:trPr>
          <w:trHeight w:val="203"/>
        </w:trPr>
        <w:tc>
          <w:tcPr>
            <w:tcW w:w="4740" w:type="dxa"/>
            <w:vAlign w:val="bottom"/>
            <w:tcBorders>
              <w:left w:val="single" w:sz="8" w:color="auto"/>
            </w:tcBorders>
          </w:tcPr>
          <w:p>
            <w:pPr>
              <w:spacing w:after="0"/>
              <w:rPr>
                <w:sz w:val="17"/>
                <w:szCs w:val="17"/>
                <w:color w:val="auto"/>
              </w:rPr>
            </w:pPr>
          </w:p>
        </w:tc>
        <w:tc>
          <w:tcPr>
            <w:tcW w:w="6280" w:type="dxa"/>
            <w:vAlign w:val="bottom"/>
            <w:tcBorders>
              <w:right w:val="single" w:sz="8" w:color="auto"/>
            </w:tcBorders>
            <w:gridSpan w:val="4"/>
          </w:tcPr>
          <w:p>
            <w:pPr>
              <w:ind w:left="440"/>
              <w:spacing w:after="0" w:line="202" w:lineRule="exact"/>
              <w:rPr>
                <w:sz w:val="20"/>
                <w:szCs w:val="20"/>
                <w:color w:val="auto"/>
              </w:rPr>
            </w:pPr>
            <w:r>
              <w:rPr>
                <w:rFonts w:ascii="Arial" w:cs="Arial" w:eastAsia="Arial" w:hAnsi="Arial"/>
                <w:sz w:val="18"/>
                <w:szCs w:val="18"/>
                <w:color w:val="auto"/>
              </w:rPr>
              <w:t>price range set forth on the cover page of this prospectus, after</w:t>
            </w:r>
          </w:p>
        </w:tc>
      </w:tr>
      <w:tr>
        <w:trPr>
          <w:trHeight w:val="203"/>
        </w:trPr>
        <w:tc>
          <w:tcPr>
            <w:tcW w:w="4740" w:type="dxa"/>
            <w:vAlign w:val="bottom"/>
            <w:tcBorders>
              <w:left w:val="single" w:sz="8" w:color="auto"/>
            </w:tcBorders>
          </w:tcPr>
          <w:p>
            <w:pPr>
              <w:spacing w:after="0"/>
              <w:rPr>
                <w:sz w:val="17"/>
                <w:szCs w:val="17"/>
                <w:color w:val="auto"/>
              </w:rPr>
            </w:pPr>
          </w:p>
        </w:tc>
        <w:tc>
          <w:tcPr>
            <w:tcW w:w="6280" w:type="dxa"/>
            <w:vAlign w:val="bottom"/>
            <w:tcBorders>
              <w:right w:val="single" w:sz="8" w:color="auto"/>
            </w:tcBorders>
            <w:gridSpan w:val="4"/>
          </w:tcPr>
          <w:p>
            <w:pPr>
              <w:ind w:left="440"/>
              <w:spacing w:after="0" w:line="202" w:lineRule="exact"/>
              <w:rPr>
                <w:sz w:val="20"/>
                <w:szCs w:val="20"/>
                <w:color w:val="auto"/>
              </w:rPr>
            </w:pPr>
            <w:r>
              <w:rPr>
                <w:rFonts w:ascii="Arial" w:cs="Arial" w:eastAsia="Arial" w:hAnsi="Arial"/>
                <w:sz w:val="18"/>
                <w:szCs w:val="18"/>
                <w:color w:val="auto"/>
              </w:rPr>
              <w:t>deducting estimated underwriting discounts and commissions and</w:t>
            </w:r>
          </w:p>
        </w:tc>
      </w:tr>
      <w:tr>
        <w:trPr>
          <w:trHeight w:val="217"/>
        </w:trPr>
        <w:tc>
          <w:tcPr>
            <w:tcW w:w="4740" w:type="dxa"/>
            <w:vAlign w:val="bottom"/>
            <w:tcBorders>
              <w:left w:val="single" w:sz="8" w:color="auto"/>
            </w:tcBorders>
          </w:tcPr>
          <w:p>
            <w:pPr>
              <w:spacing w:after="0"/>
              <w:rPr>
                <w:sz w:val="18"/>
                <w:szCs w:val="18"/>
                <w:color w:val="auto"/>
              </w:rPr>
            </w:pPr>
          </w:p>
        </w:tc>
        <w:tc>
          <w:tcPr>
            <w:tcW w:w="5120" w:type="dxa"/>
            <w:vAlign w:val="bottom"/>
            <w:gridSpan w:val="3"/>
          </w:tcPr>
          <w:p>
            <w:pPr>
              <w:ind w:left="440"/>
              <w:spacing w:after="0"/>
              <w:rPr>
                <w:sz w:val="20"/>
                <w:szCs w:val="20"/>
                <w:color w:val="auto"/>
              </w:rPr>
            </w:pPr>
            <w:r>
              <w:rPr>
                <w:rFonts w:ascii="Arial" w:cs="Arial" w:eastAsia="Arial" w:hAnsi="Arial"/>
                <w:sz w:val="18"/>
                <w:szCs w:val="18"/>
                <w:color w:val="auto"/>
              </w:rPr>
              <w:t>estimated offering expenses.</w:t>
            </w:r>
          </w:p>
        </w:tc>
        <w:tc>
          <w:tcPr>
            <w:tcW w:w="1160" w:type="dxa"/>
            <w:vAlign w:val="bottom"/>
            <w:tcBorders>
              <w:right w:val="single" w:sz="8" w:color="auto"/>
            </w:tcBorders>
          </w:tcPr>
          <w:p>
            <w:pPr>
              <w:spacing w:after="0"/>
              <w:rPr>
                <w:sz w:val="18"/>
                <w:szCs w:val="18"/>
                <w:color w:val="auto"/>
              </w:rPr>
            </w:pPr>
          </w:p>
        </w:tc>
      </w:tr>
      <w:tr>
        <w:trPr>
          <w:trHeight w:val="404"/>
        </w:trPr>
        <w:tc>
          <w:tcPr>
            <w:tcW w:w="47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628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The principal purposes of this offering are to increase our capitalization</w:t>
            </w:r>
          </w:p>
        </w:tc>
      </w:tr>
      <w:tr>
        <w:trPr>
          <w:trHeight w:val="203"/>
        </w:trPr>
        <w:tc>
          <w:tcPr>
            <w:tcW w:w="4740" w:type="dxa"/>
            <w:vAlign w:val="bottom"/>
            <w:tcBorders>
              <w:left w:val="single" w:sz="8" w:color="auto"/>
            </w:tcBorders>
          </w:tcPr>
          <w:p>
            <w:pPr>
              <w:spacing w:after="0"/>
              <w:rPr>
                <w:sz w:val="17"/>
                <w:szCs w:val="17"/>
                <w:color w:val="auto"/>
              </w:rPr>
            </w:pPr>
          </w:p>
        </w:tc>
        <w:tc>
          <w:tcPr>
            <w:tcW w:w="6280" w:type="dxa"/>
            <w:vAlign w:val="bottom"/>
            <w:tcBorders>
              <w:right w:val="single" w:sz="8" w:color="auto"/>
            </w:tcBorders>
            <w:gridSpan w:val="4"/>
          </w:tcPr>
          <w:p>
            <w:pPr>
              <w:ind w:left="440"/>
              <w:spacing w:after="0" w:line="202" w:lineRule="exact"/>
              <w:rPr>
                <w:sz w:val="20"/>
                <w:szCs w:val="20"/>
                <w:color w:val="auto"/>
              </w:rPr>
            </w:pPr>
            <w:r>
              <w:rPr>
                <w:rFonts w:ascii="Arial" w:cs="Arial" w:eastAsia="Arial" w:hAnsi="Arial"/>
                <w:sz w:val="18"/>
                <w:szCs w:val="18"/>
                <w:color w:val="auto"/>
              </w:rPr>
              <w:t>and financial flexibility, create a public market for our common stock,</w:t>
            </w:r>
          </w:p>
        </w:tc>
      </w:tr>
      <w:tr>
        <w:trPr>
          <w:trHeight w:val="202"/>
        </w:trPr>
        <w:tc>
          <w:tcPr>
            <w:tcW w:w="4740" w:type="dxa"/>
            <w:vAlign w:val="bottom"/>
            <w:tcBorders>
              <w:left w:val="single" w:sz="8" w:color="auto"/>
            </w:tcBorders>
          </w:tcPr>
          <w:p>
            <w:pPr>
              <w:spacing w:after="0"/>
              <w:rPr>
                <w:sz w:val="17"/>
                <w:szCs w:val="17"/>
                <w:color w:val="auto"/>
              </w:rPr>
            </w:pPr>
          </w:p>
        </w:tc>
        <w:tc>
          <w:tcPr>
            <w:tcW w:w="6280" w:type="dxa"/>
            <w:vAlign w:val="bottom"/>
            <w:tcBorders>
              <w:right w:val="single" w:sz="8" w:color="auto"/>
            </w:tcBorders>
            <w:gridSpan w:val="4"/>
          </w:tcPr>
          <w:p>
            <w:pPr>
              <w:ind w:left="440"/>
              <w:spacing w:after="0" w:line="202" w:lineRule="exact"/>
              <w:rPr>
                <w:sz w:val="20"/>
                <w:szCs w:val="20"/>
                <w:color w:val="auto"/>
              </w:rPr>
            </w:pPr>
            <w:r>
              <w:rPr>
                <w:rFonts w:ascii="Arial" w:cs="Arial" w:eastAsia="Arial" w:hAnsi="Arial"/>
                <w:sz w:val="18"/>
                <w:szCs w:val="18"/>
                <w:color w:val="auto"/>
              </w:rPr>
              <w:t>and enable access to the public equity markets for our stockholders</w:t>
            </w:r>
          </w:p>
        </w:tc>
      </w:tr>
      <w:tr>
        <w:trPr>
          <w:trHeight w:val="203"/>
        </w:trPr>
        <w:tc>
          <w:tcPr>
            <w:tcW w:w="4740" w:type="dxa"/>
            <w:vAlign w:val="bottom"/>
            <w:tcBorders>
              <w:left w:val="single" w:sz="8" w:color="auto"/>
            </w:tcBorders>
          </w:tcPr>
          <w:p>
            <w:pPr>
              <w:spacing w:after="0"/>
              <w:rPr>
                <w:sz w:val="17"/>
                <w:szCs w:val="17"/>
                <w:color w:val="auto"/>
              </w:rPr>
            </w:pPr>
          </w:p>
        </w:tc>
        <w:tc>
          <w:tcPr>
            <w:tcW w:w="6280" w:type="dxa"/>
            <w:vAlign w:val="bottom"/>
            <w:tcBorders>
              <w:right w:val="single" w:sz="8" w:color="auto"/>
            </w:tcBorders>
            <w:gridSpan w:val="4"/>
          </w:tcPr>
          <w:p>
            <w:pPr>
              <w:ind w:left="440"/>
              <w:spacing w:after="0" w:line="202" w:lineRule="exact"/>
              <w:rPr>
                <w:sz w:val="20"/>
                <w:szCs w:val="20"/>
                <w:color w:val="auto"/>
              </w:rPr>
            </w:pPr>
            <w:r>
              <w:rPr>
                <w:rFonts w:ascii="Arial" w:cs="Arial" w:eastAsia="Arial" w:hAnsi="Arial"/>
                <w:sz w:val="18"/>
                <w:szCs w:val="18"/>
                <w:color w:val="auto"/>
              </w:rPr>
              <w:t>and us. We intend to use the net proceeds from this offering for</w:t>
            </w:r>
          </w:p>
        </w:tc>
      </w:tr>
      <w:tr>
        <w:trPr>
          <w:trHeight w:val="203"/>
        </w:trPr>
        <w:tc>
          <w:tcPr>
            <w:tcW w:w="4740" w:type="dxa"/>
            <w:vAlign w:val="bottom"/>
            <w:tcBorders>
              <w:left w:val="single" w:sz="8" w:color="auto"/>
            </w:tcBorders>
          </w:tcPr>
          <w:p>
            <w:pPr>
              <w:spacing w:after="0"/>
              <w:rPr>
                <w:sz w:val="17"/>
                <w:szCs w:val="17"/>
                <w:color w:val="auto"/>
              </w:rPr>
            </w:pPr>
          </w:p>
        </w:tc>
        <w:tc>
          <w:tcPr>
            <w:tcW w:w="6280" w:type="dxa"/>
            <w:vAlign w:val="bottom"/>
            <w:tcBorders>
              <w:right w:val="single" w:sz="8" w:color="auto"/>
            </w:tcBorders>
            <w:gridSpan w:val="4"/>
          </w:tcPr>
          <w:p>
            <w:pPr>
              <w:ind w:left="440"/>
              <w:spacing w:after="0" w:line="202" w:lineRule="exact"/>
              <w:rPr>
                <w:sz w:val="20"/>
                <w:szCs w:val="20"/>
                <w:color w:val="auto"/>
              </w:rPr>
            </w:pPr>
            <w:r>
              <w:rPr>
                <w:rFonts w:ascii="Arial" w:cs="Arial" w:eastAsia="Arial" w:hAnsi="Arial"/>
                <w:sz w:val="18"/>
                <w:szCs w:val="18"/>
                <w:color w:val="auto"/>
              </w:rPr>
              <w:t>working capital and other general corporate purposes, which may</w:t>
            </w:r>
          </w:p>
        </w:tc>
      </w:tr>
      <w:tr>
        <w:trPr>
          <w:trHeight w:val="203"/>
        </w:trPr>
        <w:tc>
          <w:tcPr>
            <w:tcW w:w="4740" w:type="dxa"/>
            <w:vAlign w:val="bottom"/>
            <w:tcBorders>
              <w:left w:val="single" w:sz="8" w:color="auto"/>
            </w:tcBorders>
          </w:tcPr>
          <w:p>
            <w:pPr>
              <w:spacing w:after="0"/>
              <w:rPr>
                <w:sz w:val="17"/>
                <w:szCs w:val="17"/>
                <w:color w:val="auto"/>
              </w:rPr>
            </w:pPr>
          </w:p>
        </w:tc>
        <w:tc>
          <w:tcPr>
            <w:tcW w:w="6280" w:type="dxa"/>
            <w:vAlign w:val="bottom"/>
            <w:tcBorders>
              <w:right w:val="single" w:sz="8" w:color="auto"/>
            </w:tcBorders>
            <w:gridSpan w:val="4"/>
          </w:tcPr>
          <w:p>
            <w:pPr>
              <w:ind w:left="440"/>
              <w:spacing w:after="0" w:line="202" w:lineRule="exact"/>
              <w:rPr>
                <w:sz w:val="20"/>
                <w:szCs w:val="20"/>
                <w:color w:val="auto"/>
              </w:rPr>
            </w:pPr>
            <w:r>
              <w:rPr>
                <w:rFonts w:ascii="Arial" w:cs="Arial" w:eastAsia="Arial" w:hAnsi="Arial"/>
                <w:sz w:val="18"/>
                <w:szCs w:val="18"/>
                <w:color w:val="auto"/>
              </w:rPr>
              <w:t>include technology and solutions development, selling and marketing,</w:t>
            </w:r>
          </w:p>
        </w:tc>
      </w:tr>
      <w:tr>
        <w:trPr>
          <w:trHeight w:val="203"/>
        </w:trPr>
        <w:tc>
          <w:tcPr>
            <w:tcW w:w="4740" w:type="dxa"/>
            <w:vAlign w:val="bottom"/>
            <w:tcBorders>
              <w:left w:val="single" w:sz="8" w:color="auto"/>
            </w:tcBorders>
          </w:tcPr>
          <w:p>
            <w:pPr>
              <w:spacing w:after="0"/>
              <w:rPr>
                <w:sz w:val="17"/>
                <w:szCs w:val="17"/>
                <w:color w:val="auto"/>
              </w:rPr>
            </w:pPr>
          </w:p>
        </w:tc>
        <w:tc>
          <w:tcPr>
            <w:tcW w:w="6280" w:type="dxa"/>
            <w:vAlign w:val="bottom"/>
            <w:tcBorders>
              <w:right w:val="single" w:sz="8" w:color="auto"/>
            </w:tcBorders>
            <w:gridSpan w:val="4"/>
          </w:tcPr>
          <w:p>
            <w:pPr>
              <w:ind w:left="440"/>
              <w:spacing w:after="0" w:line="202" w:lineRule="exact"/>
              <w:rPr>
                <w:sz w:val="20"/>
                <w:szCs w:val="20"/>
                <w:color w:val="auto"/>
              </w:rPr>
            </w:pPr>
            <w:r>
              <w:rPr>
                <w:rFonts w:ascii="Arial" w:cs="Arial" w:eastAsia="Arial" w:hAnsi="Arial"/>
                <w:sz w:val="18"/>
                <w:szCs w:val="18"/>
                <w:color w:val="auto"/>
              </w:rPr>
              <w:t>general and administrative matters, and capital expenditures. We may</w:t>
            </w:r>
          </w:p>
        </w:tc>
      </w:tr>
      <w:tr>
        <w:trPr>
          <w:trHeight w:val="203"/>
        </w:trPr>
        <w:tc>
          <w:tcPr>
            <w:tcW w:w="4740" w:type="dxa"/>
            <w:vAlign w:val="bottom"/>
            <w:tcBorders>
              <w:left w:val="single" w:sz="8" w:color="auto"/>
            </w:tcBorders>
          </w:tcPr>
          <w:p>
            <w:pPr>
              <w:spacing w:after="0"/>
              <w:rPr>
                <w:sz w:val="17"/>
                <w:szCs w:val="17"/>
                <w:color w:val="auto"/>
              </w:rPr>
            </w:pPr>
          </w:p>
        </w:tc>
        <w:tc>
          <w:tcPr>
            <w:tcW w:w="6280" w:type="dxa"/>
            <w:vAlign w:val="bottom"/>
            <w:tcBorders>
              <w:right w:val="single" w:sz="8" w:color="auto"/>
            </w:tcBorders>
            <w:gridSpan w:val="4"/>
          </w:tcPr>
          <w:p>
            <w:pPr>
              <w:ind w:left="440"/>
              <w:spacing w:after="0" w:line="202" w:lineRule="exact"/>
              <w:rPr>
                <w:sz w:val="20"/>
                <w:szCs w:val="20"/>
                <w:color w:val="auto"/>
              </w:rPr>
            </w:pPr>
            <w:r>
              <w:rPr>
                <w:rFonts w:ascii="Arial" w:cs="Arial" w:eastAsia="Arial" w:hAnsi="Arial"/>
                <w:sz w:val="18"/>
                <w:szCs w:val="18"/>
                <w:color w:val="auto"/>
              </w:rPr>
              <w:t>also use a portion of the proceeds for the acquisition of, or investment</w:t>
            </w:r>
          </w:p>
        </w:tc>
      </w:tr>
      <w:tr>
        <w:trPr>
          <w:trHeight w:val="203"/>
        </w:trPr>
        <w:tc>
          <w:tcPr>
            <w:tcW w:w="4740" w:type="dxa"/>
            <w:vAlign w:val="bottom"/>
            <w:tcBorders>
              <w:left w:val="single" w:sz="8" w:color="auto"/>
            </w:tcBorders>
          </w:tcPr>
          <w:p>
            <w:pPr>
              <w:spacing w:after="0"/>
              <w:rPr>
                <w:sz w:val="17"/>
                <w:szCs w:val="17"/>
                <w:color w:val="auto"/>
              </w:rPr>
            </w:pPr>
          </w:p>
        </w:tc>
        <w:tc>
          <w:tcPr>
            <w:tcW w:w="6280" w:type="dxa"/>
            <w:vAlign w:val="bottom"/>
            <w:tcBorders>
              <w:right w:val="single" w:sz="8" w:color="auto"/>
            </w:tcBorders>
            <w:gridSpan w:val="4"/>
          </w:tcPr>
          <w:p>
            <w:pPr>
              <w:ind w:left="440"/>
              <w:spacing w:after="0" w:line="202" w:lineRule="exact"/>
              <w:rPr>
                <w:sz w:val="20"/>
                <w:szCs w:val="20"/>
                <w:color w:val="auto"/>
              </w:rPr>
            </w:pPr>
            <w:r>
              <w:rPr>
                <w:rFonts w:ascii="Arial" w:cs="Arial" w:eastAsia="Arial" w:hAnsi="Arial"/>
                <w:sz w:val="18"/>
                <w:szCs w:val="18"/>
                <w:color w:val="auto"/>
              </w:rPr>
              <w:t>in, technologies, solutions, or businesses that complement our</w:t>
            </w:r>
          </w:p>
        </w:tc>
      </w:tr>
      <w:tr>
        <w:trPr>
          <w:trHeight w:val="203"/>
        </w:trPr>
        <w:tc>
          <w:tcPr>
            <w:tcW w:w="4740" w:type="dxa"/>
            <w:vAlign w:val="bottom"/>
            <w:tcBorders>
              <w:left w:val="single" w:sz="8" w:color="auto"/>
            </w:tcBorders>
          </w:tcPr>
          <w:p>
            <w:pPr>
              <w:spacing w:after="0"/>
              <w:rPr>
                <w:sz w:val="17"/>
                <w:szCs w:val="17"/>
                <w:color w:val="auto"/>
              </w:rPr>
            </w:pPr>
          </w:p>
        </w:tc>
        <w:tc>
          <w:tcPr>
            <w:tcW w:w="5120" w:type="dxa"/>
            <w:vAlign w:val="bottom"/>
            <w:gridSpan w:val="3"/>
          </w:tcPr>
          <w:p>
            <w:pPr>
              <w:ind w:left="440"/>
              <w:spacing w:after="0" w:line="202" w:lineRule="exact"/>
              <w:rPr>
                <w:sz w:val="20"/>
                <w:szCs w:val="20"/>
                <w:color w:val="auto"/>
              </w:rPr>
            </w:pPr>
            <w:r>
              <w:rPr>
                <w:rFonts w:ascii="Arial" w:cs="Arial" w:eastAsia="Arial" w:hAnsi="Arial"/>
                <w:sz w:val="18"/>
                <w:szCs w:val="18"/>
                <w:color w:val="auto"/>
                <w:w w:val="99"/>
              </w:rPr>
              <w:t>business. However, we do not have binding agreements or</w:t>
            </w:r>
          </w:p>
        </w:tc>
        <w:tc>
          <w:tcPr>
            <w:tcW w:w="1160" w:type="dxa"/>
            <w:vAlign w:val="bottom"/>
            <w:tcBorders>
              <w:right w:val="single" w:sz="8" w:color="auto"/>
            </w:tcBorders>
          </w:tcPr>
          <w:p>
            <w:pPr>
              <w:spacing w:after="0"/>
              <w:rPr>
                <w:sz w:val="17"/>
                <w:szCs w:val="17"/>
                <w:color w:val="auto"/>
              </w:rPr>
            </w:pPr>
          </w:p>
        </w:tc>
      </w:tr>
      <w:tr>
        <w:trPr>
          <w:trHeight w:val="203"/>
        </w:trPr>
        <w:tc>
          <w:tcPr>
            <w:tcW w:w="4740" w:type="dxa"/>
            <w:vAlign w:val="bottom"/>
            <w:tcBorders>
              <w:left w:val="single" w:sz="8" w:color="auto"/>
            </w:tcBorders>
          </w:tcPr>
          <w:p>
            <w:pPr>
              <w:spacing w:after="0"/>
              <w:rPr>
                <w:sz w:val="17"/>
                <w:szCs w:val="17"/>
                <w:color w:val="auto"/>
              </w:rPr>
            </w:pPr>
          </w:p>
        </w:tc>
        <w:tc>
          <w:tcPr>
            <w:tcW w:w="6280" w:type="dxa"/>
            <w:vAlign w:val="bottom"/>
            <w:tcBorders>
              <w:right w:val="single" w:sz="8" w:color="auto"/>
            </w:tcBorders>
            <w:gridSpan w:val="4"/>
          </w:tcPr>
          <w:p>
            <w:pPr>
              <w:ind w:left="440"/>
              <w:spacing w:after="0" w:line="202" w:lineRule="exact"/>
              <w:rPr>
                <w:sz w:val="20"/>
                <w:szCs w:val="20"/>
                <w:color w:val="auto"/>
              </w:rPr>
            </w:pPr>
            <w:r>
              <w:rPr>
                <w:rFonts w:ascii="Arial" w:cs="Arial" w:eastAsia="Arial" w:hAnsi="Arial"/>
                <w:sz w:val="18"/>
                <w:szCs w:val="18"/>
                <w:color w:val="auto"/>
              </w:rPr>
              <w:t>commitments for any acquisitions or investments outside the ordinary</w:t>
            </w:r>
          </w:p>
        </w:tc>
      </w:tr>
      <w:tr>
        <w:trPr>
          <w:trHeight w:val="203"/>
        </w:trPr>
        <w:tc>
          <w:tcPr>
            <w:tcW w:w="4740" w:type="dxa"/>
            <w:vAlign w:val="bottom"/>
            <w:tcBorders>
              <w:left w:val="single" w:sz="8" w:color="auto"/>
            </w:tcBorders>
          </w:tcPr>
          <w:p>
            <w:pPr>
              <w:spacing w:after="0"/>
              <w:rPr>
                <w:sz w:val="17"/>
                <w:szCs w:val="17"/>
                <w:color w:val="auto"/>
              </w:rPr>
            </w:pPr>
          </w:p>
        </w:tc>
        <w:tc>
          <w:tcPr>
            <w:tcW w:w="6280" w:type="dxa"/>
            <w:vAlign w:val="bottom"/>
            <w:tcBorders>
              <w:right w:val="single" w:sz="8" w:color="auto"/>
            </w:tcBorders>
            <w:gridSpan w:val="4"/>
          </w:tcPr>
          <w:p>
            <w:pPr>
              <w:ind w:left="440"/>
              <w:spacing w:after="0" w:line="202" w:lineRule="exact"/>
              <w:rPr>
                <w:sz w:val="20"/>
                <w:szCs w:val="20"/>
                <w:color w:val="auto"/>
              </w:rPr>
            </w:pPr>
            <w:r>
              <w:rPr>
                <w:rFonts w:ascii="Arial" w:cs="Arial" w:eastAsia="Arial" w:hAnsi="Arial"/>
                <w:sz w:val="18"/>
                <w:szCs w:val="18"/>
                <w:color w:val="auto"/>
              </w:rPr>
              <w:t>course of business at this time. See the section titled “Use of</w:t>
            </w:r>
          </w:p>
        </w:tc>
      </w:tr>
      <w:tr>
        <w:trPr>
          <w:trHeight w:val="217"/>
        </w:trPr>
        <w:tc>
          <w:tcPr>
            <w:tcW w:w="4740" w:type="dxa"/>
            <w:vAlign w:val="bottom"/>
            <w:tcBorders>
              <w:left w:val="single" w:sz="8" w:color="auto"/>
            </w:tcBorders>
          </w:tcPr>
          <w:p>
            <w:pPr>
              <w:spacing w:after="0"/>
              <w:rPr>
                <w:sz w:val="18"/>
                <w:szCs w:val="18"/>
                <w:color w:val="auto"/>
              </w:rPr>
            </w:pPr>
          </w:p>
        </w:tc>
        <w:tc>
          <w:tcPr>
            <w:tcW w:w="5120" w:type="dxa"/>
            <w:vAlign w:val="bottom"/>
            <w:gridSpan w:val="3"/>
          </w:tcPr>
          <w:p>
            <w:pPr>
              <w:ind w:left="440"/>
              <w:spacing w:after="0"/>
              <w:rPr>
                <w:sz w:val="20"/>
                <w:szCs w:val="20"/>
                <w:color w:val="auto"/>
              </w:rPr>
            </w:pPr>
            <w:r>
              <w:rPr>
                <w:rFonts w:ascii="Arial" w:cs="Arial" w:eastAsia="Arial" w:hAnsi="Arial"/>
                <w:sz w:val="18"/>
                <w:szCs w:val="18"/>
                <w:color w:val="auto"/>
              </w:rPr>
              <w:t>Proceeds” for additional information.</w:t>
            </w:r>
          </w:p>
        </w:tc>
        <w:tc>
          <w:tcPr>
            <w:tcW w:w="1160" w:type="dxa"/>
            <w:vAlign w:val="bottom"/>
            <w:tcBorders>
              <w:right w:val="single" w:sz="8" w:color="auto"/>
            </w:tcBorders>
          </w:tcPr>
          <w:p>
            <w:pPr>
              <w:spacing w:after="0"/>
              <w:rPr>
                <w:sz w:val="18"/>
                <w:szCs w:val="18"/>
                <w:color w:val="auto"/>
              </w:rPr>
            </w:pPr>
          </w:p>
        </w:tc>
      </w:tr>
      <w:tr>
        <w:trPr>
          <w:trHeight w:val="404"/>
        </w:trPr>
        <w:tc>
          <w:tcPr>
            <w:tcW w:w="47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6280" w:type="dxa"/>
            <w:vAlign w:val="bottom"/>
            <w:tcBorders>
              <w:right w:val="single" w:sz="8" w:color="auto"/>
            </w:tcBorders>
            <w:gridSpan w:val="4"/>
          </w:tcPr>
          <w:p>
            <w:pPr>
              <w:ind w:left="440"/>
              <w:spacing w:after="0"/>
              <w:rPr>
                <w:sz w:val="20"/>
                <w:szCs w:val="20"/>
                <w:color w:val="auto"/>
              </w:rPr>
            </w:pPr>
            <w:r>
              <w:rPr>
                <w:rFonts w:ascii="Arial" w:cs="Arial" w:eastAsia="Arial" w:hAnsi="Arial"/>
                <w:sz w:val="18"/>
                <w:szCs w:val="18"/>
                <w:color w:val="auto"/>
              </w:rPr>
              <w:t>See the section titled “Risk Factors” and other information included in</w:t>
            </w:r>
          </w:p>
        </w:tc>
      </w:tr>
      <w:tr>
        <w:trPr>
          <w:trHeight w:val="203"/>
        </w:trPr>
        <w:tc>
          <w:tcPr>
            <w:tcW w:w="4740" w:type="dxa"/>
            <w:vAlign w:val="bottom"/>
            <w:tcBorders>
              <w:left w:val="single" w:sz="8" w:color="auto"/>
            </w:tcBorders>
          </w:tcPr>
          <w:p>
            <w:pPr>
              <w:spacing w:after="0"/>
              <w:rPr>
                <w:sz w:val="17"/>
                <w:szCs w:val="17"/>
                <w:color w:val="auto"/>
              </w:rPr>
            </w:pPr>
          </w:p>
        </w:tc>
        <w:tc>
          <w:tcPr>
            <w:tcW w:w="6280" w:type="dxa"/>
            <w:vAlign w:val="bottom"/>
            <w:tcBorders>
              <w:right w:val="single" w:sz="8" w:color="auto"/>
            </w:tcBorders>
            <w:gridSpan w:val="4"/>
          </w:tcPr>
          <w:p>
            <w:pPr>
              <w:ind w:left="440"/>
              <w:spacing w:after="0" w:line="202" w:lineRule="exact"/>
              <w:rPr>
                <w:sz w:val="20"/>
                <w:szCs w:val="20"/>
                <w:color w:val="auto"/>
              </w:rPr>
            </w:pPr>
            <w:r>
              <w:rPr>
                <w:rFonts w:ascii="Arial" w:cs="Arial" w:eastAsia="Arial" w:hAnsi="Arial"/>
                <w:sz w:val="18"/>
                <w:szCs w:val="18"/>
                <w:color w:val="auto"/>
              </w:rPr>
              <w:t>this prospectus for a discussion of some of the factors you should</w:t>
            </w:r>
          </w:p>
        </w:tc>
      </w:tr>
      <w:tr>
        <w:trPr>
          <w:trHeight w:val="203"/>
        </w:trPr>
        <w:tc>
          <w:tcPr>
            <w:tcW w:w="4740" w:type="dxa"/>
            <w:vAlign w:val="bottom"/>
            <w:tcBorders>
              <w:left w:val="single" w:sz="8" w:color="auto"/>
            </w:tcBorders>
          </w:tcPr>
          <w:p>
            <w:pPr>
              <w:spacing w:after="0"/>
              <w:rPr>
                <w:sz w:val="17"/>
                <w:szCs w:val="17"/>
                <w:color w:val="auto"/>
              </w:rPr>
            </w:pPr>
          </w:p>
        </w:tc>
        <w:tc>
          <w:tcPr>
            <w:tcW w:w="6280" w:type="dxa"/>
            <w:vAlign w:val="bottom"/>
            <w:tcBorders>
              <w:right w:val="single" w:sz="8" w:color="auto"/>
            </w:tcBorders>
            <w:gridSpan w:val="4"/>
          </w:tcPr>
          <w:p>
            <w:pPr>
              <w:ind w:left="440"/>
              <w:spacing w:after="0" w:line="202" w:lineRule="exact"/>
              <w:rPr>
                <w:sz w:val="20"/>
                <w:szCs w:val="20"/>
                <w:color w:val="auto"/>
              </w:rPr>
            </w:pPr>
            <w:r>
              <w:rPr>
                <w:rFonts w:ascii="Arial" w:cs="Arial" w:eastAsia="Arial" w:hAnsi="Arial"/>
                <w:sz w:val="18"/>
                <w:szCs w:val="18"/>
                <w:color w:val="auto"/>
              </w:rPr>
              <w:t>consider before deciding to purchase shares of our voting common</w:t>
            </w:r>
          </w:p>
        </w:tc>
      </w:tr>
      <w:tr>
        <w:trPr>
          <w:trHeight w:val="217"/>
        </w:trPr>
        <w:tc>
          <w:tcPr>
            <w:tcW w:w="4740" w:type="dxa"/>
            <w:vAlign w:val="bottom"/>
            <w:tcBorders>
              <w:left w:val="single" w:sz="8" w:color="auto"/>
            </w:tcBorders>
          </w:tcPr>
          <w:p>
            <w:pPr>
              <w:spacing w:after="0"/>
              <w:rPr>
                <w:sz w:val="18"/>
                <w:szCs w:val="18"/>
                <w:color w:val="auto"/>
              </w:rPr>
            </w:pPr>
          </w:p>
        </w:tc>
        <w:tc>
          <w:tcPr>
            <w:tcW w:w="1000" w:type="dxa"/>
            <w:vAlign w:val="bottom"/>
          </w:tcPr>
          <w:p>
            <w:pPr>
              <w:ind w:left="440"/>
              <w:spacing w:after="0"/>
              <w:rPr>
                <w:sz w:val="20"/>
                <w:szCs w:val="20"/>
                <w:color w:val="auto"/>
              </w:rPr>
            </w:pPr>
            <w:r>
              <w:rPr>
                <w:rFonts w:ascii="Arial" w:cs="Arial" w:eastAsia="Arial" w:hAnsi="Arial"/>
                <w:sz w:val="18"/>
                <w:szCs w:val="18"/>
                <w:color w:val="auto"/>
              </w:rPr>
              <w:t>stock.</w:t>
            </w:r>
          </w:p>
        </w:tc>
        <w:tc>
          <w:tcPr>
            <w:tcW w:w="13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r>
      <w:tr>
        <w:trPr>
          <w:trHeight w:val="418"/>
        </w:trPr>
        <w:tc>
          <w:tcPr>
            <w:tcW w:w="47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Proposed Nasdaq Global Market trading symbol</w:t>
            </w:r>
          </w:p>
        </w:tc>
        <w:tc>
          <w:tcPr>
            <w:tcW w:w="2340" w:type="dxa"/>
            <w:vAlign w:val="bottom"/>
            <w:gridSpan w:val="2"/>
          </w:tcPr>
          <w:p>
            <w:pPr>
              <w:ind w:left="440"/>
              <w:spacing w:after="0"/>
              <w:rPr>
                <w:sz w:val="20"/>
                <w:szCs w:val="20"/>
                <w:color w:val="auto"/>
              </w:rPr>
            </w:pPr>
            <w:r>
              <w:rPr>
                <w:rFonts w:ascii="Arial" w:cs="Arial" w:eastAsia="Arial" w:hAnsi="Arial"/>
                <w:sz w:val="18"/>
                <w:szCs w:val="18"/>
                <w:color w:val="auto"/>
              </w:rPr>
              <w:t>“FLYW”</w:t>
            </w:r>
          </w:p>
        </w:tc>
        <w:tc>
          <w:tcPr>
            <w:tcW w:w="278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r>
      <w:tr>
        <w:trPr>
          <w:trHeight w:val="240"/>
        </w:trPr>
        <w:tc>
          <w:tcPr>
            <w:tcW w:w="474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r>
      <w:tr>
        <w:trPr>
          <w:trHeight w:val="604"/>
        </w:trPr>
        <w:tc>
          <w:tcPr>
            <w:tcW w:w="4740" w:type="dxa"/>
            <w:vAlign w:val="bottom"/>
          </w:tcPr>
          <w:p>
            <w:pPr>
              <w:spacing w:after="0"/>
              <w:rPr>
                <w:sz w:val="24"/>
                <w:szCs w:val="24"/>
                <w:color w:val="auto"/>
              </w:rPr>
            </w:pPr>
          </w:p>
        </w:tc>
        <w:tc>
          <w:tcPr>
            <w:tcW w:w="1000" w:type="dxa"/>
            <w:vAlign w:val="bottom"/>
          </w:tcPr>
          <w:p>
            <w:pPr>
              <w:ind w:left="660"/>
              <w:spacing w:after="0"/>
              <w:rPr>
                <w:sz w:val="20"/>
                <w:szCs w:val="20"/>
                <w:color w:val="auto"/>
              </w:rPr>
            </w:pPr>
            <w:r>
              <w:rPr>
                <w:rFonts w:ascii="Arial" w:cs="Arial" w:eastAsia="Arial" w:hAnsi="Arial"/>
                <w:sz w:val="18"/>
                <w:szCs w:val="18"/>
                <w:color w:val="auto"/>
              </w:rPr>
              <w:t>12</w:t>
            </w:r>
          </w:p>
        </w:tc>
        <w:tc>
          <w:tcPr>
            <w:tcW w:w="13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19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81926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left="560" w:right="60"/>
        <w:spacing w:after="0" w:line="234" w:lineRule="auto"/>
        <w:rPr>
          <w:sz w:val="20"/>
          <w:szCs w:val="20"/>
          <w:color w:val="auto"/>
        </w:rPr>
      </w:pPr>
      <w:r>
        <w:rPr>
          <w:rFonts w:ascii="Arial" w:cs="Arial" w:eastAsia="Arial" w:hAnsi="Arial"/>
          <w:sz w:val="18"/>
          <w:szCs w:val="18"/>
          <w:color w:val="auto"/>
        </w:rPr>
        <w:t>The number of shares of our common stock and non-voting common stock to be outstanding after this offering is based on 30,366,853 shares of our common stock outstanding as of March 31, 2021, assuming the conversion of all outstanding shares of our</w:t>
      </w:r>
    </w:p>
    <w:p>
      <w:pPr>
        <w:spacing w:after="0" w:line="1" w:lineRule="exact"/>
        <w:rPr>
          <w:sz w:val="20"/>
          <w:szCs w:val="20"/>
          <w:color w:val="auto"/>
        </w:rPr>
      </w:pPr>
    </w:p>
    <w:p>
      <w:pPr>
        <w:ind w:left="300" w:right="20"/>
        <w:spacing w:after="0" w:line="243" w:lineRule="auto"/>
        <w:rPr>
          <w:sz w:val="20"/>
          <w:szCs w:val="20"/>
          <w:color w:val="auto"/>
        </w:rPr>
      </w:pPr>
      <w:r>
        <w:rPr>
          <w:rFonts w:ascii="Arial" w:cs="Arial" w:eastAsia="Arial" w:hAnsi="Arial"/>
          <w:sz w:val="18"/>
          <w:szCs w:val="18"/>
          <w:color w:val="auto"/>
        </w:rPr>
        <w:t>preferred stock (of which shares will be common stock and shares will be non-voting common stock) and excludes the following:</w:t>
      </w:r>
    </w:p>
    <w:p>
      <w:pPr>
        <w:spacing w:after="0" w:line="200" w:lineRule="exact"/>
        <w:rPr>
          <w:sz w:val="20"/>
          <w:szCs w:val="20"/>
          <w:color w:val="auto"/>
        </w:rPr>
      </w:pPr>
    </w:p>
    <w:p>
      <w:pPr>
        <w:spacing w:after="0" w:line="211" w:lineRule="exact"/>
        <w:rPr>
          <w:sz w:val="20"/>
          <w:szCs w:val="20"/>
          <w:color w:val="auto"/>
        </w:rPr>
      </w:pPr>
    </w:p>
    <w:p>
      <w:pPr>
        <w:ind w:left="1020" w:hanging="19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5,498,741 shares of our common stock issuable upon the exercise of stock options outstanding as of March 31, 2021, with a weighted-average exercise price of $8.88 per share under our 2009 Equity Incentive Plan (2009 Plan) and our 2018 Stock Incentive Plan (2018 Plan);</w:t>
      </w:r>
    </w:p>
    <w:p>
      <w:pPr>
        <w:spacing w:after="0" w:line="202" w:lineRule="exact"/>
        <w:rPr>
          <w:rFonts w:ascii="Arial" w:cs="Arial" w:eastAsia="Arial" w:hAnsi="Arial"/>
          <w:sz w:val="18"/>
          <w:szCs w:val="18"/>
          <w:color w:val="auto"/>
        </w:rPr>
      </w:pPr>
    </w:p>
    <w:p>
      <w:pPr>
        <w:ind w:left="1020" w:right="500" w:hanging="195"/>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343,500 shares of our common stock issuable upon the exercise of stock options granted after March 31, 2021, with a weighted-average exercise price of $50.45 per share under our 2018 Plan;</w:t>
      </w:r>
    </w:p>
    <w:p>
      <w:pPr>
        <w:spacing w:after="0" w:line="196" w:lineRule="exact"/>
        <w:rPr>
          <w:rFonts w:ascii="Arial" w:cs="Arial" w:eastAsia="Arial" w:hAnsi="Arial"/>
          <w:sz w:val="18"/>
          <w:szCs w:val="18"/>
          <w:color w:val="auto"/>
        </w:rPr>
      </w:pPr>
    </w:p>
    <w:p>
      <w:pPr>
        <w:ind w:left="1020" w:right="720" w:hanging="195"/>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25,000 shares of our common stock issuable upon the exercise of outstanding warrants to purchase common stock outstanding as of March 31, 2021, with an exercise price of $0.50 per share;</w:t>
      </w:r>
    </w:p>
    <w:p>
      <w:pPr>
        <w:spacing w:after="0" w:line="196" w:lineRule="exact"/>
        <w:rPr>
          <w:rFonts w:ascii="Arial" w:cs="Arial" w:eastAsia="Arial" w:hAnsi="Arial"/>
          <w:sz w:val="18"/>
          <w:szCs w:val="18"/>
          <w:color w:val="auto"/>
        </w:rPr>
      </w:pPr>
    </w:p>
    <w:p>
      <w:pPr>
        <w:ind w:left="1020" w:hanging="195"/>
        <w:spacing w:after="0" w:line="261"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127,000 shares of our common stock issuable upon the exercise of outstanding warrants to purchase shares of our Series C preferred stock outstanding as of March 31, 2021, with an exercise price of $4.44 per share, which will become warrants to purchase shares of our common stock at an exercise price of $4.44 per share in connection with the closing of this offering;</w:t>
      </w:r>
    </w:p>
    <w:p>
      <w:pPr>
        <w:spacing w:after="0" w:line="185" w:lineRule="exact"/>
        <w:rPr>
          <w:rFonts w:ascii="Arial" w:cs="Arial" w:eastAsia="Arial" w:hAnsi="Arial"/>
          <w:sz w:val="17"/>
          <w:szCs w:val="17"/>
          <w:color w:val="auto"/>
        </w:rPr>
      </w:pPr>
    </w:p>
    <w:p>
      <w:pPr>
        <w:ind w:left="1020" w:right="20" w:hanging="19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548,486 shares of our common stock reserved for future issuance under our 2018 Plan, as of March 31, 2021, which shares will be added to the shares to be reserved under our 2021 Equity Incentive Plan (2021 Plan), at the time our 2021 Plan becomes effective in connection with this offering;</w:t>
      </w:r>
    </w:p>
    <w:p>
      <w:pPr>
        <w:spacing w:after="0" w:line="202" w:lineRule="exact"/>
        <w:rPr>
          <w:rFonts w:ascii="Arial" w:cs="Arial" w:eastAsia="Arial" w:hAnsi="Arial"/>
          <w:sz w:val="18"/>
          <w:szCs w:val="18"/>
          <w:color w:val="auto"/>
        </w:rPr>
      </w:pPr>
    </w:p>
    <w:p>
      <w:pPr>
        <w:ind w:left="1020" w:right="200" w:hanging="19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9,201,156 shares of our common stock that will become available for future issuance under our 2021 Plan, which will become effective upon the effectiveness of the registration statement of which this prospectus forms a part, as well as any automatic increases in the number of shares of common stock reserved for future issuance under the 2021 Plan; and</w:t>
      </w:r>
    </w:p>
    <w:p>
      <w:pPr>
        <w:spacing w:after="0" w:line="202" w:lineRule="exact"/>
        <w:rPr>
          <w:rFonts w:ascii="Arial" w:cs="Arial" w:eastAsia="Arial" w:hAnsi="Arial"/>
          <w:sz w:val="18"/>
          <w:szCs w:val="18"/>
          <w:color w:val="auto"/>
        </w:rPr>
      </w:pPr>
    </w:p>
    <w:p>
      <w:pPr>
        <w:ind w:left="1020" w:right="20" w:hanging="195"/>
        <w:spacing w:after="0" w:line="23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1,639,810 shares of our common stock that will become available for future issuance under our Employee Stock Purchase Plan (ESPP), which will become effective upon the effectiveness of the registration statement of which this prospectus forms a part, as well as any automatic increases in the number of shares of common stock reserved for future issuance under the ESPP.</w:t>
      </w:r>
    </w:p>
    <w:p>
      <w:pPr>
        <w:spacing w:after="0" w:line="16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noted, the information in this prospectus reflects and assumes the following:</w:t>
      </w:r>
    </w:p>
    <w:p>
      <w:pPr>
        <w:spacing w:after="0" w:line="212" w:lineRule="exact"/>
        <w:rPr>
          <w:sz w:val="20"/>
          <w:szCs w:val="20"/>
          <w:color w:val="auto"/>
        </w:rPr>
      </w:pPr>
    </w:p>
    <w:p>
      <w:pPr>
        <w:ind w:left="1020" w:right="300" w:hanging="199"/>
        <w:spacing w:after="0"/>
        <w:tabs>
          <w:tab w:leader="none" w:pos="1000" w:val="left"/>
        </w:tabs>
        <w:rPr>
          <w:sz w:val="20"/>
          <w:szCs w:val="20"/>
          <w:color w:val="auto"/>
        </w:rPr>
      </w:pPr>
      <w:r>
        <w:rPr>
          <w:rFonts w:ascii="Arial" w:cs="Arial" w:eastAsia="Arial" w:hAnsi="Arial"/>
          <w:sz w:val="18"/>
          <w:szCs w:val="18"/>
          <w:color w:val="auto"/>
        </w:rPr>
        <w:t>•</w:t>
        <w:tab/>
        <w:t>the automatic conversion of all shares of our preferred stock into an aggregate of shares of our common stock and shares of our non-voting common stock immediately prior to and in connection with the completion of this offering;</w:t>
      </w:r>
    </w:p>
    <w:p>
      <w:pPr>
        <w:sectPr>
          <w:pgSz w:w="11900" w:h="16838" w:orient="portrait"/>
          <w:cols w:equalWidth="0" w:num="1">
            <w:col w:w="10900"/>
          </w:cols>
          <w:pgMar w:left="320" w:top="459" w:right="67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stock split that was effected on</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 2021;</w:t>
      </w:r>
    </w:p>
    <w:p>
      <w:pPr>
        <w:spacing w:after="0" w:line="200" w:lineRule="exact"/>
        <w:rPr>
          <w:sz w:val="20"/>
          <w:szCs w:val="20"/>
          <w:color w:val="auto"/>
        </w:rPr>
      </w:pPr>
    </w:p>
    <w:p>
      <w:pPr>
        <w:sectPr>
          <w:pgSz w:w="11900" w:h="16838" w:orient="portrait"/>
          <w:cols w:equalWidth="0" w:num="4">
            <w:col w:w="1120" w:space="200"/>
            <w:col w:w="180" w:space="240"/>
            <w:col w:w="2580" w:space="720"/>
            <w:col w:w="5860"/>
          </w:cols>
          <w:pgMar w:left="320" w:top="459" w:right="679" w:bottom="1440" w:gutter="0" w:footer="0" w:header="0"/>
          <w:type w:val="continuous"/>
        </w:sectPr>
      </w:pPr>
    </w:p>
    <w:p>
      <w:pPr>
        <w:spacing w:after="0" w:line="12" w:lineRule="exact"/>
        <w:rPr>
          <w:sz w:val="20"/>
          <w:szCs w:val="20"/>
          <w:color w:val="auto"/>
        </w:rPr>
      </w:pPr>
    </w:p>
    <w:p>
      <w:pPr>
        <w:ind w:left="1020" w:right="340" w:hanging="195"/>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filing of our restated certificate of incorporation and the effectiveness of our restated bylaws, each of which will occur immediately prior to the completion of this offering;</w:t>
      </w:r>
    </w:p>
    <w:p>
      <w:pPr>
        <w:spacing w:after="0" w:line="196" w:lineRule="exact"/>
        <w:rPr>
          <w:rFonts w:ascii="Arial" w:cs="Arial" w:eastAsia="Arial" w:hAnsi="Arial"/>
          <w:sz w:val="18"/>
          <w:szCs w:val="18"/>
          <w:color w:val="auto"/>
        </w:rPr>
      </w:pPr>
    </w:p>
    <w:p>
      <w:pPr>
        <w:ind w:left="1020" w:right="140" w:hanging="195"/>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of outstanding stock options, common stock warrants or preferred stock warrants described above subsequent to March 31, 2021;</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our common stock in this offering; and</w:t>
      </w:r>
    </w:p>
    <w:p>
      <w:pPr>
        <w:spacing w:after="0" w:line="211" w:lineRule="exact"/>
        <w:rPr>
          <w:rFonts w:ascii="Arial" w:cs="Arial" w:eastAsia="Arial" w:hAnsi="Arial"/>
          <w:sz w:val="18"/>
          <w:szCs w:val="18"/>
          <w:color w:val="auto"/>
        </w:rPr>
      </w:pPr>
    </w:p>
    <w:p>
      <w:pPr>
        <w:ind w:left="1020" w:right="520" w:hanging="195"/>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 “preferred stock” in this prospectus refers to our preferred stock, convertible preferred stock, and redeemable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320" w:top="459" w:right="67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61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93" w:lineRule="exact"/>
        <w:rPr>
          <w:sz w:val="20"/>
          <w:szCs w:val="20"/>
          <w:color w:val="auto"/>
        </w:rPr>
      </w:pPr>
    </w:p>
    <w:p>
      <w:pPr>
        <w:ind w:left="300" w:right="200" w:firstLine="426"/>
        <w:spacing w:after="0" w:line="236" w:lineRule="auto"/>
        <w:rPr>
          <w:sz w:val="20"/>
          <w:szCs w:val="20"/>
          <w:color w:val="auto"/>
        </w:rPr>
      </w:pPr>
      <w:r>
        <w:rPr>
          <w:rFonts w:ascii="Arial" w:cs="Arial" w:eastAsia="Arial" w:hAnsi="Arial"/>
          <w:sz w:val="18"/>
          <w:szCs w:val="18"/>
          <w:color w:val="auto"/>
        </w:rPr>
        <w:t>The following tables summarize our consolidated financial data. We derived our summary consolidated statements of operations for the years ended December 31, 2019 and 2020 and our summary consolidated balance sheet data as of December 31, 2020 from our audited consolidated financial statements included elsewhere in this prospectus. We have derived the summary consolidated statement of operations data for the three months ended March 31, 2020 and 2021 and the summary consolidated balance sheet data as of March 31, 2021 from our unaudited condensed financial statements appearing elsewhere in this prospectus. The unaudited condensed financial statements have been prepared on the same basis as our audited financial statements and reflect, in the opinion of management, all adjustments of a normal, recurring nature that are necessary for a fair statement of the financial information included in those unaudited condensed financial statements. Our historical results are not necessarily indicative of the results to be expected in any future period. You should read the following summary consolidated financial data in conjunction with the sections titled “Selected Consolidated Financial Data” and “Management’s Discussion and Analysis of Financial Condition and Results of Operations” and our consolidated financial statements, the accompanying notes, our condensed consolidated financial statements and accompanying notes, and other financial information included elsewhere in this prospectus.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7"/>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5"/>
          </w:tcPr>
          <w:p>
            <w:pPr>
              <w:jc w:val="right"/>
              <w:ind w:right="671"/>
              <w:spacing w:after="0" w:line="156" w:lineRule="exact"/>
              <w:rPr>
                <w:sz w:val="20"/>
                <w:szCs w:val="20"/>
                <w:color w:val="auto"/>
              </w:rPr>
            </w:pPr>
            <w:r>
              <w:rPr>
                <w:rFonts w:ascii="Arial" w:cs="Arial" w:eastAsia="Arial" w:hAnsi="Arial"/>
                <w:sz w:val="14"/>
                <w:szCs w:val="14"/>
                <w:b w:val="1"/>
                <w:bCs w:val="1"/>
                <w:color w:val="auto"/>
              </w:rPr>
              <w:t>(unaudited)</w:t>
            </w:r>
          </w:p>
        </w:tc>
        <w:tc>
          <w:tcPr>
            <w:tcW w:w="3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80" w:type="dxa"/>
            <w:vAlign w:val="bottom"/>
            <w:gridSpan w:val="12"/>
          </w:tcPr>
          <w:p>
            <w:pPr>
              <w:jc w:val="right"/>
              <w:ind w:right="100"/>
              <w:spacing w:after="0"/>
              <w:rPr>
                <w:sz w:val="20"/>
                <w:szCs w:val="20"/>
                <w:color w:val="auto"/>
              </w:rPr>
            </w:pPr>
            <w:r>
              <w:rPr>
                <w:rFonts w:ascii="Arial" w:cs="Arial" w:eastAsia="Arial" w:hAnsi="Arial"/>
                <w:sz w:val="14"/>
                <w:szCs w:val="14"/>
                <w:b w:val="1"/>
                <w:bCs w:val="1"/>
                <w:color w:val="auto"/>
              </w:rPr>
              <w:t>(in thousands, except share and per share data)</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94,918</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131,783</w:t>
            </w:r>
          </w:p>
        </w:tc>
        <w:tc>
          <w:tcPr>
            <w:tcW w:w="26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32,709</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44,991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Costs and 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080" w:type="dxa"/>
            <w:vAlign w:val="bottom"/>
          </w:tcPr>
          <w:p>
            <w:pPr>
              <w:ind w:left="360"/>
              <w:spacing w:after="0" w:line="202" w:lineRule="exact"/>
              <w:rPr>
                <w:sz w:val="20"/>
                <w:szCs w:val="20"/>
                <w:color w:val="auto"/>
              </w:rPr>
            </w:pPr>
            <w:r>
              <w:rPr>
                <w:rFonts w:ascii="Arial" w:cs="Arial" w:eastAsia="Arial" w:hAnsi="Arial"/>
                <w:sz w:val="18"/>
                <w:szCs w:val="18"/>
                <w:color w:val="auto"/>
              </w:rPr>
              <w:t>Payment processing services costs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36,726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47,805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11,609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16,091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and development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15,008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24,501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5,348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7 ,522</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080" w:type="dxa"/>
            <w:vAlign w:val="bottom"/>
          </w:tcPr>
          <w:p>
            <w:pPr>
              <w:ind w:left="360"/>
              <w:spacing w:after="0" w:line="202" w:lineRule="exact"/>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26,606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32,612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8,577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11,931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34,035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42,680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10,265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15,914</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ind w:left="720"/>
              <w:spacing w:after="0"/>
              <w:rPr>
                <w:sz w:val="20"/>
                <w:szCs w:val="20"/>
                <w:color w:val="auto"/>
              </w:rPr>
            </w:pPr>
            <w:r>
              <w:rPr>
                <w:rFonts w:ascii="Arial" w:cs="Arial" w:eastAsia="Arial" w:hAnsi="Arial"/>
                <w:sz w:val="18"/>
                <w:szCs w:val="18"/>
                <w:color w:val="auto"/>
              </w:rPr>
              <w:t>Total costs and operating expenses</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112,375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147,598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(17,457)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(15,815)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(3,090)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(6,467)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(2,459)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(2,533)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(597)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08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080" w:type="dxa"/>
            <w:vAlign w:val="bottom"/>
          </w:tcPr>
          <w:p>
            <w:pPr>
              <w:ind w:left="720"/>
              <w:spacing w:after="0"/>
              <w:rPr>
                <w:sz w:val="20"/>
                <w:szCs w:val="20"/>
                <w:color w:val="auto"/>
              </w:rPr>
            </w:pPr>
            <w:r>
              <w:rPr>
                <w:rFonts w:ascii="Arial" w:cs="Arial" w:eastAsia="Arial" w:hAnsi="Arial"/>
                <w:sz w:val="18"/>
                <w:szCs w:val="18"/>
                <w:color w:val="auto"/>
              </w:rPr>
              <w:t>Total other expenses,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(19,566)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(18,276)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(3,981)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(8,453)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080" w:type="dxa"/>
            <w:vAlign w:val="bottom"/>
          </w:tcPr>
          <w:p>
            <w:pPr>
              <w:ind w:left="360"/>
              <w:spacing w:after="0" w:line="202" w:lineRule="exact"/>
              <w:rPr>
                <w:sz w:val="20"/>
                <w:szCs w:val="20"/>
                <w:color w:val="auto"/>
              </w:rPr>
            </w:pPr>
            <w:r>
              <w:rPr>
                <w:rFonts w:ascii="Arial" w:cs="Arial" w:eastAsia="Arial" w:hAnsi="Arial"/>
                <w:sz w:val="18"/>
                <w:szCs w:val="18"/>
                <w:color w:val="auto"/>
              </w:rPr>
              <w:t>Provision for (benefit from) income taxes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550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(7,169)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(7,681)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(20,116)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(11,107)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(8,652)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Net income (loss) attributable to common stockholders - basic</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080" w:type="dxa"/>
            <w:vAlign w:val="bottom"/>
          </w:tcPr>
          <w:p>
            <w:pPr>
              <w:ind w:left="180"/>
              <w:spacing w:after="0" w:line="203" w:lineRule="exact"/>
              <w:rPr>
                <w:sz w:val="20"/>
                <w:szCs w:val="20"/>
                <w:color w:val="auto"/>
              </w:rPr>
            </w:pPr>
            <w:r>
              <w:rPr>
                <w:rFonts w:ascii="Arial" w:cs="Arial" w:eastAsia="Arial" w:hAnsi="Arial"/>
                <w:sz w:val="18"/>
                <w:szCs w:val="18"/>
                <w:color w:val="auto"/>
              </w:rPr>
              <w:t>and diluted</w:t>
            </w:r>
          </w:p>
        </w:tc>
        <w:tc>
          <w:tcPr>
            <w:tcW w:w="4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(20,116)</w:t>
            </w:r>
          </w:p>
        </w:tc>
        <w:tc>
          <w:tcPr>
            <w:tcW w:w="3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(11,121)</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781</w:t>
            </w:r>
          </w:p>
        </w:tc>
        <w:tc>
          <w:tcPr>
            <w:tcW w:w="260" w:type="dxa"/>
            <w:vAlign w:val="bottom"/>
          </w:tcPr>
          <w:p>
            <w:pPr>
              <w:spacing w:after="0"/>
              <w:rPr>
                <w:sz w:val="17"/>
                <w:szCs w:val="17"/>
                <w:color w:val="auto"/>
              </w:rPr>
            </w:pPr>
          </w:p>
        </w:tc>
        <w:tc>
          <w:tcPr>
            <w:tcW w:w="3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(8,657)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508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Net income (loss) per share attributable to common</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08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stockholders - basic</w:t>
            </w:r>
            <w:r>
              <w:rPr>
                <w:rFonts w:ascii="Arial" w:cs="Arial" w:eastAsia="Arial" w:hAnsi="Arial"/>
                <w:sz w:val="15"/>
                <w:szCs w:val="15"/>
                <w:color w:val="auto"/>
              </w:rPr>
              <w:t>(2)</w:t>
            </w:r>
          </w:p>
        </w:tc>
        <w:tc>
          <w:tcPr>
            <w:tcW w:w="4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(3.76)</w:t>
            </w:r>
          </w:p>
        </w:tc>
        <w:tc>
          <w:tcPr>
            <w:tcW w:w="32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6" w:lineRule="exact"/>
              <w:rPr>
                <w:sz w:val="20"/>
                <w:szCs w:val="20"/>
                <w:color w:val="auto"/>
              </w:rPr>
            </w:pPr>
            <w:r>
              <w:rPr>
                <w:rFonts w:ascii="Arial" w:cs="Arial" w:eastAsia="Arial" w:hAnsi="Arial"/>
                <w:sz w:val="18"/>
                <w:szCs w:val="18"/>
                <w:color w:val="auto"/>
              </w:rPr>
              <w:t>(1.81)</w:t>
            </w:r>
          </w:p>
        </w:tc>
        <w:tc>
          <w:tcPr>
            <w:tcW w:w="3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0.13</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(1.23)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180"/>
              <w:spacing w:after="0"/>
              <w:rPr>
                <w:sz w:val="20"/>
                <w:szCs w:val="20"/>
                <w:color w:val="auto"/>
              </w:rPr>
            </w:pPr>
            <w:r>
              <w:rPr>
                <w:rFonts w:ascii="Arial" w:cs="Arial" w:eastAsia="Arial" w:hAnsi="Arial"/>
                <w:sz w:val="18"/>
                <w:szCs w:val="18"/>
                <w:color w:val="auto"/>
              </w:rPr>
              <w:t>Net income (loss) per share attributable to common</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2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080" w:type="dxa"/>
            <w:vAlign w:val="bottom"/>
          </w:tcPr>
          <w:p>
            <w:pPr>
              <w:ind w:left="180"/>
              <w:spacing w:after="0" w:line="206" w:lineRule="exact"/>
              <w:rPr>
                <w:sz w:val="20"/>
                <w:szCs w:val="20"/>
                <w:color w:val="auto"/>
              </w:rPr>
            </w:pPr>
            <w:r>
              <w:rPr>
                <w:rFonts w:ascii="Arial" w:cs="Arial" w:eastAsia="Arial" w:hAnsi="Arial"/>
                <w:sz w:val="18"/>
                <w:szCs w:val="18"/>
                <w:color w:val="auto"/>
              </w:rPr>
              <w:t>stockholders - diluted</w:t>
            </w:r>
            <w:r>
              <w:rPr>
                <w:rFonts w:ascii="Arial" w:cs="Arial" w:eastAsia="Arial" w:hAnsi="Arial"/>
                <w:sz w:val="15"/>
                <w:szCs w:val="15"/>
                <w:color w:val="auto"/>
              </w:rPr>
              <w:t>(2)</w:t>
            </w:r>
          </w:p>
        </w:tc>
        <w:tc>
          <w:tcPr>
            <w:tcW w:w="4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206" w:lineRule="exact"/>
              <w:rPr>
                <w:sz w:val="20"/>
                <w:szCs w:val="20"/>
                <w:color w:val="auto"/>
              </w:rPr>
            </w:pPr>
            <w:r>
              <w:rPr>
                <w:rFonts w:ascii="Arial" w:cs="Arial" w:eastAsia="Arial" w:hAnsi="Arial"/>
                <w:sz w:val="18"/>
                <w:szCs w:val="18"/>
                <w:color w:val="auto"/>
              </w:rPr>
              <w:t>(3.76)</w:t>
            </w:r>
          </w:p>
        </w:tc>
        <w:tc>
          <w:tcPr>
            <w:tcW w:w="32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206" w:lineRule="exact"/>
              <w:rPr>
                <w:sz w:val="20"/>
                <w:szCs w:val="20"/>
                <w:color w:val="auto"/>
              </w:rPr>
            </w:pPr>
            <w:r>
              <w:rPr>
                <w:rFonts w:ascii="Arial" w:cs="Arial" w:eastAsia="Arial" w:hAnsi="Arial"/>
                <w:sz w:val="18"/>
                <w:szCs w:val="18"/>
                <w:color w:val="auto"/>
              </w:rPr>
              <w:t>(1.81)</w:t>
            </w:r>
          </w:p>
        </w:tc>
        <w:tc>
          <w:tcPr>
            <w:tcW w:w="32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6" w:lineRule="exact"/>
              <w:rPr>
                <w:sz w:val="20"/>
                <w:szCs w:val="20"/>
                <w:color w:val="auto"/>
              </w:rPr>
            </w:pPr>
            <w:r>
              <w:rPr>
                <w:rFonts w:ascii="Arial" w:cs="Arial" w:eastAsia="Arial" w:hAnsi="Arial"/>
                <w:sz w:val="18"/>
                <w:szCs w:val="18"/>
                <w:color w:val="auto"/>
              </w:rPr>
              <w:t>0.09</w:t>
            </w:r>
          </w:p>
        </w:tc>
        <w:tc>
          <w:tcPr>
            <w:tcW w:w="260" w:type="dxa"/>
            <w:vAlign w:val="bottom"/>
          </w:tcPr>
          <w:p>
            <w:pPr>
              <w:spacing w:after="0"/>
              <w:rPr>
                <w:sz w:val="17"/>
                <w:szCs w:val="17"/>
                <w:color w:val="auto"/>
              </w:rPr>
            </w:pPr>
          </w:p>
        </w:tc>
        <w:tc>
          <w:tcPr>
            <w:tcW w:w="32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(1.23)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 - basic</w:t>
            </w:r>
            <w:r>
              <w:rPr>
                <w:rFonts w:ascii="Arial" w:cs="Arial" w:eastAsia="Arial" w:hAnsi="Arial"/>
                <w:sz w:val="15"/>
                <w:szCs w:val="15"/>
                <w:color w:val="auto"/>
              </w:rPr>
              <w:t>(2)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w w:val="99"/>
              </w:rPr>
              <w:t>5,355,696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6,129,966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w w:val="99"/>
              </w:rPr>
              <w:t>5,837,773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7,033,359</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180"/>
              <w:spacing w:after="0"/>
              <w:rPr>
                <w:sz w:val="20"/>
                <w:szCs w:val="20"/>
                <w:color w:val="auto"/>
              </w:rPr>
            </w:pPr>
            <w:r>
              <w:rPr>
                <w:rFonts w:ascii="Arial" w:cs="Arial" w:eastAsia="Arial" w:hAnsi="Arial"/>
                <w:sz w:val="18"/>
                <w:szCs w:val="18"/>
                <w:color w:val="auto"/>
              </w:rPr>
              <w:t>Weighted average common shares outstanding - diluted</w:t>
            </w:r>
            <w:r>
              <w:rPr>
                <w:rFonts w:ascii="Arial" w:cs="Arial" w:eastAsia="Arial" w:hAnsi="Arial"/>
                <w:sz w:val="15"/>
                <w:szCs w:val="15"/>
                <w:color w:val="auto"/>
              </w:rPr>
              <w:t>(2)</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w w:val="99"/>
              </w:rPr>
              <w:t>5,355,696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97"/>
              </w:rPr>
              <w:t>6,129,966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w w:val="99"/>
              </w:rPr>
              <w:t>9,083,024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97"/>
              </w:rPr>
              <w:t>7,033,359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50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190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0190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6060" w:type="dxa"/>
            <w:vAlign w:val="bottom"/>
          </w:tcPr>
          <w:p>
            <w:pPr>
              <w:spacing w:after="0"/>
              <w:rPr>
                <w:sz w:val="15"/>
                <w:szCs w:val="15"/>
                <w:color w:val="auto"/>
              </w:rPr>
            </w:pPr>
          </w:p>
        </w:tc>
        <w:tc>
          <w:tcPr>
            <w:tcW w:w="236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5"/>
                <w:szCs w:val="15"/>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060" w:type="dxa"/>
            <w:vAlign w:val="bottom"/>
          </w:tcPr>
          <w:p>
            <w:pPr>
              <w:spacing w:after="0"/>
              <w:rPr>
                <w:sz w:val="13"/>
                <w:szCs w:val="13"/>
                <w:color w:val="auto"/>
              </w:rPr>
            </w:pPr>
          </w:p>
        </w:tc>
        <w:tc>
          <w:tcPr>
            <w:tcW w:w="128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60" w:type="dxa"/>
            <w:vAlign w:val="bottom"/>
          </w:tcPr>
          <w:p>
            <w:pPr>
              <w:spacing w:after="0"/>
              <w:rPr>
                <w:sz w:val="13"/>
                <w:szCs w:val="13"/>
                <w:color w:val="auto"/>
              </w:rPr>
            </w:pPr>
          </w:p>
        </w:tc>
        <w:tc>
          <w:tcPr>
            <w:tcW w:w="388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34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Pro forma net loss per share attributable to common stockholders - basic</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40" w:type="dxa"/>
            <w:vAlign w:val="bottom"/>
            <w:gridSpan w:val="2"/>
            <w:shd w:val="clear" w:color="auto" w:fill="CCEEFF"/>
          </w:tcPr>
          <w:p>
            <w:pPr>
              <w:ind w:left="180"/>
              <w:spacing w:after="0" w:line="206" w:lineRule="exact"/>
              <w:rPr>
                <w:sz w:val="20"/>
                <w:szCs w:val="20"/>
                <w:color w:val="auto"/>
              </w:rPr>
            </w:pPr>
            <w:r>
              <w:rPr>
                <w:rFonts w:ascii="Arial" w:cs="Arial" w:eastAsia="Arial" w:hAnsi="Arial"/>
                <w:sz w:val="18"/>
                <w:szCs w:val="18"/>
                <w:color w:val="auto"/>
              </w:rPr>
              <w:t>and diluted (unaudited)</w:t>
            </w:r>
            <w:r>
              <w:rPr>
                <w:rFonts w:ascii="Arial" w:cs="Arial" w:eastAsia="Arial" w:hAnsi="Arial"/>
                <w:sz w:val="15"/>
                <w:szCs w:val="15"/>
                <w:color w:val="auto"/>
              </w:rPr>
              <w:t>(3)</w:t>
            </w:r>
          </w:p>
        </w:tc>
        <w:tc>
          <w:tcPr>
            <w:tcW w:w="1080" w:type="dxa"/>
            <w:vAlign w:val="bottom"/>
            <w:shd w:val="clear" w:color="auto" w:fill="CCEEFF"/>
          </w:tcPr>
          <w:p>
            <w:pPr>
              <w:jc w:val="right"/>
              <w:ind w:right="896"/>
              <w:spacing w:after="0" w:line="206" w:lineRule="exact"/>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jc w:val="right"/>
              <w:ind w:right="200"/>
              <w:spacing w:after="0" w:line="20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Pro forma weighted average common stock outstanding - basic and</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340" w:type="dxa"/>
            <w:vAlign w:val="bottom"/>
            <w:gridSpan w:val="2"/>
            <w:vMerge w:val="continue"/>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340" w:type="dxa"/>
            <w:vAlign w:val="bottom"/>
            <w:gridSpan w:val="2"/>
          </w:tcPr>
          <w:p>
            <w:pPr>
              <w:ind w:left="180"/>
              <w:spacing w:after="0" w:line="206" w:lineRule="exact"/>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(3)</w:t>
            </w:r>
          </w:p>
        </w:tc>
        <w:tc>
          <w:tcPr>
            <w:tcW w:w="1080" w:type="dxa"/>
            <w:vAlign w:val="bottom"/>
          </w:tcPr>
          <w:p>
            <w:pPr>
              <w:jc w:val="right"/>
              <w:ind w:right="896"/>
              <w:spacing w:after="0" w:line="206" w:lineRule="exact"/>
              <w:rPr>
                <w:sz w:val="20"/>
                <w:szCs w:val="20"/>
                <w:color w:val="auto"/>
              </w:rPr>
            </w:pPr>
            <w:r>
              <w:rPr>
                <w:rFonts w:ascii="Arial" w:cs="Arial" w:eastAsia="Arial" w:hAnsi="Arial"/>
                <w:sz w:val="18"/>
                <w:szCs w:val="18"/>
                <w:color w:val="auto"/>
                <w:w w:val="79"/>
              </w:rPr>
              <w:t>$</w:t>
            </w:r>
          </w:p>
        </w:tc>
        <w:tc>
          <w:tcPr>
            <w:tcW w:w="1520" w:type="dxa"/>
            <w:vAlign w:val="bottom"/>
            <w:gridSpan w:val="3"/>
          </w:tcPr>
          <w:p>
            <w:pPr>
              <w:jc w:val="right"/>
              <w:ind w:right="200"/>
              <w:spacing w:after="0" w:line="206"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820" w:hanging="522"/>
        <w:spacing w:after="0"/>
        <w:tabs>
          <w:tab w:leader="none" w:pos="8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 (in thousands):</w:t>
      </w:r>
    </w:p>
    <w:p>
      <w:pPr>
        <w:spacing w:after="0" w:line="199" w:lineRule="exact"/>
        <w:rPr>
          <w:sz w:val="20"/>
          <w:szCs w:val="20"/>
          <w:color w:val="auto"/>
        </w:rPr>
      </w:pPr>
    </w:p>
    <w:tbl>
      <w:tblPr>
        <w:tblLayout w:type="fixed"/>
        <w:tblInd w:w="72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3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Three Months</w:t>
            </w:r>
          </w:p>
        </w:tc>
      </w:tr>
      <w:tr>
        <w:trPr>
          <w:trHeight w:val="175"/>
        </w:trPr>
        <w:tc>
          <w:tcPr>
            <w:tcW w:w="6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3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Ended March 31,</w:t>
            </w:r>
          </w:p>
        </w:tc>
      </w:tr>
      <w:tr>
        <w:trPr>
          <w:trHeight w:val="155"/>
        </w:trPr>
        <w:tc>
          <w:tcPr>
            <w:tcW w:w="66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r>
      <w:tr>
        <w:trPr>
          <w:trHeight w:val="156"/>
        </w:trPr>
        <w:tc>
          <w:tcPr>
            <w:tcW w:w="66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Technology and development</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320"/>
              <w:spacing w:after="0" w:line="155" w:lineRule="exact"/>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20"/>
              <w:spacing w:after="0" w:line="155" w:lineRule="exact"/>
              <w:rPr>
                <w:sz w:val="20"/>
                <w:szCs w:val="20"/>
                <w:color w:val="auto"/>
              </w:rPr>
            </w:pPr>
            <w:r>
              <w:rPr>
                <w:rFonts w:ascii="Arial" w:cs="Arial" w:eastAsia="Arial" w:hAnsi="Arial"/>
                <w:sz w:val="14"/>
                <w:szCs w:val="14"/>
                <w:color w:val="auto"/>
              </w:rPr>
              <w:t>766</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300"/>
              <w:spacing w:after="0" w:line="155" w:lineRule="exact"/>
              <w:rPr>
                <w:sz w:val="20"/>
                <w:szCs w:val="20"/>
                <w:color w:val="auto"/>
              </w:rPr>
            </w:pPr>
            <w:r>
              <w:rPr>
                <w:rFonts w:ascii="Arial" w:cs="Arial" w:eastAsia="Arial" w:hAnsi="Arial"/>
                <w:sz w:val="14"/>
                <w:szCs w:val="14"/>
                <w:color w:val="auto"/>
              </w:rPr>
              <w:t>163</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1,085</w:t>
            </w:r>
          </w:p>
        </w:tc>
      </w:tr>
      <w:tr>
        <w:trPr>
          <w:trHeight w:val="162"/>
        </w:trPr>
        <w:tc>
          <w:tcPr>
            <w:tcW w:w="6640" w:type="dxa"/>
            <w:vAlign w:val="bottom"/>
          </w:tcPr>
          <w:p>
            <w:pPr>
              <w:ind w:left="20"/>
              <w:spacing w:after="0"/>
              <w:rPr>
                <w:sz w:val="20"/>
                <w:szCs w:val="20"/>
                <w:color w:val="auto"/>
              </w:rPr>
            </w:pPr>
            <w:r>
              <w:rPr>
                <w:rFonts w:ascii="Arial" w:cs="Arial" w:eastAsia="Arial" w:hAnsi="Arial"/>
                <w:sz w:val="14"/>
                <w:szCs w:val="14"/>
                <w:color w:val="auto"/>
              </w:rPr>
              <w:t>Selling and marketing</w:t>
            </w:r>
          </w:p>
        </w:tc>
        <w:tc>
          <w:tcPr>
            <w:tcW w:w="100" w:type="dxa"/>
            <w:vAlign w:val="bottom"/>
          </w:tcPr>
          <w:p>
            <w:pPr>
              <w:spacing w:after="0"/>
              <w:rPr>
                <w:sz w:val="14"/>
                <w:szCs w:val="14"/>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1,275</w:t>
            </w:r>
          </w:p>
        </w:tc>
        <w:tc>
          <w:tcPr>
            <w:tcW w:w="10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rPr>
              <w:t>251</w:t>
            </w: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2 ,644</w:t>
            </w:r>
          </w:p>
        </w:tc>
      </w:tr>
      <w:tr>
        <w:trPr>
          <w:trHeight w:val="162"/>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1,803</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421</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6 ,635</w:t>
            </w:r>
          </w:p>
        </w:tc>
      </w:tr>
      <w:tr>
        <w:trPr>
          <w:trHeight w:val="20"/>
        </w:trPr>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6640" w:type="dxa"/>
            <w:vAlign w:val="bottom"/>
          </w:tcPr>
          <w:p>
            <w:pPr>
              <w:ind w:left="300"/>
              <w:spacing w:after="0"/>
              <w:rPr>
                <w:sz w:val="20"/>
                <w:szCs w:val="20"/>
                <w:color w:val="auto"/>
              </w:rPr>
            </w:pPr>
            <w:r>
              <w:rPr>
                <w:rFonts w:ascii="Arial" w:cs="Arial" w:eastAsia="Arial" w:hAnsi="Arial"/>
                <w:sz w:val="14"/>
                <w:szCs w:val="14"/>
                <w:color w:val="auto"/>
              </w:rPr>
              <w:t>Total stock-based compensation expense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2,949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3,844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rPr>
              <w:t>835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10,364</w:t>
            </w: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0" w:lineRule="exact"/>
        <w:rPr>
          <w:sz w:val="20"/>
          <w:szCs w:val="20"/>
          <w:color w:val="auto"/>
        </w:rPr>
      </w:pPr>
    </w:p>
    <w:p>
      <w:pPr>
        <w:ind w:left="820" w:hanging="522"/>
        <w:spacing w:after="0" w:line="241" w:lineRule="auto"/>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See Note 2 and Note 16 to our consolidated financial statements included elsewhere in this prospectus for an explanation of the method used to calculate basic and diluted net loss per share attributable to common stockholders, and the weighted-average number of shares used in the computation of the per share amounts. For the computation of per share amounts, common stockholders include holders of common stock and nonvoting common stock and common stock outstanding and weighted average common shares include common stock and nonvoting common stock.</w:t>
      </w:r>
    </w:p>
    <w:p>
      <w:pPr>
        <w:spacing w:after="0" w:line="1" w:lineRule="exact"/>
        <w:rPr>
          <w:rFonts w:ascii="Arial" w:cs="Arial" w:eastAsia="Arial" w:hAnsi="Arial"/>
          <w:sz w:val="14"/>
          <w:szCs w:val="14"/>
          <w:color w:val="auto"/>
        </w:rPr>
      </w:pPr>
    </w:p>
    <w:p>
      <w:pPr>
        <w:ind w:left="820" w:hanging="522"/>
        <w:spacing w:after="0"/>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Unaudited pro forma basic and diluted net loss per share attributable to common stockholders for the year ended December 31, 2020 and the three months</w:t>
      </w:r>
    </w:p>
    <w:p>
      <w:pPr>
        <w:spacing w:after="0" w:line="163" w:lineRule="exact"/>
        <w:rPr>
          <w:sz w:val="20"/>
          <w:szCs w:val="20"/>
          <w:color w:val="auto"/>
        </w:rPr>
      </w:pPr>
    </w:p>
    <w:p>
      <w:pPr>
        <w:ind w:left="820" w:right="100"/>
        <w:spacing w:after="0" w:line="241" w:lineRule="auto"/>
        <w:rPr>
          <w:sz w:val="20"/>
          <w:szCs w:val="20"/>
          <w:color w:val="auto"/>
        </w:rPr>
      </w:pPr>
      <w:r>
        <w:rPr>
          <w:rFonts w:ascii="Arial" w:cs="Arial" w:eastAsia="Arial" w:hAnsi="Arial"/>
          <w:sz w:val="14"/>
          <w:szCs w:val="14"/>
          <w:color w:val="auto"/>
        </w:rPr>
        <w:t>ended March 31, 2021 have been prepared to give effect to (i) the conversion of all outstanding convertible preferred stock into shares of common stock immediately prior to the completion of this offering and (ii) the conversion of all outstanding redeemable convertible preferred stock into shares of common stock and shares of non-voting common stock immediately prior to the completion of our planned initial public offering. As we are in a loss position, the warrants for the purchase of common stock, warrants for the purchase of convertible preferred stock, shares of restricted stock awards, and outstanding options would be antidilutive and therefore have been excluded from the computation of unaudited pro forma diluted net loss</w:t>
      </w:r>
    </w:p>
    <w:p>
      <w:pPr>
        <w:spacing w:after="0" w:line="2" w:lineRule="exact"/>
        <w:rPr>
          <w:sz w:val="20"/>
          <w:szCs w:val="20"/>
          <w:color w:val="auto"/>
        </w:rPr>
      </w:pPr>
    </w:p>
    <w:p>
      <w:pPr>
        <w:ind w:left="820" w:right="100"/>
        <w:spacing w:after="0" w:line="249" w:lineRule="auto"/>
        <w:rPr>
          <w:sz w:val="20"/>
          <w:szCs w:val="20"/>
          <w:color w:val="auto"/>
        </w:rPr>
      </w:pPr>
      <w:r>
        <w:rPr>
          <w:rFonts w:ascii="Arial" w:cs="Arial" w:eastAsia="Arial" w:hAnsi="Arial"/>
          <w:sz w:val="14"/>
          <w:szCs w:val="14"/>
          <w:color w:val="auto"/>
        </w:rPr>
        <w:t>per share attributable to common stockholders and non-voting common stockholders. For the computation of per share amounts, common stockholders include holders of common stock and nonvoting common stock and common stock outstanding and weighted average common shares include common stock and nonvoting common stock.</w:t>
      </w:r>
    </w:p>
    <w:p>
      <w:pPr>
        <w:spacing w:after="0" w:line="160" w:lineRule="exact"/>
        <w:rPr>
          <w:sz w:val="20"/>
          <w:szCs w:val="20"/>
          <w:color w:val="auto"/>
        </w:rPr>
      </w:pPr>
    </w:p>
    <w:p>
      <w:pPr>
        <w:ind w:left="840" w:right="80"/>
        <w:spacing w:after="0" w:line="245" w:lineRule="auto"/>
        <w:rPr>
          <w:sz w:val="20"/>
          <w:szCs w:val="20"/>
          <w:color w:val="auto"/>
        </w:rPr>
      </w:pPr>
      <w:r>
        <w:rPr>
          <w:rFonts w:ascii="Arial" w:cs="Arial" w:eastAsia="Arial" w:hAnsi="Arial"/>
          <w:sz w:val="14"/>
          <w:szCs w:val="14"/>
          <w:color w:val="auto"/>
        </w:rPr>
        <w:t>The unaudited pro forma net loss per share attributable to common stockholders and non-voting common stockholders was computed using the weighted average number of shares of common stock outstanding, including the pro forma effect of the aforementioned (i) conversion of all outstanding shares of convertible preferred stock into shares of common stock, and (ii) conversion of all outstanding shares of redeemable convertible preferred stock into shares of common stock and non-voting common stock as if such conversion had occurred at the beginning of the respective reporting period, or their issuance dates, if later.</w:t>
      </w:r>
    </w:p>
    <w:p>
      <w:pPr>
        <w:spacing w:after="0" w:line="164" w:lineRule="exact"/>
        <w:rPr>
          <w:sz w:val="20"/>
          <w:szCs w:val="20"/>
          <w:color w:val="auto"/>
        </w:rPr>
      </w:pPr>
    </w:p>
    <w:p>
      <w:pPr>
        <w:ind w:left="840"/>
        <w:spacing w:after="0" w:line="247" w:lineRule="auto"/>
        <w:rPr>
          <w:sz w:val="20"/>
          <w:szCs w:val="20"/>
          <w:color w:val="auto"/>
        </w:rPr>
      </w:pPr>
      <w:r>
        <w:rPr>
          <w:rFonts w:ascii="Arial" w:cs="Arial" w:eastAsia="Arial" w:hAnsi="Arial"/>
          <w:sz w:val="14"/>
          <w:szCs w:val="14"/>
          <w:color w:val="auto"/>
        </w:rPr>
        <w:t>The following table sets forth the computation of unaudited pro forma basic and diluted net loss per share attributable to common stockholders and non-voting common stockholders giving effect to the aforementioned (i) conversion of all outstanding shares of convertible preferred stock into shares of common stock, and (ii) conversion of all outstanding shares of redeemable convertible preferred stock into shares of common stock and non-voting common stock, for the year ended December 31, 2020 and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4"/>
                <w:szCs w:val="14"/>
                <w:color w:val="auto"/>
              </w:rPr>
            </w:pPr>
          </w:p>
        </w:tc>
        <w:tc>
          <w:tcPr>
            <w:tcW w:w="190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860" w:type="dxa"/>
            <w:vAlign w:val="bottom"/>
          </w:tcPr>
          <w:p>
            <w:pPr>
              <w:spacing w:after="0"/>
              <w:rPr>
                <w:sz w:val="15"/>
                <w:szCs w:val="15"/>
                <w:color w:val="auto"/>
              </w:rPr>
            </w:pPr>
          </w:p>
        </w:tc>
        <w:tc>
          <w:tcPr>
            <w:tcW w:w="1900" w:type="dxa"/>
            <w:vAlign w:val="bottom"/>
            <w:gridSpan w:val="4"/>
          </w:tcPr>
          <w:p>
            <w:pPr>
              <w:ind w:left="20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16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Numerator:</w:t>
            </w:r>
          </w:p>
        </w:tc>
        <w:tc>
          <w:tcPr>
            <w:tcW w:w="38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right w:val="single" w:sz="8" w:color="CCEEFF"/>
            </w:tcBorders>
            <w:shd w:val="clear" w:color="auto" w:fill="CCEEFF"/>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020" w:type="dxa"/>
            <w:vAlign w:val="bottom"/>
            <w:gridSpan w:val="3"/>
          </w:tcPr>
          <w:p>
            <w:pPr>
              <w:ind w:left="300"/>
              <w:spacing w:after="0"/>
              <w:rPr>
                <w:sz w:val="20"/>
                <w:szCs w:val="20"/>
                <w:color w:val="auto"/>
              </w:rPr>
            </w:pPr>
            <w:r>
              <w:rPr>
                <w:rFonts w:ascii="Arial" w:cs="Arial" w:eastAsia="Arial" w:hAnsi="Arial"/>
                <w:sz w:val="14"/>
                <w:szCs w:val="14"/>
                <w:color w:val="auto"/>
              </w:rPr>
              <w:t>Pro forma net loss attributable to common stockholders</w:t>
            </w:r>
          </w:p>
        </w:tc>
        <w:tc>
          <w:tcPr>
            <w:tcW w:w="38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0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Accretion of preferred stock to redemption value</w:t>
            </w:r>
          </w:p>
        </w:tc>
        <w:tc>
          <w:tcPr>
            <w:tcW w:w="3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CCEEFF"/>
            </w:tcBorders>
            <w:shd w:val="clear" w:color="auto" w:fill="CCEEFF"/>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20" w:type="dxa"/>
            <w:vAlign w:val="bottom"/>
          </w:tcPr>
          <w:p>
            <w:pPr>
              <w:spacing w:after="0"/>
              <w:rPr>
                <w:sz w:val="15"/>
                <w:szCs w:val="15"/>
                <w:color w:val="auto"/>
              </w:rPr>
            </w:pPr>
          </w:p>
        </w:tc>
        <w:tc>
          <w:tcPr>
            <w:tcW w:w="6020" w:type="dxa"/>
            <w:vAlign w:val="bottom"/>
            <w:gridSpan w:val="3"/>
          </w:tcPr>
          <w:p>
            <w:pPr>
              <w:ind w:left="580"/>
              <w:spacing w:after="0"/>
              <w:rPr>
                <w:sz w:val="20"/>
                <w:szCs w:val="20"/>
                <w:color w:val="auto"/>
              </w:rPr>
            </w:pPr>
            <w:r>
              <w:rPr>
                <w:rFonts w:ascii="Arial" w:cs="Arial" w:eastAsia="Arial" w:hAnsi="Arial"/>
                <w:sz w:val="14"/>
                <w:szCs w:val="14"/>
                <w:color w:val="auto"/>
              </w:rPr>
              <w:t>Pro forma net loss attributable to common stockholders - basic and</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2160" w:type="dxa"/>
            <w:vAlign w:val="bottom"/>
            <w:gridSpan w:val="2"/>
          </w:tcPr>
          <w:p>
            <w:pPr>
              <w:ind w:left="740"/>
              <w:spacing w:after="0" w:line="157" w:lineRule="exact"/>
              <w:rPr>
                <w:sz w:val="20"/>
                <w:szCs w:val="20"/>
                <w:color w:val="auto"/>
              </w:rPr>
            </w:pPr>
            <w:r>
              <w:rPr>
                <w:rFonts w:ascii="Arial" w:cs="Arial" w:eastAsia="Arial" w:hAnsi="Arial"/>
                <w:sz w:val="14"/>
                <w:szCs w:val="14"/>
                <w:color w:val="auto"/>
              </w:rPr>
              <w:t>diluted</w:t>
            </w:r>
          </w:p>
        </w:tc>
        <w:tc>
          <w:tcPr>
            <w:tcW w:w="3860" w:type="dxa"/>
            <w:vAlign w:val="bottom"/>
          </w:tcPr>
          <w:p>
            <w:pPr>
              <w:spacing w:after="0"/>
              <w:rPr>
                <w:sz w:val="13"/>
                <w:szCs w:val="13"/>
                <w:color w:val="auto"/>
              </w:rPr>
            </w:pPr>
          </w:p>
        </w:tc>
        <w:tc>
          <w:tcPr>
            <w:tcW w:w="38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ind w:left="860"/>
              <w:spacing w:after="0" w:line="157"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 w:type="dxa"/>
            <w:vAlign w:val="bottom"/>
          </w:tcPr>
          <w:p>
            <w:pPr>
              <w:spacing w:after="0"/>
              <w:rPr>
                <w:sz w:val="13"/>
                <w:szCs w:val="13"/>
                <w:color w:val="auto"/>
              </w:rPr>
            </w:pPr>
          </w:p>
        </w:tc>
        <w:tc>
          <w:tcPr>
            <w:tcW w:w="216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color w:val="auto"/>
              </w:rPr>
              <w:t>Denominator:</w:t>
            </w:r>
          </w:p>
        </w:tc>
        <w:tc>
          <w:tcPr>
            <w:tcW w:w="3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6020" w:type="dxa"/>
            <w:vAlign w:val="bottom"/>
            <w:gridSpan w:val="3"/>
          </w:tcPr>
          <w:p>
            <w:pPr>
              <w:ind w:left="300"/>
              <w:spacing w:after="0"/>
              <w:rPr>
                <w:sz w:val="20"/>
                <w:szCs w:val="20"/>
                <w:color w:val="auto"/>
              </w:rPr>
            </w:pPr>
            <w:r>
              <w:rPr>
                <w:rFonts w:ascii="Arial" w:cs="Arial" w:eastAsia="Arial" w:hAnsi="Arial"/>
                <w:sz w:val="14"/>
                <w:szCs w:val="14"/>
                <w:color w:val="auto"/>
              </w:rPr>
              <w:t>Weighted-average common shares used to compute net loss per share</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6020" w:type="dxa"/>
            <w:vAlign w:val="bottom"/>
            <w:gridSpan w:val="3"/>
          </w:tcPr>
          <w:p>
            <w:pPr>
              <w:ind w:left="440"/>
              <w:spacing w:after="0" w:line="157" w:lineRule="exact"/>
              <w:rPr>
                <w:sz w:val="20"/>
                <w:szCs w:val="20"/>
                <w:color w:val="auto"/>
              </w:rPr>
            </w:pPr>
            <w:r>
              <w:rPr>
                <w:rFonts w:ascii="Arial" w:cs="Arial" w:eastAsia="Arial" w:hAnsi="Arial"/>
                <w:sz w:val="14"/>
                <w:szCs w:val="14"/>
                <w:color w:val="auto"/>
              </w:rPr>
              <w:t>attributable to common stockholders - basic and diluted</w:t>
            </w: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60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Pro forma adjustment to reflect the conversion of convertible preferred</w:t>
            </w: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6020" w:type="dxa"/>
            <w:vAlign w:val="bottom"/>
            <w:gridSpan w:val="3"/>
            <w:shd w:val="clear" w:color="auto" w:fill="CCEEFF"/>
          </w:tcPr>
          <w:p>
            <w:pPr>
              <w:ind w:left="440"/>
              <w:spacing w:after="0" w:line="157" w:lineRule="exact"/>
              <w:rPr>
                <w:sz w:val="20"/>
                <w:szCs w:val="20"/>
                <w:color w:val="auto"/>
              </w:rPr>
            </w:pPr>
            <w:r>
              <w:rPr>
                <w:rFonts w:ascii="Arial" w:cs="Arial" w:eastAsia="Arial" w:hAnsi="Arial"/>
                <w:sz w:val="14"/>
                <w:szCs w:val="14"/>
                <w:color w:val="auto"/>
              </w:rPr>
              <w:t>stock to common stock upon the completion of the proposed IPO</w:t>
            </w: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6020" w:type="dxa"/>
            <w:vAlign w:val="bottom"/>
            <w:gridSpan w:val="3"/>
          </w:tcPr>
          <w:p>
            <w:pPr>
              <w:ind w:left="300"/>
              <w:spacing w:after="0"/>
              <w:rPr>
                <w:sz w:val="20"/>
                <w:szCs w:val="20"/>
                <w:color w:val="auto"/>
              </w:rPr>
            </w:pPr>
            <w:r>
              <w:rPr>
                <w:rFonts w:ascii="Arial" w:cs="Arial" w:eastAsia="Arial" w:hAnsi="Arial"/>
                <w:sz w:val="14"/>
                <w:szCs w:val="14"/>
                <w:color w:val="auto"/>
              </w:rPr>
              <w:t>Pro forma adjustment to reflect the conversion of redeemable convertible</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020" w:type="dxa"/>
            <w:vAlign w:val="bottom"/>
            <w:gridSpan w:val="3"/>
          </w:tcPr>
          <w:p>
            <w:pPr>
              <w:ind w:left="440"/>
              <w:spacing w:after="0"/>
              <w:rPr>
                <w:sz w:val="20"/>
                <w:szCs w:val="20"/>
                <w:color w:val="auto"/>
              </w:rPr>
            </w:pPr>
            <w:r>
              <w:rPr>
                <w:rFonts w:ascii="Arial" w:cs="Arial" w:eastAsia="Arial" w:hAnsi="Arial"/>
                <w:sz w:val="14"/>
                <w:szCs w:val="14"/>
                <w:color w:val="auto"/>
              </w:rPr>
              <w:t>preferred stock to common stock upon the completion of the proposed</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0" w:type="dxa"/>
            <w:vAlign w:val="bottom"/>
          </w:tcPr>
          <w:p>
            <w:pPr>
              <w:spacing w:after="0"/>
              <w:rPr>
                <w:sz w:val="14"/>
                <w:szCs w:val="14"/>
                <w:color w:val="auto"/>
              </w:rPr>
            </w:pPr>
          </w:p>
        </w:tc>
        <w:tc>
          <w:tcPr>
            <w:tcW w:w="216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IPO</w:t>
            </w:r>
          </w:p>
        </w:tc>
        <w:tc>
          <w:tcPr>
            <w:tcW w:w="38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602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Pro forma weighted average common shares outstanding - basic and</w:t>
            </w: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2160" w:type="dxa"/>
            <w:vAlign w:val="bottom"/>
            <w:gridSpan w:val="2"/>
            <w:shd w:val="clear" w:color="auto" w:fill="CCEEFF"/>
          </w:tcPr>
          <w:p>
            <w:pPr>
              <w:ind w:left="740"/>
              <w:spacing w:after="0" w:line="157" w:lineRule="exact"/>
              <w:rPr>
                <w:sz w:val="20"/>
                <w:szCs w:val="20"/>
                <w:color w:val="auto"/>
              </w:rPr>
            </w:pPr>
            <w:r>
              <w:rPr>
                <w:rFonts w:ascii="Arial" w:cs="Arial" w:eastAsia="Arial" w:hAnsi="Arial"/>
                <w:sz w:val="14"/>
                <w:szCs w:val="14"/>
                <w:color w:val="auto"/>
              </w:rPr>
              <w:t>diluted</w:t>
            </w:r>
          </w:p>
        </w:tc>
        <w:tc>
          <w:tcPr>
            <w:tcW w:w="386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right w:val="single" w:sz="8" w:color="CCEEFF"/>
            </w:tcBorders>
            <w:shd w:val="clear" w:color="auto" w:fill="CCEEFF"/>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20" w:type="dxa"/>
            <w:vAlign w:val="bottom"/>
            <w:gridSpan w:val="3"/>
            <w:vMerge w:val="restart"/>
          </w:tcPr>
          <w:p>
            <w:pPr>
              <w:ind w:left="580"/>
              <w:spacing w:after="0"/>
              <w:rPr>
                <w:sz w:val="20"/>
                <w:szCs w:val="20"/>
                <w:color w:val="auto"/>
              </w:rPr>
            </w:pPr>
            <w:r>
              <w:rPr>
                <w:rFonts w:ascii="Arial" w:cs="Arial" w:eastAsia="Arial" w:hAnsi="Arial"/>
                <w:sz w:val="14"/>
                <w:szCs w:val="14"/>
                <w:color w:val="auto"/>
              </w:rPr>
              <w:t>Pro forma net loss per share attributable to common stockholders -</w:t>
            </w: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20" w:type="dxa"/>
            <w:vAlign w:val="bottom"/>
          </w:tcPr>
          <w:p>
            <w:pPr>
              <w:spacing w:after="0"/>
              <w:rPr>
                <w:sz w:val="13"/>
                <w:szCs w:val="13"/>
                <w:color w:val="auto"/>
              </w:rPr>
            </w:pPr>
          </w:p>
        </w:tc>
        <w:tc>
          <w:tcPr>
            <w:tcW w:w="602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2160" w:type="dxa"/>
            <w:vAlign w:val="bottom"/>
            <w:gridSpan w:val="2"/>
          </w:tcPr>
          <w:p>
            <w:pPr>
              <w:ind w:left="740"/>
              <w:spacing w:after="0" w:line="157" w:lineRule="exact"/>
              <w:rPr>
                <w:sz w:val="20"/>
                <w:szCs w:val="20"/>
                <w:color w:val="auto"/>
              </w:rPr>
            </w:pPr>
            <w:r>
              <w:rPr>
                <w:rFonts w:ascii="Arial" w:cs="Arial" w:eastAsia="Arial" w:hAnsi="Arial"/>
                <w:sz w:val="14"/>
                <w:szCs w:val="14"/>
                <w:color w:val="auto"/>
              </w:rPr>
              <w:t>basic and diluted</w:t>
            </w:r>
          </w:p>
        </w:tc>
        <w:tc>
          <w:tcPr>
            <w:tcW w:w="3860" w:type="dxa"/>
            <w:vAlign w:val="bottom"/>
          </w:tcPr>
          <w:p>
            <w:pPr>
              <w:spacing w:after="0"/>
              <w:rPr>
                <w:sz w:val="13"/>
                <w:szCs w:val="13"/>
                <w:color w:val="auto"/>
              </w:rPr>
            </w:pPr>
          </w:p>
        </w:tc>
        <w:tc>
          <w:tcPr>
            <w:tcW w:w="3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 March 31, 2021</w:t>
            </w: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gridSpan w:val="2"/>
          </w:tcPr>
          <w:p>
            <w:pPr>
              <w:ind w:left="220"/>
              <w:spacing w:after="0" w:line="143"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Actual</w:t>
            </w:r>
          </w:p>
        </w:tc>
        <w:tc>
          <w:tcPr>
            <w:tcW w:w="1620" w:type="dxa"/>
            <w:vAlign w:val="bottom"/>
            <w:gridSpan w:val="2"/>
          </w:tcPr>
          <w:p>
            <w:pPr>
              <w:ind w:left="340"/>
              <w:spacing w:after="0"/>
              <w:rPr>
                <w:sz w:val="20"/>
                <w:szCs w:val="20"/>
                <w:color w:val="auto"/>
              </w:rPr>
            </w:pPr>
            <w:r>
              <w:rPr>
                <w:rFonts w:ascii="Arial" w:cs="Arial" w:eastAsia="Arial" w:hAnsi="Arial"/>
                <w:sz w:val="14"/>
                <w:szCs w:val="14"/>
                <w:b w:val="1"/>
                <w:bCs w:val="1"/>
                <w:color w:val="auto"/>
              </w:rPr>
              <w:t>Pro Forma(1)</w:t>
            </w: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As Adjusted(2)</w:t>
            </w: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ind w:left="340"/>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3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80" w:type="dxa"/>
            <w:vAlign w:val="bottom"/>
            <w:gridSpan w:val="3"/>
          </w:tcPr>
          <w:p>
            <w:pPr>
              <w:spacing w:after="0" w:line="202" w:lineRule="exact"/>
              <w:rPr>
                <w:sz w:val="20"/>
                <w:szCs w:val="20"/>
                <w:color w:val="auto"/>
              </w:rPr>
            </w:pPr>
            <w:r>
              <w:rPr>
                <w:rFonts w:ascii="Arial" w:cs="Arial" w:eastAsia="Arial" w:hAnsi="Arial"/>
                <w:sz w:val="18"/>
                <w:szCs w:val="18"/>
                <w:color w:val="auto"/>
              </w:rPr>
              <w:t>Cash and cash equivalents</w:t>
            </w:r>
          </w:p>
        </w:tc>
        <w:tc>
          <w:tcPr>
            <w:tcW w:w="386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$ 146,313</w:t>
            </w:r>
          </w:p>
        </w:tc>
        <w:tc>
          <w:tcPr>
            <w:tcW w:w="160" w:type="dxa"/>
            <w:vAlign w:val="bottom"/>
          </w:tcPr>
          <w:p>
            <w:pPr>
              <w:spacing w:after="0"/>
              <w:rPr>
                <w:sz w:val="17"/>
                <w:szCs w:val="17"/>
                <w:color w:val="auto"/>
              </w:rPr>
            </w:pPr>
          </w:p>
        </w:tc>
        <w:tc>
          <w:tcPr>
            <w:tcW w:w="86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7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38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302,321</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gridSpan w:val="3"/>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386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119,501</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38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24,402</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gridSpan w:val="3"/>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386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2,886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38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110,401</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4"/>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179,509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386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(77,310)</w:t>
            </w: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340" w:type="dxa"/>
            <w:vAlign w:val="bottom"/>
            <w:gridSpan w:val="7"/>
          </w:tcPr>
          <w:p>
            <w:pPr>
              <w:spacing w:after="0"/>
              <w:rPr>
                <w:sz w:val="11"/>
                <w:szCs w:val="11"/>
                <w:color w:val="auto"/>
              </w:rPr>
            </w:pPr>
          </w:p>
        </w:tc>
        <w:tc>
          <w:tcPr>
            <w:tcW w:w="11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20" w:type="dxa"/>
            <w:vAlign w:val="bottom"/>
          </w:tcPr>
          <w:p>
            <w:pPr>
              <w:spacing w:after="0"/>
              <w:rPr>
                <w:sz w:val="20"/>
                <w:szCs w:val="20"/>
                <w:color w:val="auto"/>
              </w:rPr>
            </w:pPr>
            <w:r>
              <w:rPr>
                <w:rFonts w:ascii="Arial" w:cs="Arial" w:eastAsia="Arial" w:hAnsi="Arial"/>
                <w:sz w:val="14"/>
                <w:szCs w:val="14"/>
                <w:color w:val="auto"/>
              </w:rPr>
              <w:t>(1)</w:t>
            </w:r>
          </w:p>
        </w:tc>
        <w:tc>
          <w:tcPr>
            <w:tcW w:w="9080" w:type="dxa"/>
            <w:vAlign w:val="bottom"/>
            <w:gridSpan w:val="8"/>
          </w:tcPr>
          <w:p>
            <w:pPr>
              <w:ind w:left="100"/>
              <w:spacing w:after="0"/>
              <w:rPr>
                <w:sz w:val="20"/>
                <w:szCs w:val="20"/>
                <w:color w:val="auto"/>
              </w:rPr>
            </w:pPr>
            <w:r>
              <w:rPr>
                <w:rFonts w:ascii="Arial" w:cs="Arial" w:eastAsia="Arial" w:hAnsi="Arial"/>
                <w:sz w:val="14"/>
                <w:szCs w:val="14"/>
                <w:color w:val="auto"/>
              </w:rPr>
              <w:t>The pro forma consolidated balance sheet information reflects (i) the automatic conversion of all outstanding shares of preferred stock into</w:t>
            </w:r>
          </w:p>
        </w:tc>
        <w:tc>
          <w:tcPr>
            <w:tcW w:w="1140" w:type="dxa"/>
            <w:vAlign w:val="bottom"/>
            <w:gridSpan w:val="3"/>
          </w:tcPr>
          <w:p>
            <w:pPr>
              <w:ind w:left="480"/>
              <w:spacing w:after="0"/>
              <w:rPr>
                <w:sz w:val="20"/>
                <w:szCs w:val="20"/>
                <w:color w:val="auto"/>
              </w:rPr>
            </w:pPr>
            <w:r>
              <w:rPr>
                <w:rFonts w:ascii="Arial" w:cs="Arial" w:eastAsia="Arial" w:hAnsi="Arial"/>
                <w:sz w:val="14"/>
                <w:szCs w:val="14"/>
                <w:color w:val="auto"/>
              </w:rPr>
              <w:t>shares of</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our common stock and</w:t>
            </w:r>
          </w:p>
        </w:tc>
        <w:tc>
          <w:tcPr>
            <w:tcW w:w="8060" w:type="dxa"/>
            <w:vAlign w:val="bottom"/>
            <w:gridSpan w:val="9"/>
          </w:tcPr>
          <w:p>
            <w:pPr>
              <w:ind w:left="120"/>
              <w:spacing w:after="0"/>
              <w:rPr>
                <w:sz w:val="20"/>
                <w:szCs w:val="20"/>
                <w:color w:val="auto"/>
              </w:rPr>
            </w:pPr>
            <w:r>
              <w:rPr>
                <w:rFonts w:ascii="Arial" w:cs="Arial" w:eastAsia="Arial" w:hAnsi="Arial"/>
                <w:sz w:val="14"/>
                <w:szCs w:val="14"/>
                <w:color w:val="auto"/>
              </w:rPr>
              <w:t>shares of our non-voting common stock, (ii) the reclassification of the preferred stock warrant liability to additional paid-in</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0220" w:type="dxa"/>
            <w:vAlign w:val="bottom"/>
            <w:gridSpan w:val="11"/>
          </w:tcPr>
          <w:p>
            <w:pPr>
              <w:ind w:left="100"/>
              <w:spacing w:after="0"/>
              <w:rPr>
                <w:sz w:val="20"/>
                <w:szCs w:val="20"/>
                <w:color w:val="auto"/>
              </w:rPr>
            </w:pPr>
            <w:r>
              <w:rPr>
                <w:rFonts w:ascii="Arial" w:cs="Arial" w:eastAsia="Arial" w:hAnsi="Arial"/>
                <w:sz w:val="14"/>
                <w:szCs w:val="14"/>
                <w:color w:val="auto"/>
              </w:rPr>
              <w:t>capital in connection with the conversion of the outstanding warrants to purchase shares of preferred stock into warrants to purchase shares of common stock,</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0220" w:type="dxa"/>
            <w:vAlign w:val="bottom"/>
            <w:gridSpan w:val="11"/>
          </w:tcPr>
          <w:p>
            <w:pPr>
              <w:ind w:left="100"/>
              <w:spacing w:after="0"/>
              <w:rPr>
                <w:sz w:val="20"/>
                <w:szCs w:val="20"/>
                <w:color w:val="auto"/>
              </w:rPr>
            </w:pPr>
            <w:r>
              <w:rPr>
                <w:rFonts w:ascii="Arial" w:cs="Arial" w:eastAsia="Arial" w:hAnsi="Arial"/>
                <w:sz w:val="14"/>
                <w:szCs w:val="14"/>
                <w:color w:val="auto"/>
              </w:rPr>
              <w:t>and (iii) the filing and effectiveness of our restated certificate of incorporation in Delaware that will become effective immediately prior to the completion of this</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offering.</w:t>
            </w:r>
          </w:p>
        </w:tc>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522"/>
        <w:spacing w:after="0"/>
        <w:tabs>
          <w:tab w:leader="none" w:pos="8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information reflects (i) all adjustments included in footnote (1) above, and (ii) the sale of shares of our</w:t>
      </w:r>
    </w:p>
    <w:p>
      <w:pPr>
        <w:spacing w:after="0" w:line="1" w:lineRule="exact"/>
        <w:rPr>
          <w:sz w:val="20"/>
          <w:szCs w:val="20"/>
          <w:color w:val="auto"/>
        </w:rPr>
      </w:pPr>
    </w:p>
    <w:p>
      <w:pPr>
        <w:jc w:val="both"/>
        <w:ind w:left="820" w:right="160"/>
        <w:spacing w:after="0" w:line="241" w:lineRule="auto"/>
        <w:rPr>
          <w:sz w:val="20"/>
          <w:szCs w:val="20"/>
          <w:color w:val="auto"/>
        </w:rPr>
      </w:pPr>
      <w:r>
        <w:rPr>
          <w:rFonts w:ascii="Arial" w:cs="Arial" w:eastAsia="Arial" w:hAnsi="Arial"/>
          <w:sz w:val="14"/>
          <w:szCs w:val="14"/>
          <w:color w:val="auto"/>
        </w:rPr>
        <w:t>common stock in this offering at an assumed initial public offering price of $ per share, which is the midpoint of the price range set forth on the front cover of this prospectus, after deducting the estimated underwriting discounts and commissions and estimated offering expenses. The pro forma as adjusted information discussed above is illustrative only and will be adjusted based on the actual public offering price and other terms of this offering determined at</w:t>
      </w:r>
    </w:p>
    <w:p>
      <w:pPr>
        <w:spacing w:after="0" w:line="1" w:lineRule="exact"/>
        <w:rPr>
          <w:sz w:val="20"/>
          <w:szCs w:val="20"/>
          <w:color w:val="auto"/>
        </w:rPr>
      </w:pPr>
    </w:p>
    <w:p>
      <w:pPr>
        <w:ind w:left="820" w:right="40"/>
        <w:spacing w:after="0" w:line="241" w:lineRule="auto"/>
        <w:rPr>
          <w:sz w:val="20"/>
          <w:szCs w:val="20"/>
          <w:color w:val="auto"/>
        </w:rPr>
      </w:pPr>
      <w:r>
        <w:rPr>
          <w:rFonts w:ascii="Arial" w:cs="Arial" w:eastAsia="Arial" w:hAnsi="Arial"/>
          <w:sz w:val="14"/>
          <w:szCs w:val="14"/>
          <w:color w:val="auto"/>
        </w:rPr>
        <w:t>pricing. Each $1.00 increase (decrease) in the assumed initial public offering price of $ per share, which is the midpoint of the price range set forth on the cover page of this prospectus, would increase (decrease) cash, cash equivalents and short-term investments, working capital, total assets, and total</w:t>
      </w:r>
    </w:p>
    <w:p>
      <w:pPr>
        <w:spacing w:after="0" w:line="1" w:lineRule="exact"/>
        <w:rPr>
          <w:sz w:val="20"/>
          <w:szCs w:val="20"/>
          <w:color w:val="auto"/>
        </w:rPr>
      </w:pPr>
    </w:p>
    <w:p>
      <w:pPr>
        <w:ind w:left="820" w:right="120"/>
        <w:spacing w:after="0" w:line="241" w:lineRule="auto"/>
        <w:rPr>
          <w:sz w:val="20"/>
          <w:szCs w:val="20"/>
          <w:color w:val="auto"/>
        </w:rPr>
      </w:pPr>
      <w:r>
        <w:rPr>
          <w:rFonts w:ascii="Arial" w:cs="Arial" w:eastAsia="Arial" w:hAnsi="Arial"/>
          <w:sz w:val="14"/>
          <w:szCs w:val="14"/>
          <w:color w:val="auto"/>
        </w:rPr>
        <w:t>stockholders’ equity by $ million, assuming that the number of shares offered, as set forth on the cover of this prospectus, remains the same, and after deducting the estimated underwriting discounts and commissions payable by us. Similarly, each increase (decrease) of one million shares in the number of shares offered by us would increase (decrease) cash, cash equivalents and short-term investments, working capital, total assets, and total stockholders’</w:t>
      </w:r>
    </w:p>
    <w:p>
      <w:pPr>
        <w:spacing w:after="0" w:line="1" w:lineRule="exact"/>
        <w:rPr>
          <w:sz w:val="20"/>
          <w:szCs w:val="20"/>
          <w:color w:val="auto"/>
        </w:rPr>
      </w:pPr>
    </w:p>
    <w:p>
      <w:pPr>
        <w:ind w:left="820" w:right="260"/>
        <w:spacing w:after="0" w:line="241" w:lineRule="auto"/>
        <w:rPr>
          <w:sz w:val="20"/>
          <w:szCs w:val="20"/>
          <w:color w:val="auto"/>
        </w:rPr>
      </w:pPr>
      <w:r>
        <w:rPr>
          <w:rFonts w:ascii="Arial" w:cs="Arial" w:eastAsia="Arial" w:hAnsi="Arial"/>
          <w:sz w:val="14"/>
          <w:szCs w:val="14"/>
          <w:color w:val="auto"/>
        </w:rPr>
        <w:t>equity by approximately $ million, assuming the assumed initial public offering price, which is the midpoint of the price range set forth on the cover page of this prospectus, remains the same and after deducting the estimated underwriting discounts and commissions payable by us.</w:t>
      </w:r>
    </w:p>
    <w:p>
      <w:pPr>
        <w:spacing w:after="0" w:line="1" w:lineRule="exact"/>
        <w:rPr>
          <w:sz w:val="20"/>
          <w:szCs w:val="20"/>
          <w:color w:val="auto"/>
        </w:rPr>
      </w:pPr>
    </w:p>
    <w:p>
      <w:pPr>
        <w:ind w:left="820" w:hanging="522"/>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prospectus, including “Management’s Discussion and Analysis of Financial Condition and Results of Operations” and our consolidated financial statements and the accompanying notes included elsewhere in this prospectus before deciding whether to invest in shares of our common stock.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Summary</w:t>
      </w:r>
    </w:p>
    <w:p>
      <w:pPr>
        <w:spacing w:after="0" w:line="19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Our business operations are subject to numerous risks and uncertainties, including those outside of our control, that could cause our actual results to be harmed, including risks regarding the following:</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34" w:lineRule="exact"/>
        <w:rPr>
          <w:sz w:val="20"/>
          <w:szCs w:val="20"/>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 short operating history at our current scale in a rapidly evolving industry.</w:t>
      </w:r>
    </w:p>
    <w:p>
      <w:pPr>
        <w:spacing w:after="0" w:line="211"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adversely affected by the COVID-19 global pandemic and related responsive actions.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expect our revenue mix to vary over time, which could affect our gross margin and results of operations.</w:t>
      </w:r>
    </w:p>
    <w:p>
      <w:pPr>
        <w:spacing w:after="0" w:line="211" w:lineRule="exact"/>
        <w:rPr>
          <w:rFonts w:ascii="Arial" w:cs="Arial" w:eastAsia="Arial" w:hAnsi="Arial"/>
          <w:sz w:val="18"/>
          <w:szCs w:val="18"/>
          <w:color w:val="auto"/>
        </w:rPr>
      </w:pPr>
    </w:p>
    <w:p>
      <w:pPr>
        <w:ind w:left="880" w:right="840" w:hanging="224"/>
        <w:spacing w:after="0" w:line="24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financial and operating results are subject to seasonality and cyclicality.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of our key performance indicators are subject to inherent challenges in measurement.</w:t>
      </w:r>
    </w:p>
    <w:p>
      <w:pPr>
        <w:spacing w:after="0" w:line="211" w:lineRule="exact"/>
        <w:rPr>
          <w:rFonts w:ascii="Arial" w:cs="Arial" w:eastAsia="Arial" w:hAnsi="Arial"/>
          <w:sz w:val="18"/>
          <w:szCs w:val="18"/>
          <w:color w:val="auto"/>
        </w:rPr>
      </w:pPr>
    </w:p>
    <w:p>
      <w:pPr>
        <w:ind w:left="880" w:right="1000" w:hanging="224"/>
        <w:spacing w:after="0" w:line="24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expand our direct and channel sales capabilities, grow our marketing reach and increase sales productivity.</w:t>
      </w:r>
    </w:p>
    <w:p>
      <w:pPr>
        <w:spacing w:after="0" w:line="196" w:lineRule="exact"/>
        <w:rPr>
          <w:rFonts w:ascii="Arial" w:cs="Arial" w:eastAsia="Arial" w:hAnsi="Arial"/>
          <w:sz w:val="18"/>
          <w:szCs w:val="18"/>
          <w:color w:val="auto"/>
        </w:rPr>
      </w:pPr>
    </w:p>
    <w:p>
      <w:pPr>
        <w:ind w:left="880" w:right="880" w:hanging="224"/>
        <w:spacing w:after="0" w:line="24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 parties.</w:t>
      </w:r>
    </w:p>
    <w:p>
      <w:pPr>
        <w:spacing w:after="0" w:line="196"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196"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education business may be adversely affected by decreases in enrollment or tuition, or increased operating expenses for our clients.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healthcare industry is rapidly evolving.</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travel business may be sensitive to events affecting the travel industry in general.</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enter or expand into new verticals, including our relatively new B2B vertical.</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could be consolidation in the payment processing or enablement industry.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234"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scale our business quickly enough to meet our growing client base.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maintain or expand our ability to offer a variety of local and international payments.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exposed to fluctuations in foreign currency exchange rates.</w:t>
      </w:r>
    </w:p>
    <w:p>
      <w:pPr>
        <w:spacing w:after="0" w:line="211"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payment card networks fees or rules could harm our business.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234"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Payments and other financial services-related regulations and oversight are material to our business.</w:t>
      </w:r>
    </w:p>
    <w:p>
      <w:pPr>
        <w:spacing w:after="0" w:line="211" w:lineRule="exact"/>
        <w:rPr>
          <w:rFonts w:ascii="Arial" w:cs="Arial" w:eastAsia="Arial" w:hAnsi="Arial"/>
          <w:sz w:val="18"/>
          <w:szCs w:val="18"/>
          <w:color w:val="auto"/>
        </w:rPr>
      </w:pPr>
    </w:p>
    <w:p>
      <w:pPr>
        <w:ind w:left="880" w:right="300" w:hanging="224"/>
        <w:spacing w:after="0" w:line="24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subject to governmental laws and requirements regarding economic and trade sanctions, anti-money laundering, and counter-terror financing.</w:t>
      </w:r>
    </w:p>
    <w:p>
      <w:pPr>
        <w:spacing w:after="0" w:line="196" w:lineRule="exact"/>
        <w:rPr>
          <w:rFonts w:ascii="Arial" w:cs="Arial" w:eastAsia="Arial" w:hAnsi="Arial"/>
          <w:sz w:val="18"/>
          <w:szCs w:val="18"/>
          <w:color w:val="auto"/>
        </w:rPr>
      </w:pPr>
    </w:p>
    <w:p>
      <w:pPr>
        <w:ind w:left="880" w:right="500" w:hanging="224"/>
        <w:spacing w:after="0" w:line="24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234"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fail to develop and maintain proper effective controls over financial reporting.</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Estimates relating to our critical accounting policies may prove to be incorrect.</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incur increased costs as a public company.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234" w:lineRule="exact"/>
        <w:rPr>
          <w:sz w:val="20"/>
          <w:szCs w:val="20"/>
          <w:color w:val="auto"/>
        </w:rPr>
      </w:pPr>
    </w:p>
    <w:p>
      <w:pPr>
        <w:ind w:left="880" w:hanging="22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Securities and industry analysts may not publish or publish inaccurate or unfavorable research about our business.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07"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were incorporated in 2009 and have experienced net losses from our operations since inception. We generated net losses of $20.1 million and $11.1 million for 2019 and 2020, respectively, and $8.7 million during the three months ended March 31, 2021. In addition, as of March 31, 2021, we had an accumulated deficit of $106.4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usage-based fee revenue. Changes in our revenue mix from quarter to quarter, including those derived from cross-border or domestic currency transactions, will impact our margins, and we may not be able to grow our revenue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17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achieve and maintain profitability. Our revenue from any prior quarterly or annual periods should not be relied upon as an indication of our future revenue or revenue growth or growth in its volume of payments processed.</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212" w:lineRule="exact"/>
        <w:rPr>
          <w:sz w:val="20"/>
          <w:szCs w:val="20"/>
          <w:color w:val="auto"/>
        </w:rPr>
      </w:pPr>
    </w:p>
    <w:p>
      <w:pPr>
        <w:ind w:left="880" w:right="240" w:hanging="224"/>
        <w:spacing w:after="0" w:line="24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marketing, relationship management and customer support, including an expansion of our sales organization, and new customer support and payer retention initiatives;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211"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expanding into more international markets;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attracting new clients and increasing the number of our clients’ customers that use our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compliance and risk management; and</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60"/>
          </w:cols>
          <w:pgMar w:left="320" w:top="459"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general administration, including increased legal and accounting expenses associated with being a public company.</w:t>
      </w:r>
    </w:p>
    <w:p>
      <w:pPr>
        <w:spacing w:after="0" w:line="185" w:lineRule="exact"/>
        <w:rPr>
          <w:sz w:val="20"/>
          <w:szCs w:val="20"/>
          <w:color w:val="auto"/>
        </w:rPr>
      </w:pPr>
    </w:p>
    <w:p>
      <w:pPr>
        <w:jc w:val="both"/>
        <w:ind w:left="120" w:right="220" w:firstLine="440"/>
        <w:spacing w:after="0"/>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40"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evolving industry and, as a result, our past results may not be indicative of future operating performance.</w:t>
      </w:r>
    </w:p>
    <w:p>
      <w:pPr>
        <w:spacing w:after="0" w:line="135"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We have a short history operating at our current scale in a rapidly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212" w:lineRule="exact"/>
        <w:rPr>
          <w:sz w:val="20"/>
          <w:szCs w:val="20"/>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cost-effectively acquire new clients and retain existing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withstand the impacts of the COVID-19 pandemic;</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our market share;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avoid pricing pressure on our solutions which would compress our margins;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effectively market our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enhance our existing solutions and develop new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awareness of our brand and maintain our reputation;</w:t>
      </w:r>
    </w:p>
    <w:p>
      <w:pPr>
        <w:spacing w:after="0" w:line="211"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offer seamless experience for our clients and their customers, including all user facing attributes ranging from the user interface to client and customer support;</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anticipate and respond to macroeconomic changes;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our solutions and geographic reach, including with respect to B2B and travel payments;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compete effectively;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avoid interruptions in our business from information technology downtime, cybersecurity breaches, or labor stoppages;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the quality of our technology infrastructure;</w:t>
      </w:r>
    </w:p>
    <w:p>
      <w:pPr>
        <w:spacing w:after="0" w:line="211"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40" w:hanging="224"/>
        <w:spacing w:after="0" w:line="24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70"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“Risk Factors” section, our business and operating results will be adversely affected.</w:t>
      </w:r>
    </w:p>
    <w:p>
      <w:pPr>
        <w:spacing w:after="0" w:line="134"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135"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renewal of existing clients’ contracts and sales of additional features and solutions to existing clients. As our market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margins, and other operating results, and accordingly, on the trading price of our common stock.</w:t>
      </w:r>
    </w:p>
    <w:p>
      <w:pPr>
        <w:spacing w:after="0" w:line="18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the market for our solutions mature,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margins. In particular, it has become more common in the education sector for competitors to offer very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profitability.</w:t>
      </w:r>
    </w:p>
    <w:p>
      <w:pPr>
        <w:spacing w:after="0" w:line="16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the solution, and the pricing of additional functionality. If our efforts to sell additional functionality to our clients are not successful, our business and growth prospects would suffer.</w:t>
      </w:r>
    </w:p>
    <w:p>
      <w:pPr>
        <w:spacing w:after="0" w:line="162"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Should any of our clients terminate their relationship with us after implementation has begun, we would not only lose our time, effort and resources invested in that implementation, but we would also have lost the opportunity to leverage those resources to build a relationship with other clients over that same period of time.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0"/>
        <w:spacing w:after="0" w:line="253" w:lineRule="auto"/>
        <w:rPr>
          <w:sz w:val="20"/>
          <w:szCs w:val="20"/>
          <w:color w:val="auto"/>
        </w:rPr>
      </w:pPr>
      <w:r>
        <w:rPr>
          <w:rFonts w:ascii="Arial" w:cs="Arial" w:eastAsia="Arial" w:hAnsi="Arial"/>
          <w:sz w:val="18"/>
          <w:szCs w:val="18"/>
          <w:b w:val="1"/>
          <w:bCs w:val="1"/>
          <w:i w:val="1"/>
          <w:iCs w:val="1"/>
          <w:color w:val="auto"/>
        </w:rPr>
        <w:t>The COVID-19 global pandemic and related government, private sector and individual consumer responsive actions may adversely impact our employees, strategic partners, and clients, which could adversely and materially impact our business, financial condition and results of operations.</w:t>
      </w:r>
    </w:p>
    <w:p>
      <w:pPr>
        <w:spacing w:after="0" w:line="16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global impacts of the COVID-19 outbreak and related government actions taken to reduce the spread of the virus have significantly increased economic uncertainty and reduced economic activity. The outbreak has resulted in authorities implementing numerous measures to try to contain the virus, such as travel bans and restrictions, quarantines, shelter-in-place or total lock-down orders and business limitations and shutdowns that began in the second quarter of fiscal year 2020.</w:t>
      </w:r>
    </w:p>
    <w:p>
      <w:pPr>
        <w:spacing w:after="0" w:line="164"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 addition, the spread of COVID-19 has caused us to modify our business practices, including restricting employee travel, implementing office closures, having our employees, who we call FlyMates, work remotely and cancelling physical participation in meetings, events and conferences. We may take further actions as may be required by government authorities or as we determine are in the best interests of our FlyMates, clients and business partners. This has caused us to make modifications to some of our planned activities and has impacted some of our business development and marketing initiatives.</w:t>
      </w:r>
    </w:p>
    <w:p>
      <w:pPr>
        <w:spacing w:after="0" w:line="16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2020, we experienced periods of reduced payment volume in some of the industries we serve, including travel and education. Cross-border volume continues to be heavily impacted by the decline in travel as a result of the COVID-19 pandemic. International cross-border transaction revenue represent a significant part of our revenue; international regulations and restrictions that inhibit cross-border travel and relocation of international students have had and may continue to have a material impact on our business. In addition, we may experience financial losses due to a number of operational factors, including:</w:t>
      </w:r>
    </w:p>
    <w:p>
      <w:pPr>
        <w:spacing w:after="0" w:line="202"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 party disruptions, including potential outages at network providers and other suppliers;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challenges to the availability and reliability of our network due to changes to normal operations, including the possibility of one or more clusters of COVID-19 cases occurring at our suppliers’ data centers, affecting our FlyMates, or affecting the systems or employees of our clients or business partners;</w:t>
      </w:r>
    </w:p>
    <w:p>
      <w:pPr>
        <w:spacing w:after="0" w:line="202" w:lineRule="exact"/>
        <w:rPr>
          <w:rFonts w:ascii="Arial" w:cs="Arial" w:eastAsia="Arial" w:hAnsi="Arial"/>
          <w:sz w:val="18"/>
          <w:szCs w:val="18"/>
          <w:color w:val="auto"/>
        </w:rPr>
      </w:pPr>
    </w:p>
    <w:p>
      <w:pPr>
        <w:ind w:left="880" w:right="1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cyber and payment fraud risk related to the COVID-19 pandemic, as cybercriminals attempt DDoS related attacks, phishing scams and other disruptive actions, given the shift to online banking, e-commerce and other online activity, as well as more employees working remotely as a result of the outbreak; and</w:t>
      </w:r>
    </w:p>
    <w:p>
      <w:pPr>
        <w:spacing w:after="0" w:line="202" w:lineRule="exact"/>
        <w:rPr>
          <w:rFonts w:ascii="Arial" w:cs="Arial" w:eastAsia="Arial" w:hAnsi="Arial"/>
          <w:sz w:val="18"/>
          <w:szCs w:val="18"/>
          <w:color w:val="auto"/>
        </w:rPr>
      </w:pPr>
    </w:p>
    <w:p>
      <w:pPr>
        <w:ind w:left="880" w:right="320" w:hanging="224"/>
        <w:spacing w:after="0" w:line="24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regulatory requirements, including, for example, government initiatives or requests to reduce or eliminate payment fees or other costs.</w:t>
      </w:r>
    </w:p>
    <w:p>
      <w:pPr>
        <w:spacing w:after="0" w:line="170"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adopted measures to modify our business practices and reduce operating expenses during the first half of 2020 in response to the COVID-19 pandemic, including a reduction in our workforce, delaying hiring plans, restricting travel, lowering marketing spend and the use of external resources. These measures may have slowed our growth while in effect. Although we began increasing our operating expense since such time, the impact from the COVID-19 pandemic on our business, results of operations and financial condition in the longer term remains difficult to predict.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7"/>
          <w:szCs w:val="17"/>
          <w:color w:val="auto"/>
        </w:rPr>
        <w:t>Our clients and their customers who are affected by the ongoing COVID-19 pandemic may continue to demonstrate changed behavior even after the COVID-19 outbreak has subsided. For example, colleges and universities may continue to rely on virtual courses as students may be hesitant to return to full social interaction, and we may continue to see reduced payment volume as economic</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color w:val="auto"/>
        </w:rPr>
        <w:t>worries continue, all of which may have adverse implications for our business. In addition, many of our clients who have historically depended upon a steady flow of international students (e.g., language schools) may have curtailed or suspended operations, or permanently closed. In our business model,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that chargeback risk to our client, if the client has gone out of business, we may be unable to collect on the chargeback and will bear the economic loss, which will negatively impact our business.</w:t>
      </w:r>
    </w:p>
    <w:p>
      <w:pPr>
        <w:spacing w:after="0" w:line="168" w:lineRule="exact"/>
        <w:rPr>
          <w:sz w:val="20"/>
          <w:szCs w:val="20"/>
          <w:color w:val="auto"/>
        </w:rPr>
      </w:pPr>
    </w:p>
    <w:p>
      <w:pPr>
        <w:jc w:val="both"/>
        <w:ind w:left="120" w:right="120" w:firstLine="440"/>
        <w:spacing w:after="0"/>
        <w:rPr>
          <w:sz w:val="20"/>
          <w:szCs w:val="20"/>
          <w:color w:val="auto"/>
        </w:rPr>
      </w:pPr>
      <w:r>
        <w:rPr>
          <w:rFonts w:ascii="Arial" w:cs="Arial" w:eastAsia="Arial" w:hAnsi="Arial"/>
          <w:sz w:val="18"/>
          <w:szCs w:val="18"/>
          <w:color w:val="auto"/>
        </w:rPr>
        <w:t>As a result, we may continue to experience materially adverse impacts to our business as a result of the global economic impact of COVID-19, including lower domestic and cross border spending trends, the availability of credit, adverse impacts on our liquidity, and any recessionary conditions that persist, and exacerbate many of the other known risks described in this “Risk Factors” section.</w:t>
      </w:r>
    </w:p>
    <w:p>
      <w:pPr>
        <w:spacing w:after="0" w:line="140" w:lineRule="exact"/>
        <w:rPr>
          <w:sz w:val="20"/>
          <w:szCs w:val="20"/>
          <w:color w:val="auto"/>
        </w:rPr>
      </w:pPr>
    </w:p>
    <w:p>
      <w:pPr>
        <w:ind w:left="120" w:right="140"/>
        <w:spacing w:after="0" w:line="301" w:lineRule="auto"/>
        <w:rPr>
          <w:sz w:val="20"/>
          <w:szCs w:val="20"/>
          <w:color w:val="auto"/>
        </w:rPr>
      </w:pPr>
      <w:r>
        <w:rPr>
          <w:rFonts w:ascii="Arial" w:cs="Arial" w:eastAsia="Arial" w:hAnsi="Arial"/>
          <w:sz w:val="17"/>
          <w:szCs w:val="17"/>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1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revenue or operating results fall below the expectations of investors or securities analysts or below any guidance we may provide to the market, the price of our common stock could decline substantially.</w:t>
      </w:r>
    </w:p>
    <w:p>
      <w:pPr>
        <w:spacing w:after="0" w:line="178"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“Risk Factors” section, factors that may affect our quarterly operating results, business and financial condition include the following:</w:t>
      </w:r>
    </w:p>
    <w:p>
      <w:pPr>
        <w:spacing w:after="0" w:line="203" w:lineRule="exact"/>
        <w:rPr>
          <w:sz w:val="20"/>
          <w:szCs w:val="20"/>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demand for our solutions and the number, volume and timing of payments processed;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timing of tuition payments;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acceptance of our current and future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revenue mix in a particular quarter;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mix of payment methods and currencies utilized by our clients’ customers in a particular quarter;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slowdown in spending on information technology (IT) and software by our current and/or prospective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cycles and performance of our direct and indirect sales force;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budgeting and implementation cycles of our current or potential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management, performance and expansion of our domestic and international operations;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rate of renewals of contracts with our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control and predict costs, including our operating expenses;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860" w:hanging="224"/>
        <w:spacing w:after="0" w:line="24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successfully manage or integrate any acquisitions, including our recent acquisition of Simplee;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outcome or publicity surrounding any pending or threatened lawsuits;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continuing effects of the COVID-19 pandemic and the responses thereto.</w:t>
      </w:r>
    </w:p>
    <w:p>
      <w:pPr>
        <w:spacing w:after="0" w:line="185"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62"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margin and results of operations.</w:t>
      </w:r>
    </w:p>
    <w:p>
      <w:pPr>
        <w:spacing w:after="0" w:line="207"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45" w:lineRule="exact"/>
        <w:rPr>
          <w:sz w:val="20"/>
          <w:szCs w:val="20"/>
          <w:color w:val="auto"/>
        </w:rPr>
      </w:pPr>
    </w:p>
    <w:p>
      <w:pPr>
        <w:ind w:left="120" w:right="800"/>
        <w:spacing w:after="0" w:line="271"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13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Flywire,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5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2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financial and operational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entire academic year, or the spring semester, respectively. We expect this seasonality of education tuition processing to continue and expect it to impact the amount of processing fees that we earn in a particular fiscal quarter and the level of expenses we incur to generate tuition payment volume and process the higher volume activity. During the COVID-19 pandemic, we have observed an increasing trend of education institutions delaying tuition invoicing or extending dates for payment due to uncertainties in the academic calendar, on-campus classes or remote learning planning, as well as relief being offered to families experiencing financial challenges. Similarly, subsectors of our travel client portfolio will experience increased seasonality as many of our travel clients depend upon advance planning for vacation or holiday travel, which has been hampered by the ongoing COVID-19 pandemic.</w:t>
      </w:r>
    </w:p>
    <w:p>
      <w:pPr>
        <w:spacing w:after="0" w:line="143" w:lineRule="exact"/>
        <w:rPr>
          <w:sz w:val="20"/>
          <w:szCs w:val="20"/>
          <w:color w:val="auto"/>
        </w:rPr>
      </w:pPr>
    </w:p>
    <w:p>
      <w:pPr>
        <w:ind w:left="120" w:right="1100"/>
        <w:spacing w:after="0" w:line="271"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13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156"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13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14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19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anti-money laundering (AML) policies and “know your customer”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79"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19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have established relationships with a number of other companies, including financial institutions, processors, other financial services suppliers, channel sales partners, implementation partners, technology and cloud-based hosting providers, and others. In order to grow our business, we will need to continue to establish and maintain relationships with these types of third parties, and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we are successful in our strategic relationships, we cannot assure you that these relationships will result in increased client usage of our solutions or increased revenues.</w:t>
      </w:r>
    </w:p>
    <w:p>
      <w:pPr>
        <w:spacing w:after="0" w:line="153"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13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73"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54"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b w:val="1"/>
          <w:bCs w:val="1"/>
          <w:i w:val="1"/>
          <w:iCs w:val="1"/>
          <w:color w:val="auto"/>
        </w:rPr>
        <w:t>The estimates of market opportunity included in this prospectus and our ability to capture a meaningful share of this payment volume may prove to be inaccurate, and even if the market in which we compete achieves the forecasted growth, our business could fail to grow at similar rates, if at all.</w:t>
      </w:r>
    </w:p>
    <w:p>
      <w:pPr>
        <w:spacing w:after="0" w:line="150"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Market opportunity estimates included in this prospectus,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For more information regarding the estimates of market opportunity included in this prospectus and our ability to capture a meaningful share of this payment volume, see the section titled “Industry and Market Data.”</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pressure on tuition costs, or increased operating expenses, which may reduce demand for our solutions.</w:t>
      </w:r>
    </w:p>
    <w:p>
      <w:pPr>
        <w:spacing w:after="0" w:line="149"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203" w:lineRule="exact"/>
        <w:rPr>
          <w:sz w:val="20"/>
          <w:szCs w:val="20"/>
          <w:color w:val="auto"/>
        </w:rPr>
      </w:pPr>
    </w:p>
    <w:p>
      <w:pPr>
        <w:ind w:left="880" w:right="20" w:hanging="224"/>
        <w:spacing w:after="0" w:line="24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enrollment in higher education due to lack of funding. Significant reductions in student funding, through grants or loans, may reduce enrollments and decrease the payment volume we process.</w:t>
      </w:r>
    </w:p>
    <w:p>
      <w:pPr>
        <w:spacing w:after="0" w:line="196"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196"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Negative perceptions about in-person classes. Students may reject the opportunity to attend courses in person, when online or virtual classes are offered as an option, due to the ongoing COVID-19 pandemic or a lower price point for online classes.</w:t>
      </w:r>
    </w:p>
    <w:p>
      <w:pPr>
        <w:spacing w:after="0" w:line="196"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96" w:lineRule="exact"/>
        <w:rPr>
          <w:rFonts w:ascii="Arial" w:cs="Arial" w:eastAsia="Arial" w:hAnsi="Arial"/>
          <w:sz w:val="18"/>
          <w:szCs w:val="18"/>
          <w:color w:val="auto"/>
        </w:rPr>
      </w:pPr>
    </w:p>
    <w:p>
      <w:pPr>
        <w:ind w:left="880" w:right="30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Declines in international student enrollment. The COVID-19 pandemic and restrictions on immigration or the award of student visas can negatively impact the cross-border education industry and schools that rely on foreign student populations will be negatively affected or may cease operations.</w:t>
      </w:r>
    </w:p>
    <w:p>
      <w:pPr>
        <w:spacing w:after="0" w:line="202" w:lineRule="exact"/>
        <w:rPr>
          <w:rFonts w:ascii="Arial" w:cs="Arial" w:eastAsia="Arial" w:hAnsi="Arial"/>
          <w:sz w:val="18"/>
          <w:szCs w:val="18"/>
          <w:color w:val="auto"/>
        </w:rPr>
      </w:pPr>
    </w:p>
    <w:p>
      <w:pPr>
        <w:jc w:val="both"/>
        <w:ind w:left="880" w:right="4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62"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which represents, and is expected to continue to represent for the foreseeable future, a majority of our total payment volume and revenue, would have an adverse effect on our business, operating results and financial condition.</w:t>
      </w:r>
    </w:p>
    <w:p>
      <w:pPr>
        <w:spacing w:after="0" w:line="142"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6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
        <w:spacing w:after="0"/>
        <w:rPr>
          <w:sz w:val="20"/>
          <w:szCs w:val="20"/>
          <w:color w:val="auto"/>
        </w:rPr>
      </w:pPr>
      <w:r>
        <w:rPr>
          <w:rFonts w:ascii="Arial" w:cs="Arial" w:eastAsia="Arial" w:hAnsi="Arial"/>
          <w:sz w:val="18"/>
          <w:szCs w:val="18"/>
          <w:color w:val="auto"/>
        </w:rPr>
        <w:t>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76"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w:t>
      </w:r>
    </w:p>
    <w:p>
      <w:pPr>
        <w:spacing w:after="0" w:line="16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success depends on providing high-quality payment solutions that healthcare clients use to improve financial and operational performance, allow them to collect payments and enhance their revenue lifecycle management objectives and which are used and positively received by clients and their customers.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6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which represents, and is expected to continue to represent for the foreseeable future, our second largest vertical by total payment volume and revenue, may have an adverse effect on our business, operating results and financial condition.</w:t>
      </w:r>
    </w:p>
    <w:p>
      <w:pPr>
        <w:spacing w:after="0" w:line="180"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6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Finally, our competitors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electronic health records space and business focused on revenue lifecycle management are critical to leverage if we are to add to our healthcare customer portfolio. Many of these companies may offer products and services similar to ours. If successful, their development efforts could render our solutions less desirable, resulting in the loss of our existing clients or a reduction in the fees we generate from our solutions.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207"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Events like Middle East conflicts, terrorist attacks, mass shooting incidents, natural disasters, such as hurricanes, earthquakes, fires, droughts, floods and volcanic activity, and travel-related health events, such as the COVID-19 pandemic, have a negative impact on the travel industry and affect travelers’ behavior by limiting their ability or willingness to visit certain locations.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are considering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 United States has implemented or 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and resulting revenue from our travel vertical represents, and is expected for the foreseeable future to represent, less than 10% of our total payment volume and revenue. Because we seek to grow the payment volume and the revenue from this vertical in the future, failure to grow our payment volume and resulting revenue from this industry, may have an adverse effect on our business, operating results and financial condition.</w:t>
      </w:r>
    </w:p>
    <w:p>
      <w:pPr>
        <w:spacing w:after="0" w:line="17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the U.K’s withdrawal from the E.U., including uncertainty or delays in the implementation of Brexit, could continue to lead to economic uncertainty and have a negative impact on the travel industry and our European business. The U.K. could lose access to the single E.U. market, travel between the U.K and E.U. countries could be restricted, and we could face new regulatory costs and challenges, the scope of which is presently unknown.</w:t>
      </w:r>
    </w:p>
    <w:p>
      <w:pPr>
        <w:spacing w:after="0" w:line="164" w:lineRule="exact"/>
        <w:rPr>
          <w:sz w:val="20"/>
          <w:szCs w:val="20"/>
          <w:color w:val="auto"/>
        </w:rPr>
      </w:pPr>
    </w:p>
    <w:p>
      <w:pPr>
        <w:ind w:left="120" w:right="220" w:firstLine="440"/>
        <w:spacing w:after="0" w:line="237" w:lineRule="auto"/>
        <w:rPr>
          <w:sz w:val="20"/>
          <w:szCs w:val="20"/>
          <w:color w:val="auto"/>
        </w:rPr>
      </w:pPr>
      <w:r>
        <w:rPr>
          <w:rFonts w:ascii="Arial" w:cs="Arial" w:eastAsia="Arial" w:hAnsi="Arial"/>
          <w:sz w:val="18"/>
          <w:szCs w:val="18"/>
          <w:color w:val="auto"/>
        </w:rPr>
        <w:t>With respect to the COVID-19 pandemic specifically, our 2020 financial results related to serving our existing travel clients and growing our client base in the travel sector was negatively impacted. Additionally, we expect the COVID-19 pandemic will continue to negatively impact our business beyond 2020, but the extent and duration of such impact in the long term is largely uncertain as it is dependent on future developments that cannot be accurately predicted at this time, including but not limited to the severity and transmission rate of the virus, global availability of vaccines and administration of vaccination, the rate of “herd immunity” and the extent and effectiveness of containment actions taken, including mobility restrictions, and the impact of these and other factors on travel behavior.</w:t>
      </w:r>
    </w:p>
    <w:p>
      <w:pPr>
        <w:spacing w:after="0" w:line="154"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b w:val="1"/>
          <w:bCs w:val="1"/>
          <w:i w:val="1"/>
          <w:iCs w:val="1"/>
          <w:color w:val="auto"/>
        </w:rPr>
        <w:t>If we are unable to enter or expand new client verticals, including our relatively new B2B sector, or if our solutions for any new vertical fail to achieve market acceptance, our operating results could be adversely affected and we may be required to reconsider our growth strategy.</w:t>
      </w:r>
    </w:p>
    <w:p>
      <w:pPr>
        <w:spacing w:after="0" w:line="150"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Our growth strategy is influenced, in part, on our ability to expand into new client verticals, including our relatively new B2B payment vertical. The B2B sector represents a relatively new vertical market for us, and we have limited prior experience with the key ERP platforms that are critical to the B2B vertical. Accordingly, our lack of experience in the B2B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The payment volume and resulting revenue from our B2B payment vertical represents, and is expected for the foreseeable future to represent, less than 10%</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7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may be unable to identify new 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Even if we choose to enter new 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14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149"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w:t>
      </w:r>
    </w:p>
    <w:p>
      <w:pPr>
        <w:spacing w:after="0" w:line="104"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13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usage of our solutions grow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assistance to clients’ customers and risk and compliance operations, to serve our growing client base.</w:t>
      </w:r>
    </w:p>
    <w:p>
      <w:pPr>
        <w:spacing w:after="0" w:line="178"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56" w:lineRule="exact"/>
        <w:rPr>
          <w:sz w:val="20"/>
          <w:szCs w:val="20"/>
          <w:color w:val="auto"/>
        </w:rPr>
      </w:pPr>
    </w:p>
    <w:p>
      <w:pPr>
        <w:ind w:left="120" w:right="240"/>
        <w:spacing w:after="0" w:line="301" w:lineRule="auto"/>
        <w:rPr>
          <w:sz w:val="20"/>
          <w:szCs w:val="20"/>
          <w:color w:val="auto"/>
        </w:rPr>
      </w:pPr>
      <w:r>
        <w:rPr>
          <w:rFonts w:ascii="Arial" w:cs="Arial" w:eastAsia="Arial" w:hAnsi="Arial"/>
          <w:sz w:val="17"/>
          <w:szCs w:val="17"/>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11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For the year ended December 31, 2020, we processed over $7.5 billion in payments on our solutions, compared to approximately $5.8 billion for the year ended December 31, 2019. For the three months ended March 31, 2021, we processed approximately $2.9 billion in payments on our solutions. We have grown rapidly and seek to continue to grow, and our business is subject to the risk of financial losses as a result of chargebacks for client-related losses, credit losses, operational errors, software defects, service disruption, employee misconduct, security breaches, or other similar actions or errors in our solutions. As a provider of accounts receivable and other payment solutions, we enable the transfer of funds to our clients from their customers. Software errors in our solutions and operational errors by our FlyMates and business partners may also expose us to losses.</w:t>
      </w:r>
    </w:p>
    <w:p>
      <w:pPr>
        <w:spacing w:after="0" w:line="162" w:lineRule="exact"/>
        <w:rPr>
          <w:sz w:val="20"/>
          <w:szCs w:val="20"/>
          <w:color w:val="auto"/>
        </w:rPr>
      </w:pPr>
    </w:p>
    <w:p>
      <w:pPr>
        <w:jc w:val="both"/>
        <w:ind w:left="120" w:right="360" w:firstLine="440"/>
        <w:spacing w:after="0" w:line="238"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205" w:lineRule="exact"/>
        <w:rPr>
          <w:sz w:val="20"/>
          <w:szCs w:val="20"/>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clients or a reduction in use of our solutions by our clients’ customers;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lost or delayed market acceptance and acquisition of new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legal claims against us;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enforcement action; or</w:t>
      </w:r>
    </w:p>
    <w:p>
      <w:pPr>
        <w:spacing w:after="0" w:line="211"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diversion of our resources, including through increased service expenses or financial concessions, and increased insurance costs.</w:t>
      </w:r>
    </w:p>
    <w:p>
      <w:pPr>
        <w:spacing w:after="0" w:line="170"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140"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50"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0"/>
        <w:spacing w:after="0"/>
        <w:rPr>
          <w:sz w:val="20"/>
          <w:szCs w:val="20"/>
          <w:color w:val="auto"/>
        </w:rPr>
      </w:pPr>
      <w:r>
        <w:rPr>
          <w:rFonts w:ascii="Arial" w:cs="Arial" w:eastAsia="Arial" w:hAnsi="Arial"/>
          <w:sz w:val="18"/>
          <w:szCs w:val="18"/>
          <w:color w:val="auto"/>
        </w:rPr>
        <w:t>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76"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profits, and operating results.</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45"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64"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62"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National Automated Clearing House Association (NACHA), which manages the governance of the Automated Clearing House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Payment Card Industry Data Security Standards (PCI DSS) and network requirements. The loss, destruction or unauthorized modification or disclosure of merchant or cardholder data by us or our contracted third parties could result in significant fines, sanctions and proceedings or actions against us by the payment networks, governmental entities, clients, client customers or others and damage our reputation.</w:t>
      </w:r>
    </w:p>
    <w:p>
      <w:pPr>
        <w:spacing w:after="0" w:line="164"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 Relevant U.S. federal privacy laws include the Family Educational Rights and Privacy Act (FERPA), the Gramm-Leach-Bliley Act (GLBA), and the Health Insurance Portability and Accountability Act (HIPAA). We also are subject to stringent contractual obligations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relating to the handling of such data, including obligations that are more restrictive than legally required. For example, under HIPAA, the information we collect during the payment experience may include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the regulators of Flywire and our clients. Any unauthorized disclosure of PHI or other data we are obligated to protect by regulation or contract could result in significant fines, sanctions, or requirements to take corrective action that could materially adversely affect our reputation and business.</w:t>
      </w:r>
    </w:p>
    <w:p>
      <w:pPr>
        <w:spacing w:after="0" w:line="178"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color w:val="auto"/>
        </w:rPr>
        <w:t>Threats may derive from human error, fraud, or malice on the part of employees or third parties, or from accidental technological failure. For example, certain of our employees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5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64"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Because of this, we face additional cybersecurity challenges, including threats to our own IT infrastructure or those of our clients, our customers’ clients,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79"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not currently aware of any impact that the SolarWinds supply chain attack had on our business, this is a recent event, and the scope of the attack is yet unknown. Therefore, there is residual risk that we may experience a security breach arising from the SolarWinds supply chain attack.</w:t>
      </w:r>
    </w:p>
    <w:p>
      <w:pPr>
        <w:spacing w:after="0" w:line="164" w:lineRule="exact"/>
        <w:rPr>
          <w:sz w:val="20"/>
          <w:szCs w:val="20"/>
          <w:color w:val="auto"/>
        </w:rPr>
      </w:pPr>
    </w:p>
    <w:p>
      <w:pPr>
        <w:ind w:left="120" w:right="100" w:firstLine="440"/>
        <w:spacing w:after="0" w:line="235"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w:t>
      </w:r>
    </w:p>
    <w:p>
      <w:pPr>
        <w:spacing w:after="0" w:line="173"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70"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40"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customers, employees or other third parties, which could expose us to material financial losses and liability and otherwise harm our business.</w:t>
      </w:r>
    </w:p>
    <w:p>
      <w:pPr>
        <w:spacing w:after="0" w:line="13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Our software provides payment facilitation solutions for a large number of clients and their customers. We are responsible for performing know-your-customer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our employees and payment partners or third-parties.</w:t>
      </w:r>
    </w:p>
    <w:p>
      <w:pPr>
        <w:spacing w:after="0" w:line="178"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employees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customers use our solutions, and we serve clients in industries that are at higher risk for fraudulent activity, our exposure to material risk losses from a single client, or from a small number of clients, will increase.</w:t>
      </w:r>
    </w:p>
    <w:p>
      <w:pPr>
        <w:spacing w:after="0" w:line="16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current business and anticipated growth will continue to place significant demands on our risk management efforts, and we will need to continue developing and improving and investing in our existing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40"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149"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revenues generated in these foreign currencies into the U.S. dollar.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p>
    <w:p>
      <w:pPr>
        <w:spacing w:after="0" w:line="17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our international operations continue to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40"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64"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The success of our business will depend, in part, on our ability to adapt and respond effectively to these changes through methods which include launching new solutions.</w:t>
      </w:r>
    </w:p>
    <w:p>
      <w:pPr>
        <w:spacing w:after="0" w:line="164"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Valencia, Spain, Cluj, Romania, Chicago and Tel Aviv, Israel),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customer dissatisfaction and adversely affect our business.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207" w:lineRule="exact"/>
        <w:rPr>
          <w:sz w:val="20"/>
          <w:szCs w:val="20"/>
          <w:color w:val="auto"/>
        </w:rPr>
      </w:pPr>
    </w:p>
    <w:p>
      <w:pPr>
        <w:ind w:left="120" w:firstLine="440"/>
        <w:spacing w:after="0" w:line="250" w:lineRule="auto"/>
        <w:rPr>
          <w:sz w:val="20"/>
          <w:szCs w:val="20"/>
          <w:color w:val="auto"/>
        </w:rPr>
      </w:pPr>
      <w:r>
        <w:rPr>
          <w:rFonts w:ascii="Arial" w:cs="Arial" w:eastAsia="Arial" w:hAnsi="Arial"/>
          <w:sz w:val="17"/>
          <w:szCs w:val="17"/>
          <w:color w:val="auto"/>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34"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5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7"/>
          <w:szCs w:val="17"/>
          <w:color w:val="auto"/>
        </w:rPr>
        <w:t>Our solutions integrate with enterprise resource planning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62" w:lineRule="exact"/>
        <w:rPr>
          <w:sz w:val="20"/>
          <w:szCs w:val="20"/>
          <w:color w:val="auto"/>
        </w:rPr>
      </w:pPr>
    </w:p>
    <w:p>
      <w:pPr>
        <w:jc w:val="both"/>
        <w:ind w:left="120" w:right="360" w:firstLine="440"/>
        <w:spacing w:after="0"/>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62"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56"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operating results, and financial condition may suffer.</w:t>
      </w:r>
    </w:p>
    <w:p>
      <w:pPr>
        <w:spacing w:after="0" w:line="135"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We believe that further developing, maintaining and enhancing the Flywire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our business could suffer.</w:t>
      </w:r>
    </w:p>
    <w:p>
      <w:pPr>
        <w:spacing w:after="0" w:line="145" w:lineRule="exact"/>
        <w:rPr>
          <w:sz w:val="20"/>
          <w:szCs w:val="20"/>
          <w:color w:val="auto"/>
        </w:rPr>
      </w:pPr>
    </w:p>
    <w:p>
      <w:pPr>
        <w:ind w:left="120" w:right="600"/>
        <w:spacing w:after="0" w:line="271"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149"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We currently have “key person” insurance on our Chief Executive Officer, Michael Massaro, but not for any of the other members of our management team. Certain of our key employees have been with us for a long period of time and have fully vested stock options or other long-term equity incentives that may become valuable and will be publicly tradable upon the completion of an initial public offering.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14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13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20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adversely affected.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193"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The sales cycles for sales of our solutions tend to vary depending on the client industry sector which may make forecasting more complex and uncertain.</w:t>
      </w:r>
    </w:p>
    <w:p>
      <w:pPr>
        <w:spacing w:after="0" w:line="176" w:lineRule="exact"/>
        <w:rPr>
          <w:sz w:val="20"/>
          <w:szCs w:val="20"/>
          <w:color w:val="auto"/>
        </w:rPr>
      </w:pPr>
    </w:p>
    <w:p>
      <w:pPr>
        <w:ind w:left="120" w:firstLine="440"/>
        <w:spacing w:after="0" w:line="250" w:lineRule="auto"/>
        <w:rPr>
          <w:sz w:val="20"/>
          <w:szCs w:val="20"/>
          <w:color w:val="auto"/>
        </w:rPr>
      </w:pPr>
      <w:r>
        <w:rPr>
          <w:rFonts w:ascii="Arial" w:cs="Arial" w:eastAsia="Arial" w:hAnsi="Arial"/>
          <w:sz w:val="17"/>
          <w:szCs w:val="17"/>
          <w:color w:val="auto"/>
        </w:rPr>
        <w:t>As a result of the ongoing COVID-19 pandemic, many enterprises have limited travel, prohibited in person meetings and implemented other restrictions that could make the sales process more lengthy and difficult.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requests for proposals (RFPs), which are generally a time- and resource-intensive process, with no assurances of being selected as a vendor after the RFP process is completed. Finally,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spacing w:after="0" w:line="161"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Any difficulties or delays in the initial implementation could cause clients to reject our solutions or lead to the delay or non-receipt of future orders, in which case our business, operating results and financial condition would be harmed.</w:t>
      </w:r>
    </w:p>
    <w:p>
      <w:pPr>
        <w:spacing w:after="0" w:line="16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80"/>
        <w:spacing w:after="0" w:line="271"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149"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as a result of the COVID-19 pandemic and other factors.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44"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13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80"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In addition, as we continue to grow our operations and continue to expand to new jurisdictions, we need to be able to provide efficient client service that meets our clients’ needs globally at scale. In geographies where we sell through our indirect sales channel, if we are unable to provide a high quality client experience tailored to the language and culture of the applicable jurisdiction, our business operations and reputation may suffer.</w:t>
      </w:r>
    </w:p>
    <w:p>
      <w:pPr>
        <w:spacing w:after="0" w:line="142"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13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66"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Any acquisitions we undertake or have recently completed, including the acquisition of Simplee in February 2020, will likely be accompanied by business risks which may include, among other things:</w:t>
      </w:r>
    </w:p>
    <w:p>
      <w:pPr>
        <w:spacing w:after="0" w:line="197" w:lineRule="exact"/>
        <w:rPr>
          <w:sz w:val="20"/>
          <w:szCs w:val="20"/>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of the acquisition on our financial and strategic position and reputation;</w:t>
      </w:r>
    </w:p>
    <w:p>
      <w:pPr>
        <w:spacing w:after="0" w:line="211"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196" w:lineRule="exact"/>
        <w:rPr>
          <w:rFonts w:ascii="Arial" w:cs="Arial" w:eastAsia="Arial" w:hAnsi="Arial"/>
          <w:sz w:val="18"/>
          <w:szCs w:val="18"/>
          <w:color w:val="auto"/>
        </w:rPr>
      </w:pPr>
    </w:p>
    <w:p>
      <w:pPr>
        <w:ind w:left="880" w:right="920" w:hanging="224"/>
        <w:spacing w:after="0" w:line="24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211"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196" w:lineRule="exact"/>
        <w:rPr>
          <w:rFonts w:ascii="Arial" w:cs="Arial" w:eastAsia="Arial" w:hAnsi="Arial"/>
          <w:sz w:val="18"/>
          <w:szCs w:val="18"/>
          <w:color w:val="auto"/>
        </w:rPr>
      </w:pPr>
    </w:p>
    <w:p>
      <w:pPr>
        <w:ind w:left="880" w:right="480" w:hanging="224"/>
        <w:spacing w:after="0" w:line="24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lack of experience in new markets, new business culture, products or technologies or an initial dependence on unfamiliar distribution partners;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possibility that we will pay more than the value we derive from the acquisition;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impairment of relationships with our customers, partners or suppliers or those of the acquired business;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loss of key employees of the acquired business.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171"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could harm our business.</w:t>
      </w:r>
    </w:p>
    <w:p>
      <w:pPr>
        <w:spacing w:after="0" w:line="2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6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64" w:lineRule="exact"/>
        <w:rPr>
          <w:sz w:val="20"/>
          <w:szCs w:val="20"/>
          <w:color w:val="auto"/>
        </w:rPr>
      </w:pPr>
    </w:p>
    <w:p>
      <w:pPr>
        <w:ind w:left="120" w:right="260" w:firstLine="440"/>
        <w:spacing w:after="0" w:line="237"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78" w:lineRule="exact"/>
        <w:rPr>
          <w:sz w:val="20"/>
          <w:szCs w:val="20"/>
          <w:color w:val="auto"/>
        </w:rPr>
      </w:pPr>
    </w:p>
    <w:p>
      <w:pPr>
        <w:ind w:left="120" w:right="120" w:firstLine="440"/>
        <w:spacing w:after="0" w:line="235" w:lineRule="auto"/>
        <w:rPr>
          <w:sz w:val="20"/>
          <w:szCs w:val="20"/>
          <w:color w:val="auto"/>
        </w:rPr>
      </w:pPr>
      <w:r>
        <w:rPr>
          <w:rFonts w:ascii="Arial" w:cs="Arial" w:eastAsia="Arial" w:hAnsi="Arial"/>
          <w:sz w:val="18"/>
          <w:szCs w:val="18"/>
          <w:color w:val="auto"/>
        </w:rPr>
        <w:t>We use public cloud hosting with Amazon Web Services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military actions,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 System failures or outages, including any potential disruptions due to significantly increased global demand on certain cloud -based systems during the COVID-19 pandemic, could compromise our ability to provide our solutions in a timely manner, which could harm our ability to conduct business or delay our financial reporting. Such failures could adversely affect our operating results and financial condition.</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81"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6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04"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b w:val="1"/>
          <w:bCs w:val="1"/>
          <w:i w:val="1"/>
          <w:iCs w:val="1"/>
          <w:color w:val="auto"/>
        </w:rPr>
        <w:t>We currently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169"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business is subject to risks inherent in conducting business globally, including cross-border payments and domestic payments in the U.S.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207" w:lineRule="exact"/>
        <w:rPr>
          <w:sz w:val="20"/>
          <w:szCs w:val="20"/>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currency exchange rate volatility;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related to government regulation or required compliance with local laws;</w:t>
      </w:r>
    </w:p>
    <w:p>
      <w:pPr>
        <w:spacing w:after="0" w:line="211"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211" w:lineRule="exact"/>
        <w:rPr>
          <w:rFonts w:ascii="Arial" w:cs="Arial" w:eastAsia="Arial" w:hAnsi="Arial"/>
          <w:sz w:val="18"/>
          <w:szCs w:val="18"/>
          <w:color w:val="auto"/>
        </w:rPr>
      </w:pPr>
    </w:p>
    <w:p>
      <w:pPr>
        <w:ind w:left="880" w:right="520" w:hanging="224"/>
        <w:spacing w:after="0" w:line="274"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174" w:lineRule="exact"/>
        <w:rPr>
          <w:rFonts w:ascii="Arial" w:cs="Arial" w:eastAsia="Arial" w:hAnsi="Arial"/>
          <w:sz w:val="17"/>
          <w:szCs w:val="17"/>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trade barriers and changes in trade regulations;</w:t>
      </w:r>
    </w:p>
    <w:p>
      <w:pPr>
        <w:spacing w:after="0" w:line="211"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stringent local labor laws and regulations;</w:t>
      </w:r>
    </w:p>
    <w:p>
      <w:pPr>
        <w:spacing w:after="0" w:line="211"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political or social unrest, economic instability, repression, or human rights issues;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211"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211"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in the United States and elsewhere and as described in more detail below;</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211" w:lineRule="exact"/>
        <w:rPr>
          <w:rFonts w:ascii="Arial" w:cs="Arial" w:eastAsia="Arial" w:hAnsi="Arial"/>
          <w:sz w:val="18"/>
          <w:szCs w:val="18"/>
          <w:color w:val="auto"/>
        </w:rPr>
      </w:pPr>
    </w:p>
    <w:p>
      <w:pPr>
        <w:ind w:left="880" w:right="12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w:t>
      </w:r>
    </w:p>
    <w:p>
      <w:pPr>
        <w:spacing w:after="0" w:line="202"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national or regional differences in macroeconomic growth rates;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difficulties in collecting accounts receivable.</w:t>
      </w:r>
    </w:p>
    <w:p>
      <w:pPr>
        <w:spacing w:after="0" w:line="185" w:lineRule="exact"/>
        <w:rPr>
          <w:sz w:val="20"/>
          <w:szCs w:val="20"/>
          <w:color w:val="auto"/>
        </w:rPr>
      </w:pPr>
    </w:p>
    <w:p>
      <w:pPr>
        <w:jc w:val="both"/>
        <w:ind w:left="120" w:firstLine="440"/>
        <w:spacing w:after="0" w:line="237"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64"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320" w:top="459" w:right="5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substantial amount of payments from China. The Chinese government imposes controls on the convertibility of the Renminbi (RMB) the currency of China, into foreign currencies and, in certain cases, the remittance of currency out of China. The Chinese government may at its discretion further restrict access in the future to foreign currencies for current account transactions.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78"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140"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13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local, state, and federal laws, rules, regulations, licensing schemes, and industry standards in the U.S.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anti-money laundering, combating terrorist financing, escheatment, international sanctions regimes, and compliance with the PCI–DSS. These laws, rules, regulations, licensing schemes, and standards are enforced by multiple authorities and governing bodies in the United States, including the Department of the Treasury, the Federal Deposit Insurance Corporation, the SEC, Consumer Financial Protection Bureau,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86" w:lineRule="exact"/>
        <w:rPr>
          <w:sz w:val="20"/>
          <w:szCs w:val="20"/>
          <w:color w:val="auto"/>
        </w:rPr>
      </w:pPr>
    </w:p>
    <w:p>
      <w:pPr>
        <w:ind w:left="120" w:right="160" w:firstLine="440"/>
        <w:spacing w:after="0" w:line="236" w:lineRule="auto"/>
        <w:rPr>
          <w:sz w:val="20"/>
          <w:szCs w:val="20"/>
          <w:color w:val="auto"/>
        </w:rPr>
      </w:pPr>
      <w:r>
        <w:rPr>
          <w:rFonts w:ascii="Arial" w:cs="Arial" w:eastAsia="Arial" w:hAnsi="Arial"/>
          <w:sz w:val="18"/>
          <w:szCs w:val="18"/>
          <w:color w:val="auto"/>
        </w:rPr>
        <w:t>Certain of our subsidiaries are registered with the U.S. Department of the Treasury’s Financial Crimes Enforcement Network. Our subsidiary Flywire Global Corp. has obtained licenses to operate as a money transmitter (or the statutory equivalent) in 29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customer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involved in maintaining and renewing our licenses, certifications, and approvals, and we could be subject to fines or other enforcement action if we are found to violate disclosure, reporting, anti-money laundering, capitalization, corporate governance, or other requirements of such licenses.</w:t>
      </w:r>
    </w:p>
    <w:p>
      <w:pPr>
        <w:spacing w:after="0" w:line="176"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Money Services Business (MSB) with the U.S. Department of the Treasury’s Financial Crimes Enforcement Network (FinCEN). For additional discussion of the requirements of our MSB registration, please see “Business – Regulation and Industry Standards.”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7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adoption of new money transmitter or money services business statutes in jurisdictions or changes in regulators’ interpretation of existing state and federal money transmitter or money services business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140"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149"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United Kingdom (U.K.) approved an exit from the European Union (E.U.) (commonly referred to as Brexit), we were required to obtain a license from a member state of the European Economic Area (EEA) which would allow us to continue to provide our solutions to clients located in the EEA under a principle known as “passporting”. We were able to obtain a license as an authorized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payment institution from the Bank of Lithuania in September 2019 and subsequently obtained the right to passport our solutions to other EEA member states.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Government agencies may impose new or additional rules on money transmission, including regulations that:</w:t>
      </w:r>
    </w:p>
    <w:p>
      <w:pPr>
        <w:spacing w:after="0" w:line="212" w:lineRule="exact"/>
        <w:rPr>
          <w:sz w:val="20"/>
          <w:szCs w:val="20"/>
          <w:color w:val="auto"/>
        </w:rPr>
      </w:pPr>
    </w:p>
    <w:p>
      <w:pPr>
        <w:ind w:left="880" w:right="16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impose additional client identification and client due diligence requirements;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211" w:lineRule="exact"/>
        <w:rPr>
          <w:rFonts w:ascii="Arial" w:cs="Arial" w:eastAsia="Arial" w:hAnsi="Arial"/>
          <w:sz w:val="18"/>
          <w:szCs w:val="18"/>
          <w:color w:val="auto"/>
        </w:rPr>
      </w:pPr>
    </w:p>
    <w:p>
      <w:pPr>
        <w:ind w:left="880" w:right="68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impose minimum capital or other financial requirements;</w:t>
      </w:r>
    </w:p>
    <w:p>
      <w:pPr>
        <w:spacing w:after="0" w:line="211" w:lineRule="exact"/>
        <w:rPr>
          <w:rFonts w:ascii="Arial" w:cs="Arial" w:eastAsia="Arial" w:hAnsi="Arial"/>
          <w:sz w:val="18"/>
          <w:szCs w:val="18"/>
          <w:color w:val="auto"/>
        </w:rPr>
      </w:pPr>
    </w:p>
    <w:p>
      <w:pPr>
        <w:ind w:left="880" w:right="30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202"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enhanced disclosures to our money transmission clients or their customers;</w:t>
      </w:r>
    </w:p>
    <w:p>
      <w:pPr>
        <w:spacing w:after="0" w:line="211"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196"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196"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13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anti-money laundering, and counter-terror financing that could impair our ability to compete in international markets or subject us to criminal or civil liability if we violate them.</w:t>
      </w:r>
    </w:p>
    <w:p>
      <w:pPr>
        <w:spacing w:after="0" w:line="150"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are currently required to comply with U.S. economic and trade sanctions administered by the U.S. Department of Treasury’s Office of Foreign Assets Control (OFAC) and we have processes in place to comply with the OFAC regulations as well as similar requirements in the foreign jurisdictions in which we already operate. As part of our compliance efforts, we scan our clients against watch lists promulgated by OFAC and certain other international agencies. Our application can be accessed from anywhere in the world, and if our service is accessed from a sanctioned country in violation of applicable trade and economic sanctions, we could be subject to fines or other enforcement actions. We are also subject to various anti-money laundering and counter-terrorist financing laws and regulations around the world that prohibit, among other things, our involvement in transferring the proceeds of criminal or terrorist activities. In the United States, most of our solutions are subject to anti-money laundering laws and regulations, including the Bank Secrecy Act, as amended (BSA), and similar laws and regulations. The BSA, among other things, requires MSBs to develop and implement risk-based anti-money laundering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anti-money laundering programs, and we could likewise be</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subject to significant fines, penalties, inquiries, audits, investigations, enforcement actions, and criminal and civil liability if our anti-money laundering program is found to be insufficient by a regulator.</w:t>
      </w:r>
    </w:p>
    <w:p>
      <w:pPr>
        <w:spacing w:after="0" w:line="170"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business operations in other parts of the world such as the U.K., Lithuania,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anti-money laundering, counter-terrorist financing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w:t>
      </w:r>
    </w:p>
    <w:p>
      <w:pPr>
        <w:spacing w:after="0" w:line="14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50"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78"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the Family Educational Rights and Privacy Act, the Health Insurance Portability and Accountability Act,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California Consumer Privacy Act of 2018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7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For example, other states, such as Washington, have proposed broad privacy laws that are similar to the CCPA and we anticipate that more states may enact legislation similar to the CCPA, which provides consumers with new privacy rights and increases the privacy and security obligations of entities handling certain personal information of such consumers.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6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Many of the foreign jurisdictions where we or our customers operate or conduct business, including the European Union, have laws and regulations dealing with the collection, use, storage, and disclosure and other handling (collectively,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Flywire has multiple offices in Europe and serves clients and their customers throughout the E.U., where the GDPR went into effect in 2018. The General Data Protection Regulation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6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Recent legal developments have created compliance uncertainty regarding some transfers of personal information from the U.K. and EEA to locations where we or our customers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European Union ruled in its “</w:t>
      </w:r>
      <w:r>
        <w:rPr>
          <w:rFonts w:ascii="Arial" w:cs="Arial" w:eastAsia="Arial" w:hAnsi="Arial"/>
          <w:sz w:val="18"/>
          <w:szCs w:val="18"/>
          <w:i w:val="1"/>
          <w:iCs w:val="1"/>
          <w:color w:val="auto"/>
        </w:rPr>
        <w:t>Schrems II</w:t>
      </w:r>
      <w:r>
        <w:rPr>
          <w:rFonts w:ascii="Arial" w:cs="Arial" w:eastAsia="Arial" w:hAnsi="Arial"/>
          <w:sz w:val="18"/>
          <w:szCs w:val="18"/>
          <w:color w:val="auto"/>
        </w:rPr>
        <w:t>” decision (C-311/18), that the Privacy Shield, a transfer mechanism used by thousands of companies to transfer data between those jurisdictions and United States (and also used by Flywire),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Flywire and our customers continue to use alternative transfer strategies,</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 xml:space="preserve">including the European Commission’s Standard Contractual Clauses (SCCs), while the authorities interpret the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decision), and may be further challenged, suspended or invalidated for transfers to some or all countries. For example, guidance regarding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customer facing solutions, or may otherwise affect or restrict our sales and operations.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w:t>
      </w:r>
    </w:p>
    <w:p>
      <w:pPr>
        <w:ind w:left="120"/>
        <w:spacing w:after="0"/>
        <w:rPr>
          <w:sz w:val="20"/>
          <w:szCs w:val="20"/>
          <w:color w:val="auto"/>
        </w:rPr>
      </w:pPr>
      <w:r>
        <w:rPr>
          <w:rFonts w:ascii="Arial" w:cs="Arial" w:eastAsia="Arial" w:hAnsi="Arial"/>
          <w:sz w:val="18"/>
          <w:szCs w:val="18"/>
          <w:color w:val="auto"/>
        </w:rPr>
        <w:t>€20 million or 4% of a corporate family’s total worldwide global turnover for the preceding fiscal year, whichever is higher. Such penalties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are in addition to any civil litigation claims by clients, data subjects or other third parties. We believe that the solutions that we currently</w:t>
      </w:r>
    </w:p>
    <w:p>
      <w:pPr>
        <w:ind w:left="120"/>
        <w:spacing w:after="0" w:line="234" w:lineRule="auto"/>
        <w:rPr>
          <w:sz w:val="20"/>
          <w:szCs w:val="20"/>
          <w:color w:val="auto"/>
        </w:rPr>
      </w:pPr>
      <w:r>
        <w:rPr>
          <w:rFonts w:ascii="Arial" w:cs="Arial" w:eastAsia="Arial" w:hAnsi="Arial"/>
          <w:sz w:val="18"/>
          <w:szCs w:val="18"/>
          <w:color w:val="auto"/>
        </w:rPr>
        <w:t>offer subject us to the GDPR and other laws and regulations relating to privacy, data protection, and information security, and these may</w:t>
      </w:r>
    </w:p>
    <w:p>
      <w:pPr>
        <w:ind w:left="120"/>
        <w:spacing w:after="0" w:line="235" w:lineRule="auto"/>
        <w:rPr>
          <w:sz w:val="20"/>
          <w:szCs w:val="20"/>
          <w:color w:val="auto"/>
        </w:rPr>
      </w:pPr>
      <w:r>
        <w:rPr>
          <w:rFonts w:ascii="Arial" w:cs="Arial" w:eastAsia="Arial" w:hAnsi="Arial"/>
          <w:sz w:val="18"/>
          <w:szCs w:val="18"/>
          <w:color w:val="auto"/>
        </w:rPr>
        <w:t>be modified or subject to new or different interpretations in the future. We will need to take steps to address compliance obligations in this</w:t>
      </w:r>
    </w:p>
    <w:p>
      <w:pPr>
        <w:ind w:left="120"/>
        <w:spacing w:after="0" w:line="235" w:lineRule="auto"/>
        <w:rPr>
          <w:sz w:val="20"/>
          <w:szCs w:val="20"/>
          <w:color w:val="auto"/>
        </w:rPr>
      </w:pPr>
      <w:r>
        <w:rPr>
          <w:rFonts w:ascii="Arial" w:cs="Arial" w:eastAsia="Arial" w:hAnsi="Arial"/>
          <w:sz w:val="18"/>
          <w:szCs w:val="18"/>
          <w:color w:val="auto"/>
        </w:rPr>
        <w:t>rapidly evolving legal environment, but we cannot assure you that we will be able to implement changes in a timely manner or without</w:t>
      </w:r>
    </w:p>
    <w:p>
      <w:pPr>
        <w:ind w:left="120"/>
        <w:spacing w:after="0"/>
        <w:rPr>
          <w:sz w:val="20"/>
          <w:szCs w:val="20"/>
          <w:color w:val="auto"/>
        </w:rPr>
      </w:pPr>
      <w:r>
        <w:rPr>
          <w:rFonts w:ascii="Arial" w:cs="Arial" w:eastAsia="Arial" w:hAnsi="Arial"/>
          <w:sz w:val="18"/>
          <w:szCs w:val="18"/>
          <w:color w:val="auto"/>
        </w:rPr>
        <w:t>significant disruption to our business, or that such steps will be effective, and we may face the risk of liability and loss of business.</w:t>
      </w:r>
    </w:p>
    <w:p>
      <w:pPr>
        <w:spacing w:after="0" w:line="171"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The U.K., however, is now regarded as a third country under the E.U.’s GDPR which means that transfers of personal data from the EEA to the U.K. will be restricted unless an appropriate safeguard, as recognized by the E.U.’s GDPR, has been put in place. Currently, under the E.U.-U.K. Trade Cooperation Agreement it is lawful to transfer personal data between the U.K. and the EEA for a 6-month period following the end of the transition period, with a view to achieving an adequacy decision from the European Commission during that period. Like the GDPR, the U.K. GDPR restricts personal data transfers outside the U.K. to countries not regarded by the U.K. as providing adequate protection (this means that personal data transfers from the U.K. to the EEA remain free flowing).</w:t>
      </w:r>
    </w:p>
    <w:p>
      <w:pPr>
        <w:spacing w:after="0" w:line="163"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7"/>
          <w:szCs w:val="17"/>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1" w:lineRule="auto"/>
        <w:rPr>
          <w:sz w:val="20"/>
          <w:szCs w:val="20"/>
          <w:color w:val="auto"/>
        </w:rPr>
      </w:pPr>
      <w:r>
        <w:rPr>
          <w:rFonts w:ascii="Arial" w:cs="Arial" w:eastAsia="Arial" w:hAnsi="Arial"/>
          <w:sz w:val="17"/>
          <w:szCs w:val="17"/>
          <w:color w:val="auto"/>
        </w:rPr>
        <w:t>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39"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29"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12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7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59"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13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64"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 xml:space="preserve">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recently ruled in </w:t>
      </w:r>
      <w:r>
        <w:rPr>
          <w:rFonts w:ascii="Arial" w:cs="Arial" w:eastAsia="Arial" w:hAnsi="Arial"/>
          <w:sz w:val="18"/>
          <w:szCs w:val="18"/>
          <w:i w:val="1"/>
          <w:iCs w:val="1"/>
          <w:color w:val="auto"/>
        </w:rPr>
        <w:t>South Dakota v. Wayfair, Inc. et al</w:t>
      </w:r>
      <w:r>
        <w:rPr>
          <w:rFonts w:ascii="Arial" w:cs="Arial" w:eastAsia="Arial" w:hAnsi="Arial"/>
          <w:sz w:val="18"/>
          <w:szCs w:val="18"/>
          <w:color w:val="auto"/>
        </w:rPr>
        <w:t xml:space="preserve">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7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f we fail to adequately protect our proprietary rights, our competitive position could be impaired and we may lose valuable</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assets, generate less revenue and incur costly litigation to protect our rights.</w:t>
      </w:r>
    </w:p>
    <w:p>
      <w:pPr>
        <w:spacing w:after="0" w:line="12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5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w:t>
      </w:r>
    </w:p>
    <w:p>
      <w:pPr>
        <w:spacing w:after="0" w:line="15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endeavor to enter into agreements with our employees, consultants and contractors and with parties with whom we do business in order to acquire intellectual property rights developed as a result of service to Flywire, as well as to limit access to and disclosure of our proprietary information. No assurance can be given that our intellectual property related agreements with our employees,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80"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56"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13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customers in the event of infringement of a third party’s intellectual property rights.</w:t>
      </w:r>
    </w:p>
    <w:p>
      <w:pPr>
        <w:spacing w:after="0" w:line="141"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149"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ndemnity and liability provisions in various agreements potentially expose us to substantial liability for intellectual property</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infringement, data protection, and other losses.</w:t>
      </w:r>
    </w:p>
    <w:p>
      <w:pPr>
        <w:spacing w:after="0" w:line="14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United Kingdom’s departure from the E.U. could adversely affect us.</w:t>
      </w:r>
    </w:p>
    <w:p>
      <w:pPr>
        <w:spacing w:after="0" w:line="193"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The U.K. formally exited the E.U. on January 31, 2020 and a transition period was in place until December 31, 2020 during which time the U.K. remained in both the E.U. customs union and single market and was subject to E.U. rules. There is a significant lack of clarity over the terms of the U.K.’s future relationship with the E.U. in the future.</w:t>
      </w:r>
    </w:p>
    <w:p>
      <w:pPr>
        <w:spacing w:after="0" w:line="17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Brexit could therefore adversely affect U.K., regional (including European), and worldwide economic and market conditions and could contribute to instability in global financial and foreign currency exchange markets, including volatility in the value of the British Pound and Euro, which in turn could adversely affect us or our clients and companies with which we do business, particularly in the U.K. Brexit could lead to greater restrictions on travel between the U.K. and the EEA region, with the potential inability of students to travel or relocate for purposes of seeking foreign educational opportunities. Brexit could also trigger a general deterioration in credit conditions, a downturn in consumer sentiment, and overall negative economic growth. Any of these scenarios could have an adverse effect on our business or our clients.</w:t>
      </w:r>
    </w:p>
    <w:p>
      <w:pPr>
        <w:spacing w:after="0" w:line="162"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In addition, Brexit could lead to legal uncertainty and increased complexity for financial services firms as national laws and regulations in the U.K. start to diverge from E.U. laws and regulations. In particular, depending on the terms of Brexit, we may face new regulatory costs and challenges, including the following:</w:t>
      </w:r>
    </w:p>
    <w:p>
      <w:pPr>
        <w:spacing w:after="0" w:line="203" w:lineRule="exact"/>
        <w:rPr>
          <w:sz w:val="20"/>
          <w:szCs w:val="20"/>
          <w:color w:val="auto"/>
        </w:rPr>
      </w:pPr>
    </w:p>
    <w:p>
      <w:pPr>
        <w:ind w:left="880" w:right="6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we are unable to utilize appropriate authorizations and regulatory permissions, our European operations could lose their ability to offer services into the U.K. market on a cross-border basis and for our U.K. based operations to offer services on a cross-border basis in the European markets;</w:t>
      </w:r>
    </w:p>
    <w:p>
      <w:pPr>
        <w:spacing w:after="0" w:line="202" w:lineRule="exact"/>
        <w:rPr>
          <w:rFonts w:ascii="Arial" w:cs="Arial" w:eastAsia="Arial" w:hAnsi="Arial"/>
          <w:sz w:val="18"/>
          <w:szCs w:val="18"/>
          <w:color w:val="auto"/>
        </w:rPr>
      </w:pPr>
    </w:p>
    <w:p>
      <w:pPr>
        <w:ind w:left="880" w:right="22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could be required to obtain additional regulatory permissions to operate in the U.K. market, adding costs and potential inconsistency to our business. Depending on the capacity of the U.K. authorities, the criteria for obtaining permission, and any possible transitional arrangements, our business in the U.K. could be materially affected or disrupted;</w:t>
      </w:r>
    </w:p>
    <w:p>
      <w:pPr>
        <w:spacing w:after="0" w:line="202" w:lineRule="exact"/>
        <w:rPr>
          <w:rFonts w:ascii="Arial" w:cs="Arial" w:eastAsia="Arial" w:hAnsi="Arial"/>
          <w:sz w:val="18"/>
          <w:szCs w:val="18"/>
          <w:color w:val="auto"/>
        </w:rPr>
      </w:pPr>
    </w:p>
    <w:p>
      <w:pPr>
        <w:ind w:left="880" w:right="340" w:hanging="224"/>
        <w:spacing w:after="0" w:line="24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could be required to comply with legal and regulatory requirements in the U.K. that are in addition to, or inconsistent with, those of the E.U., leading to increased complexity and costs for our European and U.K. operations;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600" w:hanging="224"/>
        <w:spacing w:after="0" w:line="24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attract and retain the necessary human resources in appropriate locations to support our U.K. and European business could be adversely impacted.</w:t>
      </w:r>
    </w:p>
    <w:p>
      <w:pPr>
        <w:spacing w:after="0" w:line="170"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These and other factors related to Brexit could, individually or in the aggregate, have a material adverse impact on our business, financial condition, and results of operations.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of March 31, 2021, we had U.S. federal net operating loss (NOL) carryforwards of approximately $119.5 million and state net operating loss carryforwards of approximately $96.0 million. The federal and material state net operating loss carryforwards will begin to expire in 2030 and 2024,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If it is determined that we have in the past experienced an ownership change, or if we undergo one or more ownership changes as a result of this offering or future transactions in our stock, then our ability to utilize NOLs and other pre-change tax attributes could be limited by Sections 382 and 383 of the Code. Future changes in our stock ownership, many of which are outside of our control, could result in an ownership change under Sections 382 or 383 of the Code. Furthermore, our ability to utilize NOLs of companies that we may acquire in the future may be subject to limitations. For these reasons, we may not be able to utilize a material portion of the NOLs, even if we were to achieve profitability.</w:t>
      </w:r>
    </w:p>
    <w:p>
      <w:pPr>
        <w:spacing w:after="0" w:line="17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Under the Tax Cuts and Jobs Act enacted in 2017 (Tax Act) as modified by the Coronavirus Aid, Relief, and Economic Security Act enacted in 2020 (CARES Act),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04"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b w:val="1"/>
          <w:bCs w:val="1"/>
          <w:i w:val="1"/>
          <w:iCs w:val="1"/>
          <w:color w:val="auto"/>
        </w:rPr>
        <w:t>As a public company, we will be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4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(Exchange Act), the Sarbanes-Oxley Act of 2002 (Sarbanes-Oxley Act), the Dodd-Frank Wall Street Reform and Consumer Protection Act of 2010 (Dodd-Frank), the listing requirements of The Nasdaq Global Market (Nasdaq), and other applicable securities rules and regulations. Compliance with these rules and regulations will increase our legal and financial compliance costs, make some activities more difficult, time consuming, or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163"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As a public company, we will also be required, pursuant to Section 404 of the Sarbanes-Oxley Act (Section 404), to furnish a report by management on, among other things, the effectiveness of our internal control over financial reporting commencing with our second annual report on Form 10-K.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6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This assessment will need to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provided that our independent registered public accounting firm will not be required to attest to the effectiveness of our internal control over financial reporting until our first annual report required to be filed with the SEC following the later of the date we are deemed to be an “accelerated filer” or a “large accelerated filer,” each as defined in the Exchange Act, or the date we are no longer an emerging growth company, as defined in the JOBS Act.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will be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spacing w:after="0" w:line="178" w:lineRule="exact"/>
        <w:rPr>
          <w:sz w:val="20"/>
          <w:szCs w:val="20"/>
          <w:color w:val="auto"/>
        </w:rPr>
      </w:pPr>
    </w:p>
    <w:p>
      <w:pPr>
        <w:jc w:val="both"/>
        <w:ind w:left="120" w:right="180" w:firstLine="440"/>
        <w:spacing w:after="0"/>
        <w:rPr>
          <w:sz w:val="20"/>
          <w:szCs w:val="20"/>
          <w:color w:val="auto"/>
        </w:rPr>
      </w:pPr>
      <w:r>
        <w:rPr>
          <w:rFonts w:ascii="Arial" w:cs="Arial" w:eastAsia="Arial" w:hAnsi="Arial"/>
          <w:sz w:val="18"/>
          <w:szCs w:val="18"/>
          <w:color w:val="auto"/>
        </w:rPr>
        <w:t>We are in the early stages of the costly and challenging process of compiling the system and processing documentation necessary to perform the evaluation needed to comply with Section 404. We may not be able to complete our evaluation, testing, and any required remediation in a timely</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fashion. During the evaluation and testing process, if we identify material weaknesses in our internal control over financial reporting, we will be unable to assert that our internal control over financial reporting is effective.</w:t>
      </w:r>
    </w:p>
    <w:p>
      <w:pPr>
        <w:spacing w:after="0" w:line="170"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40"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3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new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1" w:lineRule="exact"/>
        <w:rPr>
          <w:sz w:val="20"/>
          <w:szCs w:val="20"/>
          <w:color w:val="auto"/>
        </w:rPr>
      </w:pPr>
    </w:p>
    <w:p>
      <w:pPr>
        <w:jc w:val="both"/>
        <w:ind w:left="120" w:right="460"/>
        <w:spacing w:after="0" w:line="253" w:lineRule="auto"/>
        <w:rPr>
          <w:sz w:val="20"/>
          <w:szCs w:val="20"/>
          <w:color w:val="auto"/>
        </w:rPr>
      </w:pPr>
      <w:r>
        <w:rPr>
          <w:rFonts w:ascii="Arial" w:cs="Arial" w:eastAsia="Arial" w:hAnsi="Arial"/>
          <w:sz w:val="18"/>
          <w:szCs w:val="18"/>
          <w:b w:val="1"/>
          <w:bCs w:val="1"/>
          <w:i w:val="1"/>
          <w:iCs w:val="1"/>
          <w:color w:val="auto"/>
        </w:rPr>
        <w:t>There has been no prior public market for our common stock, the stock price of our common stock may be volatile or may decline regardless of our operating performance and you may not be able to resell your shares at or above the initial public offering price.</w:t>
      </w:r>
    </w:p>
    <w:p>
      <w:pPr>
        <w:spacing w:after="0" w:line="150"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There has been no public market for our common stock prior to this offering. The initial public offering price for our common stock will be determined through negotiations between the underwriters and us and may vary from the market price of our common stock following this offering. If you purchase shares of our common stock in this offering, you may not be able to resell those shares at or above the initial public offering price. An active or liquid market in our common stock may not develop upon the completion of this offering or, if it does develop, it may not be sustainable. The market price of our common stock may fluctuate significantly in response to numerous factors, many of which are beyond our control, including:</w:t>
      </w:r>
    </w:p>
    <w:p>
      <w:pPr>
        <w:spacing w:after="0" w:line="205" w:lineRule="exact"/>
        <w:rPr>
          <w:sz w:val="20"/>
          <w:szCs w:val="20"/>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the roll out of new solutions;</w:t>
      </w:r>
    </w:p>
    <w:p>
      <w:pPr>
        <w:spacing w:after="0" w:line="211" w:lineRule="exact"/>
        <w:rPr>
          <w:rFonts w:ascii="Arial" w:cs="Arial" w:eastAsia="Arial" w:hAnsi="Arial"/>
          <w:sz w:val="18"/>
          <w:szCs w:val="18"/>
          <w:color w:val="auto"/>
        </w:rPr>
      </w:pPr>
    </w:p>
    <w:p>
      <w:pPr>
        <w:ind w:left="880" w:right="520" w:hanging="224"/>
        <w:spacing w:after="0" w:line="24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actions with respect to our payment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our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 including conditions resulting from the COVID-19 pandemic;</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payment systems;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effects of the ongoing United States-China trade war;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size of our market float;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factors discussed in this prospectus.</w:t>
      </w:r>
    </w:p>
    <w:p>
      <w:pPr>
        <w:spacing w:after="0" w:line="1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40" w:lineRule="exact"/>
        <w:rPr>
          <w:sz w:val="20"/>
          <w:szCs w:val="20"/>
          <w:color w:val="auto"/>
        </w:rPr>
      </w:pPr>
    </w:p>
    <w:p>
      <w:pPr>
        <w:ind w:left="120" w:right="76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3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17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this offering, (ii) the last day of the first fiscal year in which our annual gross revenue is $1.07 billion or more, (iii) the date on which we have, during the previous rolling three-year period, issued more than $1 billion in non-convertible debt securities, and (iv) the date on which we are deemed to be a “large accelerated filer,” which will occur as of the end of any fiscal year in which we (x) have an aggregate market value of our common stock held by non-affiliates of $700 million or more as of the last business day of our most recently completed second fiscal quarter, (y) have been required to file annual and quarterly reports under the Exchange Act for a period of at least 12 months, and (z) have filed at least one annual report pursuant to the Exchange Act.</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cannot predict if investors will find our common stock less attractive if we choose to rely on these exemptions. For example, if we do not adopt a new or revised accounting standard, our future operating results may not be as comparable to the operating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42"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14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the disruption in the capital markets caused by the COVID-19 outbreak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163"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allocate the net proceeds from this offering in ways that you and other stockholders may not approve.</w:t>
      </w:r>
    </w:p>
    <w:p>
      <w:pPr>
        <w:spacing w:after="0" w:line="207"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titled “Use of Proceeds,” and you</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 for working capital and other general corporate purposes.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59"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3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experience substantial and immediate dilution.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purchase shares of our common stock in this offering, you will experience substantial and immediate dilution in the pro forma</w:t>
      </w:r>
    </w:p>
    <w:p>
      <w:pPr>
        <w:ind w:left="120" w:right="200"/>
        <w:spacing w:after="0" w:line="234" w:lineRule="auto"/>
        <w:rPr>
          <w:sz w:val="20"/>
          <w:szCs w:val="20"/>
          <w:color w:val="auto"/>
        </w:rPr>
      </w:pPr>
      <w:r>
        <w:rPr>
          <w:rFonts w:ascii="Arial" w:cs="Arial" w:eastAsia="Arial" w:hAnsi="Arial"/>
          <w:sz w:val="18"/>
          <w:szCs w:val="18"/>
          <w:color w:val="auto"/>
        </w:rPr>
        <w:t>net tangible book value per share of $ per share as of March 31, 2021, based on an assumed initial public offering price of our common stock of $ per share, the midpoint of the price range on the cover page of this prospectus, because the price that you</w:t>
      </w:r>
    </w:p>
    <w:p>
      <w:pPr>
        <w:spacing w:after="0" w:line="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pay will be substantially greater than the pro forma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upon exercise of options to purchase common stock under our equity incentive plans, upon vesting of options to purchase common stock under our equity incentive plans, if we issue restricted stock to our employees under our equity incentive plans or if we otherwise issue additional shares of our common stock.</w:t>
      </w:r>
    </w:p>
    <w:p>
      <w:pPr>
        <w:spacing w:after="0" w:line="140"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Substantial amounts of our outstanding shares may be sold into the market in the near future. If there are substantial sales of shares of our common stock, the price of our common stock could decline.</w:t>
      </w:r>
    </w:p>
    <w:p>
      <w:pPr>
        <w:spacing w:after="0" w:line="135" w:lineRule="exact"/>
        <w:rPr>
          <w:sz w:val="20"/>
          <w:szCs w:val="20"/>
          <w:color w:val="auto"/>
        </w:rPr>
      </w:pPr>
    </w:p>
    <w:p>
      <w:pPr>
        <w:ind w:left="120" w:right="200" w:firstLine="440"/>
        <w:spacing w:after="0" w:line="248" w:lineRule="auto"/>
        <w:rPr>
          <w:sz w:val="20"/>
          <w:szCs w:val="20"/>
          <w:color w:val="auto"/>
        </w:rPr>
      </w:pPr>
      <w:r>
        <w:rPr>
          <w:rFonts w:ascii="Arial" w:cs="Arial" w:eastAsia="Arial" w:hAnsi="Arial"/>
          <w:sz w:val="17"/>
          <w:szCs w:val="17"/>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w:t>
      </w:r>
    </w:p>
    <w:p>
      <w:pPr>
        <w:spacing w:after="0" w:line="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market perceives that sales will occur. After this offering, we will have outstanding shares of our common stock, based on the number of shares outstanding as of March 31, 2021. All of the shares of common stock sold in this offering will be available for sale in the public market, unless purchased by our affiliates. Substantially all of our outstanding shares of common stock are currently restricted from resale as a result of “lock-up” agreements (which may be waived by Goldman Sachs &amp; Co. LLC, in its sole discretion, with</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 without notice), as more fully described in the section titled “Underwriting.” These shares will become available to be sold as follows:</w:t>
      </w:r>
    </w:p>
    <w:p>
      <w:pPr>
        <w:spacing w:after="0" w:line="117" w:lineRule="exact"/>
        <w:rPr>
          <w:sz w:val="20"/>
          <w:szCs w:val="20"/>
          <w:color w:val="auto"/>
        </w:rPr>
      </w:pPr>
    </w:p>
    <w:p>
      <w:pPr>
        <w:ind w:left="880" w:right="100" w:hanging="224"/>
        <w:spacing w:after="0" w:line="248" w:lineRule="auto"/>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Beginning at the commencement of trading on the second trading day after our first public release of quarterly results following the date of this prospectus, if the last reported closing price of our common stock on the Nasdaq Stock Market is at least 33% greater than the initial public offering price as set forth on the cover page of this prospectus for at least 10 trading days in the 15 trading day period prior to the date of such earning release, then each holder subject to these lock-up agreements may sell a number of shares equal to 25% of the shares of our common stock and non-voting common stock held by that holder, including shares of our common stock underlying options, warrants or other securities (the Holdings). As of March 31, 2021, 25% of the</w:t>
      </w:r>
    </w:p>
    <w:p>
      <w:pPr>
        <w:spacing w:after="0" w:line="3" w:lineRule="exact"/>
        <w:rPr>
          <w:sz w:val="20"/>
          <w:szCs w:val="20"/>
          <w:color w:val="auto"/>
        </w:rPr>
      </w:pPr>
    </w:p>
    <w:p>
      <w:pPr>
        <w:ind w:left="880"/>
        <w:spacing w:after="0"/>
        <w:tabs>
          <w:tab w:leader="none" w:pos="5740" w:val="left"/>
        </w:tabs>
        <w:rPr>
          <w:sz w:val="20"/>
          <w:szCs w:val="20"/>
          <w:color w:val="auto"/>
        </w:rPr>
      </w:pPr>
      <w:r>
        <w:rPr>
          <w:rFonts w:ascii="Arial" w:cs="Arial" w:eastAsia="Arial" w:hAnsi="Arial"/>
          <w:sz w:val="18"/>
          <w:szCs w:val="18"/>
          <w:color w:val="auto"/>
        </w:rPr>
        <w:t>outstanding Holdings held by all such holders was</w:t>
      </w:r>
      <w:r>
        <w:rPr>
          <w:sz w:val="20"/>
          <w:szCs w:val="20"/>
          <w:color w:val="auto"/>
        </w:rPr>
        <w:tab/>
      </w:r>
      <w:r>
        <w:rPr>
          <w:rFonts w:ascii="Arial" w:cs="Arial" w:eastAsia="Arial" w:hAnsi="Arial"/>
          <w:sz w:val="17"/>
          <w:szCs w:val="17"/>
          <w:color w:val="auto"/>
        </w:rPr>
        <w:t>shares.</w:t>
      </w:r>
    </w:p>
    <w:p>
      <w:pPr>
        <w:spacing w:after="0" w:line="117" w:lineRule="exact"/>
        <w:rPr>
          <w:sz w:val="20"/>
          <w:szCs w:val="20"/>
          <w:color w:val="auto"/>
        </w:rPr>
      </w:pPr>
    </w:p>
    <w:p>
      <w:pPr>
        <w:ind w:left="880" w:right="100" w:hanging="219"/>
        <w:spacing w:after="0" w:line="248" w:lineRule="auto"/>
        <w:tabs>
          <w:tab w:leader="none" w:pos="860" w:val="left"/>
        </w:tabs>
        <w:rPr>
          <w:sz w:val="20"/>
          <w:szCs w:val="20"/>
          <w:color w:val="auto"/>
        </w:rPr>
      </w:pPr>
      <w:r>
        <w:rPr>
          <w:rFonts w:ascii="Arial" w:cs="Arial" w:eastAsia="Arial" w:hAnsi="Arial"/>
          <w:sz w:val="17"/>
          <w:szCs w:val="17"/>
          <w:color w:val="auto"/>
        </w:rPr>
        <w:t>•</w:t>
        <w:tab/>
        <w:t>Beginning at the commencement of trading on the second trading day after our public release of quarterly results for the quarter in which our first public release of quarterly results following the date of this prospectus occurs, the lock-up agreements will</w:t>
      </w:r>
    </w:p>
    <w:p>
      <w:pPr>
        <w:spacing w:after="0" w:line="1" w:lineRule="exact"/>
        <w:rPr>
          <w:sz w:val="20"/>
          <w:szCs w:val="20"/>
          <w:color w:val="auto"/>
        </w:rPr>
      </w:pPr>
    </w:p>
    <w:p>
      <w:pPr>
        <w:ind w:left="880"/>
        <w:spacing w:after="0" w:line="246" w:lineRule="auto"/>
        <w:rPr>
          <w:sz w:val="20"/>
          <w:szCs w:val="20"/>
          <w:color w:val="auto"/>
        </w:rPr>
      </w:pPr>
      <w:r>
        <w:rPr>
          <w:rFonts w:ascii="Arial" w:cs="Arial" w:eastAsia="Arial" w:hAnsi="Arial"/>
          <w:sz w:val="18"/>
          <w:szCs w:val="18"/>
          <w:color w:val="auto"/>
        </w:rPr>
        <w:t>terminate, and accordingly, an additional shares of our common stock and non-voting common stock will be eligible for sale in the public market.</w:t>
      </w:r>
    </w:p>
    <w:p>
      <w:pPr>
        <w:spacing w:after="0" w:line="197"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Shares held by directors, executive officers and other affiliates will be subject to volume limitations under Rule 144 under the Securities Act, and various vesting agreements.</w:t>
      </w:r>
    </w:p>
    <w:p>
      <w:pPr>
        <w:spacing w:after="0" w:line="170"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After our initial public offering, 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also intend to register shares of common stock that we have issued and may issue under our employee equity incentive plans. Once we register these shares, they will be able to be sold freely in the public market upon issuance, subject to existing market standoff or lock-up agreements.</w:t>
      </w:r>
    </w:p>
    <w:p>
      <w:pPr>
        <w:spacing w:after="0" w:line="162" w:lineRule="exact"/>
        <w:rPr>
          <w:sz w:val="20"/>
          <w:szCs w:val="20"/>
          <w:color w:val="auto"/>
        </w:rPr>
      </w:pPr>
    </w:p>
    <w:p>
      <w:pPr>
        <w:ind w:left="120" w:right="100" w:firstLine="440"/>
        <w:spacing w:after="0" w:line="274"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12"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49" w:lineRule="exact"/>
        <w:rPr>
          <w:sz w:val="20"/>
          <w:szCs w:val="20"/>
          <w:color w:val="auto"/>
        </w:rPr>
      </w:pPr>
    </w:p>
    <w:p>
      <w:pPr>
        <w:ind w:left="120" w:right="80" w:firstLine="440"/>
        <w:spacing w:after="0" w:line="248" w:lineRule="auto"/>
        <w:rPr>
          <w:sz w:val="20"/>
          <w:szCs w:val="20"/>
          <w:color w:val="auto"/>
        </w:rPr>
      </w:pPr>
      <w:r>
        <w:rPr>
          <w:rFonts w:ascii="Arial" w:cs="Arial" w:eastAsia="Arial" w:hAnsi="Arial"/>
          <w:sz w:val="17"/>
          <w:szCs w:val="17"/>
          <w:color w:val="auto"/>
        </w:rPr>
        <w:t>Based upon shares outstanding as of March 31, 2021, prior to this offering, our executive officers, directors and the holders of more than 5% of our outstanding common stock, in the aggregate, beneficially owned approximately 35.2% of our common stock, and upon the</w:t>
      </w:r>
    </w:p>
    <w:p>
      <w:pPr>
        <w:spacing w:after="0" w:line="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completion of this offering, that same group, in the aggregate, will beneficially own approximately % of our common stock, assuming no purchases of shares in this offering by any members of this group, no exercise by the underwriters of their option to purchase additional shares, no exercise of outstanding options or warrants and after giving effect to the issuance of shares in this offering.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including those who purchase shares in this offering, oppose them. This concentration of ownership might also have the effect of delaying or preventing a change of control of our company that other stockholders may view as beneficial.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49"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loan and security agreement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45"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that will be in effect at the completion of this offering could make a merger, tender offer or proxy contest difficult, thereby depressing the trading price of our common stock.</w:t>
      </w:r>
    </w:p>
    <w:p>
      <w:pPr>
        <w:spacing w:after="0" w:line="150"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Following the completion of this offering, 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that will be in effect at the completion of this offering will contain provisions that may make the acquisition of our company more difficult, including the following:</w:t>
      </w:r>
    </w:p>
    <w:p>
      <w:pPr>
        <w:spacing w:after="0" w:line="205" w:lineRule="exact"/>
        <w:rPr>
          <w:sz w:val="20"/>
          <w:szCs w:val="20"/>
          <w:color w:val="auto"/>
        </w:rPr>
      </w:pPr>
    </w:p>
    <w:p>
      <w:pPr>
        <w:ind w:left="880" w:right="580" w:hanging="224"/>
        <w:spacing w:after="0" w:line="24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96" w:lineRule="exact"/>
        <w:rPr>
          <w:rFonts w:ascii="Arial" w:cs="Arial" w:eastAsia="Arial" w:hAnsi="Arial"/>
          <w:sz w:val="18"/>
          <w:szCs w:val="18"/>
          <w:color w:val="auto"/>
        </w:rPr>
      </w:pPr>
    </w:p>
    <w:p>
      <w:pPr>
        <w:jc w:val="both"/>
        <w:ind w:left="880" w:right="2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202" w:lineRule="exact"/>
        <w:rPr>
          <w:rFonts w:ascii="Arial" w:cs="Arial" w:eastAsia="Arial" w:hAnsi="Arial"/>
          <w:sz w:val="18"/>
          <w:szCs w:val="18"/>
          <w:color w:val="auto"/>
        </w:rPr>
      </w:pPr>
    </w:p>
    <w:p>
      <w:pPr>
        <w:ind w:left="880" w:right="12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02" w:lineRule="exact"/>
        <w:rPr>
          <w:rFonts w:ascii="Arial" w:cs="Arial" w:eastAsia="Arial" w:hAnsi="Arial"/>
          <w:sz w:val="18"/>
          <w:szCs w:val="18"/>
          <w:color w:val="auto"/>
        </w:rPr>
      </w:pPr>
    </w:p>
    <w:p>
      <w:pPr>
        <w:ind w:left="880" w:right="620" w:hanging="224"/>
        <w:spacing w:after="0" w:line="24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96" w:lineRule="exact"/>
        <w:rPr>
          <w:rFonts w:ascii="Arial" w:cs="Arial" w:eastAsia="Arial" w:hAnsi="Arial"/>
          <w:sz w:val="18"/>
          <w:szCs w:val="18"/>
          <w:color w:val="auto"/>
        </w:rPr>
      </w:pPr>
    </w:p>
    <w:p>
      <w:pPr>
        <w:ind w:left="880" w:right="12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202" w:lineRule="exact"/>
        <w:rPr>
          <w:rFonts w:ascii="Arial" w:cs="Arial" w:eastAsia="Arial" w:hAnsi="Arial"/>
          <w:sz w:val="18"/>
          <w:szCs w:val="18"/>
          <w:color w:val="auto"/>
        </w:rPr>
      </w:pPr>
    </w:p>
    <w:p>
      <w:pPr>
        <w:ind w:left="880" w:right="100" w:hanging="224"/>
        <w:spacing w:after="0" w:line="238"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7"/>
          <w:szCs w:val="17"/>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4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information regarding these and other provisions, see the section titled “Description of Capital Stock.”</w:t>
      </w:r>
    </w:p>
    <w:p>
      <w:pPr>
        <w:spacing w:after="0" w:line="163" w:lineRule="exact"/>
        <w:rPr>
          <w:sz w:val="20"/>
          <w:szCs w:val="20"/>
          <w:color w:val="auto"/>
        </w:rPr>
      </w:pPr>
    </w:p>
    <w:p>
      <w:pPr>
        <w:ind w:left="120" w:right="480"/>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15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contained in this prospectus include, but are not limited to, statements about:</w:t>
      </w:r>
    </w:p>
    <w:p>
      <w:pPr>
        <w:spacing w:after="0" w:line="212" w:lineRule="exact"/>
        <w:rPr>
          <w:sz w:val="20"/>
          <w:szCs w:val="20"/>
          <w:color w:val="auto"/>
        </w:rPr>
      </w:pPr>
    </w:p>
    <w:p>
      <w:pPr>
        <w:ind w:left="880" w:right="40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202"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market opportunity, including estimates regarding our total addressable payment volume;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cross-border expansion plans and ability to expand internationally;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211"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political, economic, legal, social and health risks, including the recent COVID-19 pandemic and subsequent public health measures that may affect our business or the global economy;</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maintain and grow the payment volume that we process;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further attract, retain, and expand our client base;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develop new solutions and services and bring them to market in a timely manner;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 including strategic partners;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acquisitions or investments in complementary companies, products, services, or technologies;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enter new client verticals, including our relatively new B2B sector;</w:t>
      </w:r>
    </w:p>
    <w:p>
      <w:pPr>
        <w:spacing w:after="0" w:line="211" w:lineRule="exact"/>
        <w:rPr>
          <w:rFonts w:ascii="Arial" w:cs="Arial" w:eastAsia="Arial" w:hAnsi="Arial"/>
          <w:sz w:val="18"/>
          <w:szCs w:val="18"/>
          <w:color w:val="auto"/>
        </w:rPr>
      </w:pPr>
    </w:p>
    <w:p>
      <w:pPr>
        <w:ind w:left="880" w:right="680" w:hanging="224"/>
        <w:spacing w:after="0" w:line="24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expectations regarding litigation and legal and regulatory matters;</w:t>
      </w:r>
    </w:p>
    <w:p>
      <w:pPr>
        <w:spacing w:after="0" w:line="211" w:lineRule="exact"/>
        <w:rPr>
          <w:rFonts w:ascii="Arial" w:cs="Arial" w:eastAsia="Arial" w:hAnsi="Arial"/>
          <w:sz w:val="18"/>
          <w:szCs w:val="18"/>
          <w:color w:val="auto"/>
        </w:rPr>
      </w:pPr>
    </w:p>
    <w:p>
      <w:pPr>
        <w:jc w:val="center"/>
        <w:ind w:left="5520" w:right="340" w:hanging="4864"/>
        <w:spacing w:after="0" w:line="418" w:lineRule="auto"/>
        <w:tabs>
          <w:tab w:leader="none" w:pos="8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expectations regarding our ability to meet existing performance obligations and maintain the operability of our solutions; 66</w:t>
      </w:r>
    </w:p>
    <w:p>
      <w:pPr>
        <w:sectPr>
          <w:pgSz w:w="11900" w:h="16838" w:orient="portrait"/>
          <w:cols w:equalWidth="0" w:num="1">
            <w:col w:w="11020"/>
          </w:cols>
          <w:pgMar w:left="320" w:top="459" w:right="5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80" w:hanging="224"/>
        <w:spacing w:after="0" w:line="24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financial services, taxation, privacy and data protection;</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future market price of our common stock.</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171"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the section titled “Risk Factors.”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6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 -looking statements are reasonable, we cannot guarantee future results, performance, or achievements. We undertake no obligation to update any of these forward-looking statements for any reason after the date of this prospectus or to conform these statements to actual results or to changes in our expectations, except as required by law. Our forward-looking statements do not reflect the potential impact of any future acquisitions, mergers, dispositions, joint ventures or investments we may make.</w:t>
      </w:r>
    </w:p>
    <w:p>
      <w:pPr>
        <w:spacing w:after="0" w:line="178"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performance, and events and circumstances may be materially different from what we expect.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07" w:lineRule="exact"/>
        <w:rPr>
          <w:sz w:val="20"/>
          <w:szCs w:val="20"/>
          <w:color w:val="auto"/>
        </w:rPr>
      </w:pPr>
    </w:p>
    <w:p>
      <w:pPr>
        <w:ind w:left="120" w:right="20" w:firstLine="440"/>
        <w:spacing w:after="0" w:line="251" w:lineRule="auto"/>
        <w:rPr>
          <w:sz w:val="20"/>
          <w:szCs w:val="20"/>
          <w:color w:val="auto"/>
        </w:rPr>
      </w:pPr>
      <w:r>
        <w:rPr>
          <w:rFonts w:ascii="Arial" w:cs="Arial" w:eastAsia="Arial" w:hAnsi="Arial"/>
          <w:sz w:val="17"/>
          <w:szCs w:val="17"/>
          <w:color w:val="auto"/>
        </w:rPr>
        <w:t>Unless otherwise indicated, estimates and information contained in this prospectus concerning our industry and the markets in which we operate, including our general expectations, market position, market opportunity, and market size, is based on information from various sources, as well as assumptions that we have made that are based on those data and other similar sources and on our knowledge of the markets for our solutions. This information involves important assumptions and limitations, and you are cautioned not to give undue weight to such estimates. While we believe the market position, market opportunity, and market size information included in this prospectus is generally reliable, information of this sort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158"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sources of the statistical data, estimates and market and industry data contained in this prospectus are provided below.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The information contained on, or that can be accessed through, any website listed below is not a part of this prospectus.</w:t>
      </w:r>
    </w:p>
    <w:p>
      <w:pPr>
        <w:spacing w:after="0" w:line="202" w:lineRule="exact"/>
        <w:rPr>
          <w:sz w:val="20"/>
          <w:szCs w:val="20"/>
          <w:color w:val="auto"/>
        </w:rPr>
      </w:pPr>
    </w:p>
    <w:p>
      <w:pPr>
        <w:ind w:left="880" w:right="260" w:hanging="224"/>
        <w:spacing w:after="0" w:line="24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Organisation for Economic Co-operation and Development (OECD), Educational Expenditure by Source and Destination. doi: 10.1787/1c1c86c4-en (Accessed on February 16, 2021);</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Mastercard Investment Community Meeting, September 12, 2019;</w:t>
      </w:r>
    </w:p>
    <w:p>
      <w:pPr>
        <w:spacing w:after="0" w:line="211" w:lineRule="exact"/>
        <w:rPr>
          <w:rFonts w:ascii="Arial" w:cs="Arial" w:eastAsia="Arial" w:hAnsi="Arial"/>
          <w:sz w:val="18"/>
          <w:szCs w:val="18"/>
          <w:color w:val="auto"/>
        </w:rPr>
      </w:pPr>
    </w:p>
    <w:p>
      <w:pPr>
        <w:ind w:left="880" w:right="380" w:hanging="224"/>
        <w:spacing w:after="0" w:line="24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American Productivity &amp; Quality Center (APQC), Number of FTEs That Perform The Process “Process Accounts Receivable (AR)” per $1 Billion Revenue Measure Spotlight, February 1, 2021;</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Patients Beyond Borders, Quick Facts About Medical Tourism (Accessed on February 16, 2021);</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EY Parthenon, Education in Southeast Asia: Opportunities for investors and operators, September 2016;</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Centers for Medicare &amp; Medicaid Services, NHE Fact Sheet, December 2020;</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Couillard, Lucie. “GL Industry Report X9001-GL Global Tourism.” IBISWorld, June 2020;</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Maynard, Nick. “B2B Payments: Domestic, Cross-border &amp; Interest Payments 2020-2025.” Juniper Research Ltd, July 2020;</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APQC, Open Standards Benchmarking Performance Assessment in Accounts Receivable, 2018; and</w:t>
      </w:r>
    </w:p>
    <w:p>
      <w:pPr>
        <w:spacing w:after="0" w:line="211"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Bartolini, Andrew and Cohen, Bob. “The State of ePayables 2020: Ensuring Continuity, Building Resiliency, and Rising to the Challenge.” Ardent Partners, 2020.</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4200" w:type="dxa"/>
            <w:vAlign w:val="bottom"/>
            <w:gridSpan w:val="3"/>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Table of Contents</w:t>
              </w:r>
            </w:hyperlink>
          </w:p>
        </w:tc>
        <w:tc>
          <w:tcPr>
            <w:tcW w:w="2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33"/>
        </w:trPr>
        <w:tc>
          <w:tcPr>
            <w:tcW w:w="4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ind w:left="560"/>
              <w:spacing w:after="0"/>
              <w:rPr>
                <w:sz w:val="20"/>
                <w:szCs w:val="20"/>
                <w:color w:val="auto"/>
              </w:rPr>
            </w:pPr>
            <w:r>
              <w:rPr>
                <w:rFonts w:ascii="Arial" w:cs="Arial" w:eastAsia="Arial" w:hAnsi="Arial"/>
                <w:sz w:val="18"/>
                <w:szCs w:val="18"/>
                <w:b w:val="1"/>
                <w:bCs w:val="1"/>
                <w:color w:val="auto"/>
              </w:rPr>
              <w:t>USE OF PROCEEDS</w:t>
            </w: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7"/>
        </w:trPr>
        <w:tc>
          <w:tcPr>
            <w:tcW w:w="480" w:type="dxa"/>
            <w:vAlign w:val="bottom"/>
          </w:tcPr>
          <w:p>
            <w:pPr>
              <w:spacing w:after="0"/>
              <w:rPr>
                <w:sz w:val="24"/>
                <w:szCs w:val="24"/>
                <w:color w:val="auto"/>
              </w:rPr>
            </w:pPr>
          </w:p>
        </w:tc>
        <w:tc>
          <w:tcPr>
            <w:tcW w:w="10600" w:type="dxa"/>
            <w:vAlign w:val="bottom"/>
            <w:gridSpan w:val="6"/>
          </w:tcPr>
          <w:p>
            <w:pPr>
              <w:ind w:left="80"/>
              <w:spacing w:after="0"/>
              <w:rPr>
                <w:sz w:val="20"/>
                <w:szCs w:val="20"/>
                <w:color w:val="auto"/>
              </w:rPr>
            </w:pPr>
            <w:r>
              <w:rPr>
                <w:rFonts w:ascii="Arial" w:cs="Arial" w:eastAsia="Arial" w:hAnsi="Arial"/>
                <w:sz w:val="18"/>
                <w:szCs w:val="18"/>
                <w:color w:val="auto"/>
                <w:w w:val="99"/>
              </w:rPr>
              <w:t>We estimate that the net proceeds from our sale of shares of common stock in this offering at an assumed initial public offering price</w:t>
            </w:r>
          </w:p>
        </w:tc>
      </w:tr>
      <w:tr>
        <w:trPr>
          <w:trHeight w:val="203"/>
        </w:trPr>
        <w:tc>
          <w:tcPr>
            <w:tcW w:w="480" w:type="dxa"/>
            <w:vAlign w:val="bottom"/>
          </w:tcPr>
          <w:p>
            <w:pPr>
              <w:ind w:left="120"/>
              <w:spacing w:after="0" w:line="202" w:lineRule="exact"/>
              <w:rPr>
                <w:sz w:val="20"/>
                <w:szCs w:val="20"/>
                <w:color w:val="auto"/>
              </w:rPr>
            </w:pPr>
            <w:r>
              <w:rPr>
                <w:rFonts w:ascii="Arial" w:cs="Arial" w:eastAsia="Arial" w:hAnsi="Arial"/>
                <w:sz w:val="18"/>
                <w:szCs w:val="18"/>
                <w:color w:val="auto"/>
              </w:rPr>
              <w:t>of $</w:t>
            </w:r>
          </w:p>
        </w:tc>
        <w:tc>
          <w:tcPr>
            <w:tcW w:w="10600" w:type="dxa"/>
            <w:vAlign w:val="bottom"/>
            <w:gridSpan w:val="6"/>
          </w:tcPr>
          <w:p>
            <w:pPr>
              <w:ind w:left="740"/>
              <w:spacing w:after="0" w:line="202" w:lineRule="exact"/>
              <w:rPr>
                <w:sz w:val="20"/>
                <w:szCs w:val="20"/>
                <w:color w:val="auto"/>
              </w:rPr>
            </w:pPr>
            <w:r>
              <w:rPr>
                <w:rFonts w:ascii="Arial" w:cs="Arial" w:eastAsia="Arial" w:hAnsi="Arial"/>
                <w:sz w:val="18"/>
                <w:szCs w:val="18"/>
                <w:color w:val="auto"/>
              </w:rPr>
              <w:t>per share, which is the midpoint of the price range set forth on the cover page of this prospectus, after deducting estimated</w:t>
            </w:r>
          </w:p>
        </w:tc>
      </w:tr>
      <w:tr>
        <w:trPr>
          <w:trHeight w:val="203"/>
        </w:trPr>
        <w:tc>
          <w:tcPr>
            <w:tcW w:w="8320" w:type="dxa"/>
            <w:vAlign w:val="bottom"/>
            <w:gridSpan w:val="5"/>
          </w:tcPr>
          <w:p>
            <w:pPr>
              <w:ind w:left="120"/>
              <w:spacing w:after="0" w:line="202" w:lineRule="exact"/>
              <w:rPr>
                <w:sz w:val="20"/>
                <w:szCs w:val="20"/>
                <w:color w:val="auto"/>
              </w:rPr>
            </w:pPr>
            <w:r>
              <w:rPr>
                <w:rFonts w:ascii="Arial" w:cs="Arial" w:eastAsia="Arial" w:hAnsi="Arial"/>
                <w:sz w:val="18"/>
                <w:szCs w:val="18"/>
                <w:color w:val="auto"/>
              </w:rPr>
              <w:t>underwriting discounts and commissions and estimated offering expenses, will be approximately $</w:t>
            </w:r>
          </w:p>
        </w:tc>
        <w:tc>
          <w:tcPr>
            <w:tcW w:w="1720" w:type="dxa"/>
            <w:vAlign w:val="bottom"/>
          </w:tcPr>
          <w:p>
            <w:pPr>
              <w:ind w:left="400"/>
              <w:spacing w:after="0" w:line="202" w:lineRule="exact"/>
              <w:rPr>
                <w:sz w:val="20"/>
                <w:szCs w:val="20"/>
                <w:color w:val="auto"/>
              </w:rPr>
            </w:pPr>
            <w:r>
              <w:rPr>
                <w:rFonts w:ascii="Arial" w:cs="Arial" w:eastAsia="Arial" w:hAnsi="Arial"/>
                <w:sz w:val="18"/>
                <w:szCs w:val="18"/>
                <w:color w:val="auto"/>
              </w:rPr>
              <w:t>million, or $</w:t>
            </w:r>
          </w:p>
        </w:tc>
        <w:tc>
          <w:tcPr>
            <w:tcW w:w="1040" w:type="dxa"/>
            <w:vAlign w:val="bottom"/>
          </w:tcPr>
          <w:p>
            <w:pPr>
              <w:ind w:left="400"/>
              <w:spacing w:after="0" w:line="202" w:lineRule="exact"/>
              <w:rPr>
                <w:sz w:val="20"/>
                <w:szCs w:val="20"/>
                <w:color w:val="auto"/>
              </w:rPr>
            </w:pPr>
            <w:r>
              <w:rPr>
                <w:rFonts w:ascii="Arial" w:cs="Arial" w:eastAsia="Arial" w:hAnsi="Arial"/>
                <w:sz w:val="18"/>
                <w:szCs w:val="18"/>
                <w:color w:val="auto"/>
                <w:w w:val="95"/>
              </w:rPr>
              <w:t>million if</w:t>
            </w:r>
          </w:p>
        </w:tc>
      </w:tr>
      <w:tr>
        <w:trPr>
          <w:trHeight w:val="217"/>
        </w:trPr>
        <w:tc>
          <w:tcPr>
            <w:tcW w:w="6900" w:type="dxa"/>
            <w:vAlign w:val="bottom"/>
            <w:gridSpan w:val="4"/>
          </w:tcPr>
          <w:p>
            <w:pPr>
              <w:ind w:left="120"/>
              <w:spacing w:after="0"/>
              <w:rPr>
                <w:sz w:val="20"/>
                <w:szCs w:val="20"/>
                <w:color w:val="auto"/>
              </w:rPr>
            </w:pPr>
            <w:r>
              <w:rPr>
                <w:rFonts w:ascii="Arial" w:cs="Arial" w:eastAsia="Arial" w:hAnsi="Arial"/>
                <w:sz w:val="18"/>
                <w:szCs w:val="18"/>
                <w:color w:val="auto"/>
              </w:rPr>
              <w:t>the underwriters’ option to purchase additional shares is exercised in full.</w:t>
            </w: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64"/>
        </w:trPr>
        <w:tc>
          <w:tcPr>
            <w:tcW w:w="480" w:type="dxa"/>
            <w:vAlign w:val="bottom"/>
          </w:tcPr>
          <w:p>
            <w:pPr>
              <w:spacing w:after="0"/>
              <w:rPr>
                <w:sz w:val="24"/>
                <w:szCs w:val="24"/>
                <w:color w:val="auto"/>
              </w:rPr>
            </w:pPr>
          </w:p>
        </w:tc>
        <w:tc>
          <w:tcPr>
            <w:tcW w:w="6420" w:type="dxa"/>
            <w:vAlign w:val="bottom"/>
            <w:gridSpan w:val="3"/>
          </w:tcPr>
          <w:p>
            <w:pPr>
              <w:ind w:left="80"/>
              <w:spacing w:after="0"/>
              <w:rPr>
                <w:sz w:val="20"/>
                <w:szCs w:val="20"/>
                <w:color w:val="auto"/>
              </w:rPr>
            </w:pPr>
            <w:r>
              <w:rPr>
                <w:rFonts w:ascii="Arial" w:cs="Arial" w:eastAsia="Arial" w:hAnsi="Arial"/>
                <w:sz w:val="18"/>
                <w:szCs w:val="18"/>
                <w:color w:val="auto"/>
              </w:rPr>
              <w:t>A $1.00 increase (decrease) in the assumed initial public offering price of $</w:t>
            </w:r>
          </w:p>
        </w:tc>
        <w:tc>
          <w:tcPr>
            <w:tcW w:w="4180" w:type="dxa"/>
            <w:vAlign w:val="bottom"/>
            <w:gridSpan w:val="3"/>
          </w:tcPr>
          <w:p>
            <w:pPr>
              <w:ind w:left="400"/>
              <w:spacing w:after="0"/>
              <w:rPr>
                <w:sz w:val="20"/>
                <w:szCs w:val="20"/>
                <w:color w:val="auto"/>
              </w:rPr>
            </w:pPr>
            <w:r>
              <w:rPr>
                <w:rFonts w:ascii="Arial" w:cs="Arial" w:eastAsia="Arial" w:hAnsi="Arial"/>
                <w:sz w:val="18"/>
                <w:szCs w:val="18"/>
                <w:color w:val="auto"/>
              </w:rPr>
              <w:t>per share would increase (decrease) the net</w:t>
            </w:r>
          </w:p>
        </w:tc>
      </w:tr>
      <w:tr>
        <w:trPr>
          <w:trHeight w:val="203"/>
        </w:trPr>
        <w:tc>
          <w:tcPr>
            <w:tcW w:w="42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proceeds from this offering by approximately $</w:t>
            </w:r>
          </w:p>
        </w:tc>
        <w:tc>
          <w:tcPr>
            <w:tcW w:w="688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million, assuming the number of shares of our common stock offered by us</w:t>
            </w:r>
          </w:p>
        </w:tc>
      </w:tr>
    </w:tbl>
    <w:p>
      <w:pPr>
        <w:ind w:left="120" w:right="120"/>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remains the same and after deducting estimated underwriting discounts and commissions. Similarly, each increase (decrease) of 1,000,000 shares in the number of shares of our common stock offered would increase (decrease) the net proceeds from this offering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right="620"/>
        <w:spacing w:after="0" w:line="246" w:lineRule="auto"/>
        <w:rPr>
          <w:sz w:val="20"/>
          <w:szCs w:val="20"/>
          <w:color w:val="auto"/>
        </w:rPr>
      </w:pPr>
      <w:r>
        <w:rPr>
          <w:rFonts w:ascii="Arial" w:cs="Arial" w:eastAsia="Arial" w:hAnsi="Arial"/>
          <w:sz w:val="18"/>
          <w:szCs w:val="18"/>
          <w:color w:val="auto"/>
        </w:rPr>
        <w:t>approximately $ million, assuming that the assumed initial public offering price of $ remains the same, and after deducting the estimated underwriting discounts and commissions.</w:t>
      </w:r>
    </w:p>
    <w:p>
      <w:pPr>
        <w:spacing w:after="0" w:line="15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create a public market for our common stock, and enable access to the public equity markets for our stockholders and us. We intend to use the net proceeds from this offering for working capital and other general corporate purposes, which may include technology and solutions development, selling and marketing, general and administrative matters, and capital expenditures. We may also use a portion of the proceeds for the acquisition of, or investment in, technologies, solutions, or businesses that complement our business. However, we do not have binding agreements or commitments for any acquisitions or investments outside the ordinary course of business at this time.</w:t>
      </w:r>
    </w:p>
    <w:p>
      <w:pPr>
        <w:spacing w:after="0" w:line="178" w:lineRule="exact"/>
        <w:rPr>
          <w:sz w:val="20"/>
          <w:szCs w:val="20"/>
          <w:color w:val="auto"/>
        </w:rPr>
      </w:pPr>
    </w:p>
    <w:p>
      <w:pPr>
        <w:jc w:val="both"/>
        <w:ind w:left="120" w:right="380" w:firstLine="440"/>
        <w:spacing w:after="0"/>
        <w:rPr>
          <w:sz w:val="20"/>
          <w:szCs w:val="20"/>
          <w:color w:val="auto"/>
        </w:rPr>
      </w:pPr>
      <w:r>
        <w:rPr>
          <w:rFonts w:ascii="Arial" w:cs="Arial" w:eastAsia="Arial" w:hAnsi="Arial"/>
          <w:sz w:val="18"/>
          <w:szCs w:val="18"/>
          <w:color w:val="auto"/>
        </w:rPr>
        <w:t>We will have broad discretion over the uses of the net proceeds of this offering. Pending these uses, we intend to invest the net proceeds from this offering in short-term, investment-grade interest-bearing securities such as money market accounts, certificates of deposit, commercial paper, and guaranteed obligations of the U.S. government.</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46"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the terms of our Loan and Security Agreement restrict our ability to pay dividends.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60"/>
          </w:cols>
          <w:pgMar w:left="320" w:top="459" w:right="5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CAPITALIZATION</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as well as our capitalization, as of March 31, 2021, on:</w:t>
      </w:r>
    </w:p>
    <w:p>
      <w:pPr>
        <w:spacing w:after="0" w:line="212" w:lineRule="exact"/>
        <w:rPr>
          <w:sz w:val="20"/>
          <w:szCs w:val="20"/>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20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 forma basis, which reflects (i) the automatic conversion of all outstanding shares of our preferred stock into in aggregate</w:t>
      </w:r>
    </w:p>
    <w:p>
      <w:pPr>
        <w:ind w:left="880" w:right="60"/>
        <w:spacing w:after="0" w:line="238" w:lineRule="auto"/>
        <w:rPr>
          <w:sz w:val="20"/>
          <w:szCs w:val="20"/>
          <w:color w:val="auto"/>
        </w:rPr>
      </w:pPr>
      <w:r>
        <w:rPr>
          <w:rFonts w:ascii="Arial" w:cs="Arial" w:eastAsia="Arial" w:hAnsi="Arial"/>
          <w:sz w:val="18"/>
          <w:szCs w:val="18"/>
          <w:color w:val="auto"/>
        </w:rPr>
        <w:t>of shares of our common stock and shares of our non-voting common stock, (ii) the reclassification of the preferred stock warrant liability to additional paid-in capital in connection with the conversion of the outstanding warrants to purchase shares of preferred stock into warrants to purchase shares of our common stock, and (iii) the filing and effectiveness of our restated certificate of incorporation; and</w:t>
      </w:r>
    </w:p>
    <w:p>
      <w:pPr>
        <w:spacing w:after="0" w:line="200"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 pro forma as adjusted basis, which reflects (i) all adjustments included in the pro forma column and (ii) the sale of shares of our</w:t>
      </w:r>
    </w:p>
    <w:p>
      <w:pPr>
        <w:ind w:left="880" w:right="20"/>
        <w:spacing w:after="0"/>
        <w:rPr>
          <w:sz w:val="20"/>
          <w:szCs w:val="20"/>
          <w:color w:val="auto"/>
        </w:rPr>
      </w:pPr>
      <w:r>
        <w:rPr>
          <w:rFonts w:ascii="Arial" w:cs="Arial" w:eastAsia="Arial" w:hAnsi="Arial"/>
          <w:sz w:val="18"/>
          <w:szCs w:val="18"/>
          <w:color w:val="auto"/>
        </w:rPr>
        <w:t>common stock in this offering at an assumed initial public offering price of $ per share, which is the midpoint of the price range set forth on the front cover of this prospectus, after deducting the estimated underwriting discounts and commissions and estimated offering expenses.</w:t>
      </w:r>
    </w:p>
    <w:p>
      <w:pPr>
        <w:spacing w:after="0" w:line="162"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7"/>
          <w:szCs w:val="17"/>
          <w:color w:val="auto"/>
        </w:rPr>
        <w:t>The pro forma as adjusted information presented is illustrative only and will be adjusted based on the actual initial public offering price and other terms of this offering determined at pricing. You should read this table together with our consolidated financial statements and related notes, “Selected Consolidated Financial Data,” Management’s Discussion and Analysis of Financial Condition and Results of Operations,” and our condensed consolidated financial statements and related notes, each included elsewhere in this prospectus.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gridSpan w:val="5"/>
          </w:tcPr>
          <w:p>
            <w:pPr>
              <w:jc w:val="center"/>
              <w:ind w:right="860"/>
              <w:spacing w:after="0"/>
              <w:rPr>
                <w:sz w:val="20"/>
                <w:szCs w:val="20"/>
                <w:color w:val="auto"/>
              </w:rPr>
            </w:pPr>
            <w:r>
              <w:rPr>
                <w:rFonts w:ascii="Arial" w:cs="Arial" w:eastAsia="Arial" w:hAnsi="Arial"/>
                <w:sz w:val="14"/>
                <w:szCs w:val="14"/>
                <w:b w:val="1"/>
                <w:bCs w:val="1"/>
                <w:color w:val="auto"/>
              </w:rPr>
              <w:t>As of March 31, 2021</w:t>
            </w:r>
          </w:p>
        </w:tc>
      </w:tr>
      <w:tr>
        <w:trPr>
          <w:trHeight w:val="142"/>
        </w:trPr>
        <w:tc>
          <w:tcPr>
            <w:tcW w:w="7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r>
      <w:tr>
        <w:trPr>
          <w:trHeight w:val="162"/>
        </w:trPr>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As</w:t>
            </w:r>
          </w:p>
        </w:tc>
      </w:tr>
      <w:tr>
        <w:trPr>
          <w:trHeight w:val="175"/>
        </w:trPr>
        <w:tc>
          <w:tcPr>
            <w:tcW w:w="7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Pro Forma</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Adjusted(1)</w:t>
            </w:r>
          </w:p>
        </w:tc>
      </w:tr>
      <w:tr>
        <w:trPr>
          <w:trHeight w:val="155"/>
        </w:trPr>
        <w:tc>
          <w:tcPr>
            <w:tcW w:w="7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89"/>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146,313</w:t>
            </w:r>
          </w:p>
        </w:tc>
        <w:tc>
          <w:tcPr>
            <w:tcW w:w="1120" w:type="dxa"/>
            <w:vAlign w:val="bottom"/>
            <w:gridSpan w:val="2"/>
            <w:shd w:val="clear" w:color="auto" w:fill="CCEEFF"/>
          </w:tcPr>
          <w:p>
            <w:pPr>
              <w:jc w:val="right"/>
              <w:ind w:right="68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6"/>
                <w:szCs w:val="16"/>
                <w:color w:val="auto"/>
              </w:rPr>
            </w:pPr>
          </w:p>
        </w:tc>
      </w:tr>
      <w:tr>
        <w:trPr>
          <w:trHeight w:val="20"/>
        </w:trPr>
        <w:tc>
          <w:tcPr>
            <w:tcW w:w="7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Preferred stock warrant liability</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2,886</w:t>
            </w:r>
          </w:p>
        </w:tc>
        <w:tc>
          <w:tcPr>
            <w:tcW w:w="1120" w:type="dxa"/>
            <w:vAlign w:val="bottom"/>
            <w:gridSpan w:val="2"/>
          </w:tcPr>
          <w:p>
            <w:pPr>
              <w:jc w:val="right"/>
              <w:ind w:right="68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5"/>
                <w:szCs w:val="15"/>
                <w:color w:val="auto"/>
              </w:rPr>
            </w:pPr>
          </w:p>
        </w:tc>
      </w:tr>
      <w:tr>
        <w:trPr>
          <w:trHeight w:val="189"/>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24,402</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1"/>
        </w:trPr>
        <w:tc>
          <w:tcPr>
            <w:tcW w:w="7760" w:type="dxa"/>
            <w:vAlign w:val="bottom"/>
          </w:tcPr>
          <w:p>
            <w:pPr>
              <w:spacing w:after="0"/>
              <w:rPr>
                <w:sz w:val="20"/>
                <w:szCs w:val="20"/>
                <w:color w:val="auto"/>
              </w:rPr>
            </w:pPr>
            <w:r>
              <w:rPr>
                <w:rFonts w:ascii="Arial" w:cs="Arial" w:eastAsia="Arial" w:hAnsi="Arial"/>
                <w:sz w:val="16"/>
                <w:szCs w:val="16"/>
                <w:color w:val="auto"/>
              </w:rPr>
              <w:t>Convertible preferred stock (Series A, B, B1, B1-NV, C and D), $0.0001 par value, 20,971,798 shares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760" w:type="dxa"/>
            <w:vAlign w:val="bottom"/>
          </w:tcPr>
          <w:p>
            <w:pPr>
              <w:ind w:left="160"/>
              <w:spacing w:after="0"/>
              <w:rPr>
                <w:sz w:val="20"/>
                <w:szCs w:val="20"/>
                <w:color w:val="auto"/>
              </w:rPr>
            </w:pPr>
            <w:r>
              <w:rPr>
                <w:rFonts w:ascii="Arial" w:cs="Arial" w:eastAsia="Arial" w:hAnsi="Arial"/>
                <w:sz w:val="16"/>
                <w:szCs w:val="16"/>
                <w:color w:val="auto"/>
              </w:rPr>
              <w:t>authorized, actual; 18,069,487 share issued and outstanding, actual; no shares authorized, issued and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760" w:type="dxa"/>
            <w:vAlign w:val="bottom"/>
          </w:tcPr>
          <w:p>
            <w:pPr>
              <w:ind w:left="160"/>
              <w:spacing w:after="0"/>
              <w:rPr>
                <w:sz w:val="20"/>
                <w:szCs w:val="20"/>
                <w:color w:val="auto"/>
              </w:rPr>
            </w:pPr>
            <w:r>
              <w:rPr>
                <w:rFonts w:ascii="Arial" w:cs="Arial" w:eastAsia="Arial" w:hAnsi="Arial"/>
                <w:sz w:val="16"/>
                <w:szCs w:val="16"/>
                <w:color w:val="auto"/>
              </w:rPr>
              <w:t>outstanding, pro forma and pro forma as adjusted; liquidation preference of $110,716, actual; no</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7760" w:type="dxa"/>
            <w:vAlign w:val="bottom"/>
          </w:tcPr>
          <w:p>
            <w:pPr>
              <w:ind w:left="160"/>
              <w:spacing w:after="0"/>
              <w:rPr>
                <w:sz w:val="20"/>
                <w:szCs w:val="20"/>
                <w:color w:val="auto"/>
              </w:rPr>
            </w:pPr>
            <w:r>
              <w:rPr>
                <w:rFonts w:ascii="Arial" w:cs="Arial" w:eastAsia="Arial" w:hAnsi="Arial"/>
                <w:sz w:val="16"/>
                <w:szCs w:val="16"/>
                <w:color w:val="auto"/>
              </w:rPr>
              <w:t>liquidation preference pro forma and pro forma as adjusted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110,401</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1"/>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 (Series E-1, E-2, F-1 and F-2), $0.0001 par value, 20,971,798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7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authorized, actual; 3,746,640 shares issued and outstanding, actual; no shares authorized,</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7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issued and outstanding, pro forma and pro forma as adjusted; liquidation preference of $150,000, actual;</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7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 liquidation preference pro forma and pro forma as adjusted</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179,509</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Stockholders’ deficit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1"/>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Common stock, $0.0001 par value; 51,523,465 shares authorized (including shares of non-voting common</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7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actual; 8,465,883 shares issued and 7,693,414 shares outstanding, actual; shares authorized</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7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(including shares of non-voting common stock), shares issued and outstanding, pro forma; shares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7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authorized, shares issued and outstanding (including shares of non-voting common stock), proforma as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7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adjusted</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Treasury stock, 772,574 shares as of March 31, 2021, held at cost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29,736</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125</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(106,424)</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7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6"/>
                <w:szCs w:val="16"/>
                <w:color w:val="auto"/>
              </w:rPr>
              <w:t>Total stockholders’ deficit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(77,310)</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Total capitalization</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239,888</w:t>
            </w:r>
          </w:p>
        </w:tc>
        <w:tc>
          <w:tcPr>
            <w:tcW w:w="1120" w:type="dxa"/>
            <w:vAlign w:val="bottom"/>
            <w:gridSpan w:val="2"/>
            <w:shd w:val="clear" w:color="auto" w:fill="CCEEFF"/>
          </w:tcPr>
          <w:p>
            <w:pPr>
              <w:jc w:val="right"/>
              <w:ind w:right="68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6"/>
                <w:szCs w:val="16"/>
                <w:color w:val="auto"/>
              </w:rPr>
            </w:pPr>
          </w:p>
        </w:tc>
      </w:tr>
      <w:tr>
        <w:trPr>
          <w:trHeight w:val="20"/>
        </w:trPr>
        <w:tc>
          <w:tcPr>
            <w:tcW w:w="7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0" w:type="dxa"/>
            <w:vAlign w:val="bottom"/>
          </w:tcPr>
          <w:p>
            <w:pPr>
              <w:jc w:val="right"/>
              <w:ind w:right="108"/>
              <w:spacing w:after="0"/>
              <w:rPr>
                <w:sz w:val="20"/>
                <w:szCs w:val="20"/>
                <w:color w:val="auto"/>
              </w:rPr>
            </w:pPr>
            <w:r>
              <w:rPr>
                <w:rFonts w:ascii="Arial" w:cs="Arial" w:eastAsia="Arial" w:hAnsi="Arial"/>
                <w:sz w:val="14"/>
                <w:szCs w:val="14"/>
                <w:color w:val="auto"/>
                <w:w w:val="93"/>
              </w:rPr>
              <w:t>(1)</w:t>
            </w:r>
          </w:p>
        </w:tc>
        <w:tc>
          <w:tcPr>
            <w:tcW w:w="5420" w:type="dxa"/>
            <w:vAlign w:val="bottom"/>
            <w:gridSpan w:val="3"/>
          </w:tcPr>
          <w:p>
            <w:pPr>
              <w:ind w:left="180"/>
              <w:spacing w:after="0"/>
              <w:rPr>
                <w:sz w:val="20"/>
                <w:szCs w:val="20"/>
                <w:color w:val="auto"/>
              </w:rPr>
            </w:pPr>
            <w:r>
              <w:rPr>
                <w:rFonts w:ascii="Arial" w:cs="Arial" w:eastAsia="Arial" w:hAnsi="Arial"/>
                <w:sz w:val="14"/>
                <w:szCs w:val="14"/>
                <w:color w:val="auto"/>
              </w:rPr>
              <w:t>Each $1.00 increase (decrease) in the assumed initial public offering price of $</w:t>
            </w:r>
          </w:p>
        </w:tc>
        <w:tc>
          <w:tcPr>
            <w:tcW w:w="5200" w:type="dxa"/>
            <w:vAlign w:val="bottom"/>
          </w:tcPr>
          <w:p>
            <w:pPr>
              <w:ind w:left="260"/>
              <w:spacing w:after="0"/>
              <w:rPr>
                <w:sz w:val="20"/>
                <w:szCs w:val="20"/>
                <w:color w:val="auto"/>
              </w:rPr>
            </w:pPr>
            <w:r>
              <w:rPr>
                <w:rFonts w:ascii="Arial" w:cs="Arial" w:eastAsia="Arial" w:hAnsi="Arial"/>
                <w:sz w:val="14"/>
                <w:szCs w:val="14"/>
                <w:color w:val="auto"/>
              </w:rPr>
              <w:t>per share, which is the midpoint of the price range set forth on the cover page</w:t>
            </w:r>
          </w:p>
        </w:tc>
      </w:tr>
      <w:tr>
        <w:trPr>
          <w:trHeight w:val="162"/>
        </w:trPr>
        <w:tc>
          <w:tcPr>
            <w:tcW w:w="360" w:type="dxa"/>
            <w:vAlign w:val="bottom"/>
          </w:tcPr>
          <w:p>
            <w:pPr>
              <w:spacing w:after="0"/>
              <w:rPr>
                <w:sz w:val="14"/>
                <w:szCs w:val="14"/>
                <w:color w:val="auto"/>
              </w:rPr>
            </w:pPr>
          </w:p>
        </w:tc>
        <w:tc>
          <w:tcPr>
            <w:tcW w:w="10620" w:type="dxa"/>
            <w:vAlign w:val="bottom"/>
            <w:gridSpan w:val="4"/>
          </w:tcPr>
          <w:p>
            <w:pPr>
              <w:ind w:left="180"/>
              <w:spacing w:after="0"/>
              <w:rPr>
                <w:sz w:val="20"/>
                <w:szCs w:val="20"/>
                <w:color w:val="auto"/>
              </w:rPr>
            </w:pPr>
            <w:r>
              <w:rPr>
                <w:rFonts w:ascii="Arial" w:cs="Arial" w:eastAsia="Arial" w:hAnsi="Arial"/>
                <w:sz w:val="14"/>
                <w:szCs w:val="14"/>
                <w:color w:val="auto"/>
              </w:rPr>
              <w:t>of this prospectus, would increase (decrease) our pro forma as adjusted cash and cash equivalents, additional paid-in capital, total stockholders’ equity, and total</w:t>
            </w:r>
          </w:p>
        </w:tc>
      </w:tr>
      <w:tr>
        <w:trPr>
          <w:trHeight w:val="162"/>
        </w:trPr>
        <w:tc>
          <w:tcPr>
            <w:tcW w:w="360" w:type="dxa"/>
            <w:vAlign w:val="bottom"/>
          </w:tcPr>
          <w:p>
            <w:pPr>
              <w:spacing w:after="0"/>
              <w:rPr>
                <w:sz w:val="14"/>
                <w:szCs w:val="14"/>
                <w:color w:val="auto"/>
              </w:rPr>
            </w:pPr>
          </w:p>
        </w:tc>
        <w:tc>
          <w:tcPr>
            <w:tcW w:w="2520" w:type="dxa"/>
            <w:vAlign w:val="bottom"/>
          </w:tcPr>
          <w:p>
            <w:pPr>
              <w:ind w:left="180"/>
              <w:spacing w:after="0"/>
              <w:rPr>
                <w:sz w:val="20"/>
                <w:szCs w:val="20"/>
                <w:color w:val="auto"/>
              </w:rPr>
            </w:pPr>
            <w:r>
              <w:rPr>
                <w:rFonts w:ascii="Arial" w:cs="Arial" w:eastAsia="Arial" w:hAnsi="Arial"/>
                <w:sz w:val="14"/>
                <w:szCs w:val="14"/>
                <w:color w:val="auto"/>
              </w:rPr>
              <w:t>capitalization by approximately $</w:t>
            </w:r>
          </w:p>
        </w:tc>
        <w:tc>
          <w:tcPr>
            <w:tcW w:w="8100" w:type="dxa"/>
            <w:vAlign w:val="bottom"/>
            <w:gridSpan w:val="3"/>
          </w:tcPr>
          <w:p>
            <w:pPr>
              <w:ind w:left="260"/>
              <w:spacing w:after="0"/>
              <w:rPr>
                <w:sz w:val="20"/>
                <w:szCs w:val="20"/>
                <w:color w:val="auto"/>
              </w:rPr>
            </w:pPr>
            <w:r>
              <w:rPr>
                <w:rFonts w:ascii="Arial" w:cs="Arial" w:eastAsia="Arial" w:hAnsi="Arial"/>
                <w:sz w:val="14"/>
                <w:szCs w:val="14"/>
                <w:color w:val="auto"/>
              </w:rPr>
              <w:t>million, assuming that the number of shares offered by us, as set forth on the cover page of this prospectus, remains the</w:t>
            </w:r>
          </w:p>
        </w:tc>
      </w:tr>
      <w:tr>
        <w:trPr>
          <w:trHeight w:val="162"/>
        </w:trPr>
        <w:tc>
          <w:tcPr>
            <w:tcW w:w="360" w:type="dxa"/>
            <w:vAlign w:val="bottom"/>
          </w:tcPr>
          <w:p>
            <w:pPr>
              <w:spacing w:after="0"/>
              <w:rPr>
                <w:sz w:val="14"/>
                <w:szCs w:val="14"/>
                <w:color w:val="auto"/>
              </w:rPr>
            </w:pPr>
          </w:p>
        </w:tc>
        <w:tc>
          <w:tcPr>
            <w:tcW w:w="10620" w:type="dxa"/>
            <w:vAlign w:val="bottom"/>
            <w:gridSpan w:val="4"/>
          </w:tcPr>
          <w:p>
            <w:pPr>
              <w:ind w:left="180"/>
              <w:spacing w:after="0"/>
              <w:rPr>
                <w:sz w:val="20"/>
                <w:szCs w:val="20"/>
                <w:color w:val="auto"/>
              </w:rPr>
            </w:pPr>
            <w:r>
              <w:rPr>
                <w:rFonts w:ascii="Arial" w:cs="Arial" w:eastAsia="Arial" w:hAnsi="Arial"/>
                <w:sz w:val="14"/>
                <w:szCs w:val="14"/>
                <w:color w:val="auto"/>
              </w:rPr>
              <w:t>same and after deducting the estimated underwriting discounts and commissions. Similarly, each increase (decrease) of 1,000,000 shares in the number of shares</w:t>
            </w:r>
          </w:p>
        </w:tc>
      </w:tr>
      <w:tr>
        <w:trPr>
          <w:trHeight w:val="162"/>
        </w:trPr>
        <w:tc>
          <w:tcPr>
            <w:tcW w:w="360" w:type="dxa"/>
            <w:vAlign w:val="bottom"/>
          </w:tcPr>
          <w:p>
            <w:pPr>
              <w:spacing w:after="0"/>
              <w:rPr>
                <w:sz w:val="14"/>
                <w:szCs w:val="14"/>
                <w:color w:val="auto"/>
              </w:rPr>
            </w:pPr>
          </w:p>
        </w:tc>
        <w:tc>
          <w:tcPr>
            <w:tcW w:w="10620" w:type="dxa"/>
            <w:vAlign w:val="bottom"/>
            <w:gridSpan w:val="4"/>
          </w:tcPr>
          <w:p>
            <w:pPr>
              <w:ind w:left="180"/>
              <w:spacing w:after="0"/>
              <w:rPr>
                <w:sz w:val="20"/>
                <w:szCs w:val="20"/>
                <w:color w:val="auto"/>
              </w:rPr>
            </w:pPr>
            <w:r>
              <w:rPr>
                <w:rFonts w:ascii="Arial" w:cs="Arial" w:eastAsia="Arial" w:hAnsi="Arial"/>
                <w:sz w:val="14"/>
                <w:szCs w:val="14"/>
                <w:color w:val="auto"/>
              </w:rPr>
              <w:t>of our common stock offered would increase (decrease) the amount of our pro forma as adjusted cash and cash equivalents, additional paid-in capital, total</w:t>
            </w:r>
          </w:p>
        </w:tc>
      </w:tr>
      <w:tr>
        <w:trPr>
          <w:trHeight w:val="162"/>
        </w:trPr>
        <w:tc>
          <w:tcPr>
            <w:tcW w:w="360" w:type="dxa"/>
            <w:vAlign w:val="bottom"/>
          </w:tcPr>
          <w:p>
            <w:pPr>
              <w:spacing w:after="0"/>
              <w:rPr>
                <w:sz w:val="14"/>
                <w:szCs w:val="14"/>
                <w:color w:val="auto"/>
              </w:rPr>
            </w:pPr>
          </w:p>
        </w:tc>
        <w:tc>
          <w:tcPr>
            <w:tcW w:w="4540" w:type="dxa"/>
            <w:vAlign w:val="bottom"/>
            <w:gridSpan w:val="2"/>
          </w:tcPr>
          <w:p>
            <w:pPr>
              <w:ind w:left="180"/>
              <w:spacing w:after="0"/>
              <w:rPr>
                <w:sz w:val="20"/>
                <w:szCs w:val="20"/>
                <w:color w:val="auto"/>
              </w:rPr>
            </w:pPr>
            <w:r>
              <w:rPr>
                <w:rFonts w:ascii="Arial" w:cs="Arial" w:eastAsia="Arial" w:hAnsi="Arial"/>
                <w:sz w:val="14"/>
                <w:szCs w:val="14"/>
                <w:color w:val="auto"/>
              </w:rPr>
              <w:t>stockholders’ equity, and total capitalization by approximately $</w:t>
            </w:r>
          </w:p>
        </w:tc>
        <w:tc>
          <w:tcPr>
            <w:tcW w:w="6080" w:type="dxa"/>
            <w:vAlign w:val="bottom"/>
            <w:gridSpan w:val="2"/>
          </w:tcPr>
          <w:p>
            <w:pPr>
              <w:ind w:left="160"/>
              <w:spacing w:after="0"/>
              <w:rPr>
                <w:sz w:val="20"/>
                <w:szCs w:val="20"/>
                <w:color w:val="auto"/>
              </w:rPr>
            </w:pPr>
            <w:r>
              <w:rPr>
                <w:rFonts w:ascii="Arial" w:cs="Arial" w:eastAsia="Arial" w:hAnsi="Arial"/>
                <w:sz w:val="14"/>
                <w:szCs w:val="14"/>
                <w:color w:val="auto"/>
              </w:rPr>
              <w:t>million, assuming that the assumed initial public offering price remains the same, and after</w:t>
            </w:r>
          </w:p>
        </w:tc>
      </w:tr>
      <w:tr>
        <w:trPr>
          <w:trHeight w:val="172"/>
        </w:trPr>
        <w:tc>
          <w:tcPr>
            <w:tcW w:w="360" w:type="dxa"/>
            <w:vAlign w:val="bottom"/>
          </w:tcPr>
          <w:p>
            <w:pPr>
              <w:spacing w:after="0"/>
              <w:rPr>
                <w:sz w:val="14"/>
                <w:szCs w:val="14"/>
                <w:color w:val="auto"/>
              </w:rPr>
            </w:pPr>
          </w:p>
        </w:tc>
        <w:tc>
          <w:tcPr>
            <w:tcW w:w="4540" w:type="dxa"/>
            <w:vAlign w:val="bottom"/>
            <w:gridSpan w:val="2"/>
          </w:tcPr>
          <w:p>
            <w:pPr>
              <w:ind w:left="180"/>
              <w:spacing w:after="0"/>
              <w:rPr>
                <w:sz w:val="20"/>
                <w:szCs w:val="20"/>
                <w:color w:val="auto"/>
              </w:rPr>
            </w:pPr>
            <w:r>
              <w:rPr>
                <w:rFonts w:ascii="Arial" w:cs="Arial" w:eastAsia="Arial" w:hAnsi="Arial"/>
                <w:sz w:val="14"/>
                <w:szCs w:val="14"/>
                <w:color w:val="auto"/>
              </w:rPr>
              <w:t>deducting the estimated underwriting discounts and commissions.</w:t>
            </w:r>
          </w:p>
        </w:tc>
        <w:tc>
          <w:tcPr>
            <w:tcW w:w="880" w:type="dxa"/>
            <w:vAlign w:val="bottom"/>
          </w:tcPr>
          <w:p>
            <w:pPr>
              <w:spacing w:after="0"/>
              <w:rPr>
                <w:sz w:val="14"/>
                <w:szCs w:val="14"/>
                <w:color w:val="auto"/>
              </w:rPr>
            </w:pPr>
          </w:p>
        </w:tc>
        <w:tc>
          <w:tcPr>
            <w:tcW w:w="5200" w:type="dxa"/>
            <w:vAlign w:val="bottom"/>
          </w:tcPr>
          <w:p>
            <w:pPr>
              <w:spacing w:after="0"/>
              <w:rPr>
                <w:sz w:val="14"/>
                <w:szCs w:val="14"/>
                <w:color w:val="auto"/>
              </w:rPr>
            </w:pPr>
          </w:p>
        </w:tc>
      </w:tr>
    </w:tbl>
    <w:p>
      <w:pPr>
        <w:spacing w:after="0" w:line="160" w:lineRule="exact"/>
        <w:rPr>
          <w:sz w:val="20"/>
          <w:szCs w:val="20"/>
          <w:color w:val="auto"/>
        </w:rPr>
      </w:pPr>
    </w:p>
    <w:p>
      <w:pPr>
        <w:ind w:left="120" w:right="460" w:firstLine="440"/>
        <w:spacing w:after="0" w:line="248" w:lineRule="auto"/>
        <w:rPr>
          <w:sz w:val="20"/>
          <w:szCs w:val="20"/>
          <w:color w:val="auto"/>
        </w:rPr>
      </w:pPr>
      <w:r>
        <w:rPr>
          <w:rFonts w:ascii="Arial" w:cs="Arial" w:eastAsia="Arial" w:hAnsi="Arial"/>
          <w:sz w:val="17"/>
          <w:szCs w:val="17"/>
          <w:color w:val="auto"/>
        </w:rPr>
        <w:t>The number of shares of our common stock and non-voting common stock to be outstanding after this offering is based on 30,366,853 shares of our common stock outstanding as of March 31, 2021, assuming the conversion of all outstanding shares of our</w:t>
      </w:r>
    </w:p>
    <w:p>
      <w:pPr>
        <w:spacing w:after="0" w:line="1" w:lineRule="exact"/>
        <w:rPr>
          <w:sz w:val="20"/>
          <w:szCs w:val="20"/>
          <w:color w:val="auto"/>
        </w:rPr>
      </w:pPr>
    </w:p>
    <w:p>
      <w:pPr>
        <w:ind w:left="120" w:right="400"/>
        <w:spacing w:after="0" w:line="243" w:lineRule="auto"/>
        <w:rPr>
          <w:sz w:val="20"/>
          <w:szCs w:val="20"/>
          <w:color w:val="auto"/>
        </w:rPr>
      </w:pPr>
      <w:r>
        <w:rPr>
          <w:rFonts w:ascii="Arial" w:cs="Arial" w:eastAsia="Arial" w:hAnsi="Arial"/>
          <w:sz w:val="18"/>
          <w:szCs w:val="18"/>
          <w:color w:val="auto"/>
        </w:rPr>
        <w:t>preferred stock (of which shares will be common stock and shares will be non-voting common stock) and excludes the following:</w:t>
      </w:r>
    </w:p>
    <w:p>
      <w:pPr>
        <w:spacing w:after="0" w:line="200" w:lineRule="exact"/>
        <w:rPr>
          <w:sz w:val="20"/>
          <w:szCs w:val="20"/>
          <w:color w:val="auto"/>
        </w:rPr>
      </w:pPr>
    </w:p>
    <w:p>
      <w:pPr>
        <w:spacing w:after="0" w:line="211" w:lineRule="exact"/>
        <w:rPr>
          <w:sz w:val="20"/>
          <w:szCs w:val="20"/>
          <w:color w:val="auto"/>
        </w:rPr>
      </w:pPr>
    </w:p>
    <w:p>
      <w:pPr>
        <w:ind w:left="880" w:right="34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5,498,741 shares of our common stock issuable upon the exercise of stock options outstanding as of March 31, 2021, with a weighted-average exercise price of $8.88 per share under our 2009 Equity Incentive Plan (2009 Plan) and our 2018 Stock Incentive Plan (2018 Plan);</w:t>
      </w:r>
    </w:p>
    <w:p>
      <w:pPr>
        <w:spacing w:after="0" w:line="202"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343,500 shares of our common stock issuable upon the exercise of stock options granted after March 31, 2021, with a weighted-average exercise price of $50.45 per share under our 2018 Plan;</w:t>
      </w:r>
    </w:p>
    <w:p>
      <w:pPr>
        <w:spacing w:after="0" w:line="196"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25,000 shares of our common stock issuable upon the exercise of outstanding warrants to purchase common stock outstanding as of March 31, 2021, with an exercise price of $0.50 per share;</w:t>
      </w:r>
    </w:p>
    <w:p>
      <w:pPr>
        <w:spacing w:after="0" w:line="196" w:lineRule="exact"/>
        <w:rPr>
          <w:rFonts w:ascii="Arial" w:cs="Arial" w:eastAsia="Arial" w:hAnsi="Arial"/>
          <w:sz w:val="18"/>
          <w:szCs w:val="18"/>
          <w:color w:val="auto"/>
        </w:rPr>
      </w:pPr>
    </w:p>
    <w:p>
      <w:pPr>
        <w:ind w:left="880" w:right="340" w:hanging="224"/>
        <w:spacing w:after="0" w:line="261" w:lineRule="auto"/>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127,000 shares of our common stock issuable upon the exercise of outstanding warrants to purchase shares of our Series C preferred stock outstanding as of March 31, 2021, with an exercise price of $4.44 per share, which will become warrants to purchase shares of our common stock at an exercise price of $4.44 per share in connection with the closing of this offering;</w:t>
      </w:r>
    </w:p>
    <w:p>
      <w:pPr>
        <w:spacing w:after="0" w:line="185" w:lineRule="exact"/>
        <w:rPr>
          <w:rFonts w:ascii="Arial" w:cs="Arial" w:eastAsia="Arial" w:hAnsi="Arial"/>
          <w:sz w:val="17"/>
          <w:szCs w:val="17"/>
          <w:color w:val="auto"/>
        </w:rPr>
      </w:pPr>
    </w:p>
    <w:p>
      <w:pPr>
        <w:ind w:left="880" w:right="6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548,486 shares of our common stock reserved for future issuance under our 2018 Plan, as of March 31, 2021, which shares will be added to the shares to be reserved under our 2021 Equity Incentive Plan (2021 Plan), at the time our 2021 Plan becomes effective in connection with this offering;</w:t>
      </w:r>
    </w:p>
    <w:p>
      <w:pPr>
        <w:spacing w:after="0" w:line="202" w:lineRule="exact"/>
        <w:rPr>
          <w:rFonts w:ascii="Arial" w:cs="Arial" w:eastAsia="Arial" w:hAnsi="Arial"/>
          <w:sz w:val="18"/>
          <w:szCs w:val="18"/>
          <w:color w:val="auto"/>
        </w:rPr>
      </w:pPr>
    </w:p>
    <w:p>
      <w:pPr>
        <w:ind w:left="880" w:right="26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9,201,156 shares of our common stock that will become available for future issuance under our 2021 Plan, which will become effective upon the effectiveness of the registration statement of which this prospectus forms a part, as well as any automatic increases in the number of shares of common stock reserved for future issuance under the 2021 Plan; and</w:t>
      </w:r>
    </w:p>
    <w:p>
      <w:pPr>
        <w:spacing w:after="0" w:line="202" w:lineRule="exact"/>
        <w:rPr>
          <w:rFonts w:ascii="Arial" w:cs="Arial" w:eastAsia="Arial" w:hAnsi="Arial"/>
          <w:sz w:val="18"/>
          <w:szCs w:val="18"/>
          <w:color w:val="auto"/>
        </w:rPr>
      </w:pPr>
    </w:p>
    <w:p>
      <w:pPr>
        <w:ind w:left="880" w:right="40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1,639,810 shares of our common stock that will become available for future issuance under our ESPP, which will become effective upon the effectiveness of the registration statement of which this prospectus forms a part, as well as any automatic increases in the number of shares of common stock reserved for future issuance under the ESPP.</w:t>
      </w:r>
    </w:p>
    <w:p>
      <w:pPr>
        <w:spacing w:after="0" w:line="176"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To the extent that any outstanding options or warrants to purchase our common stock are exercised or new awards are granted under our equity compensation plans, there will be further dilution to investors participating in this offering.</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07" w:lineRule="exact"/>
        <w:rPr>
          <w:sz w:val="20"/>
          <w:szCs w:val="20"/>
          <w:color w:val="auto"/>
        </w:rPr>
      </w:pPr>
    </w:p>
    <w:p>
      <w:pPr>
        <w:jc w:val="both"/>
        <w:ind w:left="120" w:right="240" w:firstLine="440"/>
        <w:spacing w:after="0"/>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162" w:lineRule="exact"/>
        <w:rPr>
          <w:sz w:val="20"/>
          <w:szCs w:val="20"/>
          <w:color w:val="auto"/>
        </w:rPr>
      </w:pPr>
    </w:p>
    <w:p>
      <w:pPr>
        <w:ind w:left="120" w:right="160" w:firstLine="440"/>
        <w:spacing w:after="0" w:line="234" w:lineRule="auto"/>
        <w:rPr>
          <w:sz w:val="20"/>
          <w:szCs w:val="20"/>
          <w:color w:val="auto"/>
        </w:rPr>
      </w:pPr>
      <w:r>
        <w:rPr>
          <w:rFonts w:ascii="Arial" w:cs="Arial" w:eastAsia="Arial" w:hAnsi="Arial"/>
          <w:sz w:val="18"/>
          <w:szCs w:val="18"/>
          <w:color w:val="auto"/>
        </w:rPr>
        <w:t>As of March 31, 2021, historical net tangible book value (deficit) was $ million, or $ per share. Our pro forma net tangible book value was $ million, or $ per share of common stock. Our pro forma net tangible book value per share represents the</w:t>
      </w:r>
    </w:p>
    <w:p>
      <w:pPr>
        <w:spacing w:after="0" w:line="1" w:lineRule="exact"/>
        <w:rPr>
          <w:sz w:val="20"/>
          <w:szCs w:val="20"/>
          <w:color w:val="auto"/>
        </w:rPr>
      </w:pPr>
    </w:p>
    <w:p>
      <w:pPr>
        <w:ind w:left="120" w:right="160"/>
        <w:spacing w:after="0" w:line="248" w:lineRule="auto"/>
        <w:rPr>
          <w:sz w:val="20"/>
          <w:szCs w:val="20"/>
          <w:color w:val="auto"/>
        </w:rPr>
      </w:pPr>
      <w:r>
        <w:rPr>
          <w:rFonts w:ascii="Arial" w:cs="Arial" w:eastAsia="Arial" w:hAnsi="Arial"/>
          <w:sz w:val="17"/>
          <w:szCs w:val="17"/>
          <w:color w:val="auto"/>
        </w:rPr>
        <w:t>amount of our total tangible assets reduced by the amount of our total liabilities and divided by the total number of shares of our common stock outstanding as of March 31, 2021, after giving effect to (i) the automatic conversion of all outstanding shares of our preferred stock</w:t>
      </w:r>
    </w:p>
    <w:p>
      <w:pPr>
        <w:spacing w:after="0" w:line="1"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into in aggregate of shares of our common stock and shares of our non-voting common stock, (ii) the reclassification of the preferred stock warrant liability to additional paid-in capital in connection with the conversion of the outstanding warrants to purchase shares of preferred stock into warrants to purchase shares of our common stock, and (iii) the filing and effectiveness of our restated certificate of incorporation.</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After giving effect to (i) the pro forma adjustments set forth above and (ii) our sale in this offering of shares of our common stock, at</w:t>
      </w:r>
    </w:p>
    <w:p>
      <w:pPr>
        <w:ind w:left="120" w:right="80"/>
        <w:spacing w:after="0" w:line="234" w:lineRule="auto"/>
        <w:rPr>
          <w:sz w:val="20"/>
          <w:szCs w:val="20"/>
          <w:color w:val="auto"/>
        </w:rPr>
      </w:pPr>
      <w:r>
        <w:rPr>
          <w:rFonts w:ascii="Arial" w:cs="Arial" w:eastAsia="Arial" w:hAnsi="Arial"/>
          <w:sz w:val="18"/>
          <w:szCs w:val="18"/>
          <w:color w:val="auto"/>
        </w:rPr>
        <w:t>an assumed initial public offering price of $ per share, which is the midpoint of the price range set forth on the cover page of this prospectus, after deducting estimated underwriting discounts and commissions and estimated offering expenses, our pro forma as adjusted net tangible book value as of March 31, 2021 would have been $ million, or $ per share. This represents an immediate increase in pro forma net tangible book value of $ per share to our existing stockholders and an immediate dilution of</w:t>
      </w:r>
    </w:p>
    <w:p>
      <w:pPr>
        <w:spacing w:after="0" w:line="3" w:lineRule="exact"/>
        <w:rPr>
          <w:sz w:val="20"/>
          <w:szCs w:val="20"/>
          <w:color w:val="auto"/>
        </w:rPr>
      </w:pPr>
    </w:p>
    <w:p>
      <w:pPr>
        <w:ind w:left="120" w:right="1640" w:hanging="4"/>
        <w:spacing w:after="0" w:line="465" w:lineRule="auto"/>
        <w:tabs>
          <w:tab w:leader="none" w:pos="107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 share to investors purchasing common stock in this offering at the assumed initial public offering price. The following table illustrates this dilution on a per share basis to new investors:</w:t>
      </w:r>
    </w:p>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260" w:type="dxa"/>
            <w:vAlign w:val="bottom"/>
            <w:shd w:val="clear" w:color="auto" w:fill="CCEEFF"/>
          </w:tcPr>
          <w:p>
            <w:pPr>
              <w:spacing w:after="0"/>
              <w:rPr>
                <w:sz w:val="17"/>
                <w:szCs w:val="17"/>
                <w:color w:val="auto"/>
              </w:rPr>
            </w:pPr>
          </w:p>
        </w:tc>
        <w:tc>
          <w:tcPr>
            <w:tcW w:w="192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678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value (deficit) per share as of March 31, 2021</w:t>
            </w:r>
          </w:p>
        </w:tc>
        <w:tc>
          <w:tcPr>
            <w:tcW w:w="2260" w:type="dxa"/>
            <w:vAlign w:val="bottom"/>
          </w:tcPr>
          <w:p>
            <w:pPr>
              <w:spacing w:after="0"/>
              <w:rPr>
                <w:sz w:val="17"/>
                <w:szCs w:val="17"/>
                <w:color w:val="auto"/>
              </w:rPr>
            </w:pPr>
          </w:p>
        </w:tc>
        <w:tc>
          <w:tcPr>
            <w:tcW w:w="780" w:type="dxa"/>
            <w:vAlign w:val="bottom"/>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Pro forma net tangible book value per share as of March 31, 2021, before giving effect to this offering</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9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7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as adjusted net tangible book value per share</w:t>
            </w:r>
          </w:p>
        </w:tc>
        <w:tc>
          <w:tcPr>
            <w:tcW w:w="2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9040" w:type="dxa"/>
            <w:vAlign w:val="bottom"/>
            <w:gridSpan w:val="2"/>
          </w:tcPr>
          <w:p>
            <w:pPr>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1140" w:type="dxa"/>
            <w:vAlign w:val="bottom"/>
            <w:gridSpan w:val="2"/>
          </w:tcPr>
          <w:p>
            <w:pPr>
              <w:spacing w:after="0"/>
              <w:rPr>
                <w:sz w:val="18"/>
                <w:szCs w:val="18"/>
                <w:color w:val="auto"/>
              </w:rPr>
            </w:pPr>
          </w:p>
        </w:tc>
        <w:tc>
          <w:tcPr>
            <w:tcW w:w="78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6780" w:type="dxa"/>
            <w:vAlign w:val="bottom"/>
          </w:tcPr>
          <w:p>
            <w:pPr>
              <w:ind w:left="440"/>
              <w:spacing w:after="0"/>
              <w:rPr>
                <w:sz w:val="20"/>
                <w:szCs w:val="20"/>
                <w:color w:val="auto"/>
              </w:rPr>
            </w:pPr>
            <w:r>
              <w:rPr>
                <w:rFonts w:ascii="Arial" w:cs="Arial" w:eastAsia="Arial" w:hAnsi="Arial"/>
                <w:sz w:val="18"/>
                <w:szCs w:val="18"/>
                <w:color w:val="auto"/>
              </w:rPr>
              <w:t>A $1.00 increase (decrease) in the assumed initial public offering price of $</w:t>
            </w:r>
          </w:p>
        </w:tc>
        <w:tc>
          <w:tcPr>
            <w:tcW w:w="4240" w:type="dxa"/>
            <w:vAlign w:val="bottom"/>
            <w:gridSpan w:val="6"/>
          </w:tcPr>
          <w:p>
            <w:pPr>
              <w:ind w:left="400"/>
              <w:spacing w:after="0"/>
              <w:rPr>
                <w:sz w:val="20"/>
                <w:szCs w:val="20"/>
                <w:color w:val="auto"/>
              </w:rPr>
            </w:pPr>
            <w:r>
              <w:rPr>
                <w:rFonts w:ascii="Arial" w:cs="Arial" w:eastAsia="Arial" w:hAnsi="Arial"/>
                <w:sz w:val="18"/>
                <w:szCs w:val="18"/>
                <w:color w:val="auto"/>
              </w:rPr>
              <w:t>per share, which is the midpoint of the price</w:t>
            </w:r>
          </w:p>
        </w:tc>
      </w:tr>
    </w:tbl>
    <w:p>
      <w:pPr>
        <w:ind w:left="120"/>
        <w:spacing w:after="0" w:line="234" w:lineRule="auto"/>
        <w:rPr>
          <w:sz w:val="20"/>
          <w:szCs w:val="20"/>
          <w:color w:val="auto"/>
        </w:rPr>
      </w:pPr>
      <w:r>
        <w:rPr>
          <w:rFonts w:ascii="Arial" w:cs="Arial" w:eastAsia="Arial" w:hAnsi="Arial"/>
          <w:sz w:val="18"/>
          <w:szCs w:val="18"/>
          <w:color w:val="auto"/>
        </w:rPr>
        <w:t>range reflected on the cover page of this prospectus, would increase (decrease) our pro forma as adjusted net tangible book value per</w:t>
      </w:r>
    </w:p>
    <w:p>
      <w:pPr>
        <w:ind w:left="120"/>
        <w:spacing w:after="0"/>
        <w:tabs>
          <w:tab w:leader="none" w:pos="3120" w:val="left"/>
        </w:tabs>
        <w:rPr>
          <w:sz w:val="20"/>
          <w:szCs w:val="20"/>
          <w:color w:val="auto"/>
        </w:rPr>
      </w:pPr>
      <w:r>
        <w:rPr>
          <w:rFonts w:ascii="Arial" w:cs="Arial" w:eastAsia="Arial" w:hAnsi="Arial"/>
          <w:sz w:val="18"/>
          <w:szCs w:val="18"/>
          <w:color w:val="auto"/>
        </w:rPr>
        <w:t>share after this offering by $</w:t>
      </w:r>
      <w:r>
        <w:rPr>
          <w:sz w:val="20"/>
          <w:szCs w:val="20"/>
          <w:color w:val="auto"/>
        </w:rPr>
        <w:tab/>
      </w:r>
      <w:r>
        <w:rPr>
          <w:rFonts w:ascii="Arial" w:cs="Arial" w:eastAsia="Arial" w:hAnsi="Arial"/>
          <w:sz w:val="17"/>
          <w:szCs w:val="17"/>
          <w:color w:val="auto"/>
        </w:rPr>
        <w:t>per share and would increase (decrease) the dilution per share to new investors in this offering by</w:t>
      </w:r>
    </w:p>
    <w:p>
      <w:pPr>
        <w:spacing w:after="0" w:line="1" w:lineRule="exact"/>
        <w:rPr>
          <w:sz w:val="20"/>
          <w:szCs w:val="20"/>
          <w:color w:val="auto"/>
        </w:rPr>
      </w:pPr>
    </w:p>
    <w:p>
      <w:pPr>
        <w:ind w:left="120" w:right="260" w:hanging="4"/>
        <w:spacing w:after="0" w:line="248" w:lineRule="auto"/>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per share, assuming the number of shares of common stock offered by us, as set forth on the cover page of this prospectus, remains the same and after deducting the estimated underwriting discounts and commissions. Similarly, each increase (decrease) of 1,000,000 shares in the number of shares of common stock offered would increase (decrease) the pro forma as adjusted net tangible</w:t>
      </w:r>
    </w:p>
    <w:p>
      <w:pPr>
        <w:spacing w:after="0" w:line="2" w:lineRule="exact"/>
        <w:rPr>
          <w:sz w:val="20"/>
          <w:szCs w:val="20"/>
          <w:color w:val="auto"/>
        </w:rPr>
      </w:pPr>
    </w:p>
    <w:p>
      <w:pPr>
        <w:ind w:left="120"/>
        <w:spacing w:after="0"/>
        <w:tabs>
          <w:tab w:leader="none" w:pos="4360" w:val="left"/>
        </w:tabs>
        <w:rPr>
          <w:sz w:val="20"/>
          <w:szCs w:val="20"/>
          <w:color w:val="auto"/>
        </w:rPr>
      </w:pPr>
      <w:r>
        <w:rPr>
          <w:rFonts w:ascii="Arial" w:cs="Arial" w:eastAsia="Arial" w:hAnsi="Arial"/>
          <w:sz w:val="18"/>
          <w:szCs w:val="18"/>
          <w:color w:val="auto"/>
        </w:rPr>
        <w:t>book value per share after this offering by $</w:t>
      </w:r>
      <w:r>
        <w:rPr>
          <w:sz w:val="20"/>
          <w:szCs w:val="20"/>
          <w:color w:val="auto"/>
        </w:rPr>
        <w:tab/>
      </w:r>
      <w:r>
        <w:rPr>
          <w:rFonts w:ascii="Arial" w:cs="Arial" w:eastAsia="Arial" w:hAnsi="Arial"/>
          <w:sz w:val="17"/>
          <w:szCs w:val="17"/>
          <w:color w:val="auto"/>
        </w:rPr>
        <w:t>per share and would increase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Table of Contents</w:t>
              </w:r>
            </w:hyperlink>
          </w:p>
        </w:tc>
        <w:tc>
          <w:tcPr>
            <w:tcW w:w="26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519"/>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(decrease) the dilution to new investors by $</w:t>
            </w:r>
          </w:p>
        </w:tc>
        <w:tc>
          <w:tcPr>
            <w:tcW w:w="7060" w:type="dxa"/>
            <w:vAlign w:val="bottom"/>
            <w:gridSpan w:val="3"/>
          </w:tcPr>
          <w:p>
            <w:pPr>
              <w:ind w:left="400"/>
              <w:spacing w:after="0"/>
              <w:rPr>
                <w:sz w:val="20"/>
                <w:szCs w:val="20"/>
                <w:color w:val="auto"/>
              </w:rPr>
            </w:pPr>
            <w:r>
              <w:rPr>
                <w:rFonts w:ascii="Arial" w:cs="Arial" w:eastAsia="Arial" w:hAnsi="Arial"/>
                <w:sz w:val="18"/>
                <w:szCs w:val="18"/>
                <w:color w:val="auto"/>
              </w:rPr>
              <w:t>per share, assuming the assumed initial public offering price, which is the midpoint</w:t>
            </w:r>
          </w:p>
        </w:tc>
      </w:tr>
      <w:tr>
        <w:trPr>
          <w:trHeight w:val="203"/>
        </w:trPr>
        <w:tc>
          <w:tcPr>
            <w:tcW w:w="11100" w:type="dxa"/>
            <w:vAlign w:val="bottom"/>
            <w:gridSpan w:val="5"/>
          </w:tcPr>
          <w:p>
            <w:pPr>
              <w:ind w:left="120"/>
              <w:spacing w:after="0" w:line="202" w:lineRule="exact"/>
              <w:rPr>
                <w:sz w:val="20"/>
                <w:szCs w:val="20"/>
                <w:color w:val="auto"/>
              </w:rPr>
            </w:pPr>
            <w:r>
              <w:rPr>
                <w:rFonts w:ascii="Arial" w:cs="Arial" w:eastAsia="Arial" w:hAnsi="Arial"/>
                <w:sz w:val="18"/>
                <w:szCs w:val="18"/>
                <w:color w:val="auto"/>
              </w:rPr>
              <w:t>of the price range set forth on the cover page of this prospectus, remains the same and after deducting the estimated underwriting</w:t>
            </w:r>
          </w:p>
        </w:tc>
      </w:tr>
      <w:tr>
        <w:trPr>
          <w:trHeight w:val="217"/>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discounts and commissions.</w:t>
            </w:r>
          </w:p>
        </w:tc>
        <w:tc>
          <w:tcPr>
            <w:tcW w:w="2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377"/>
        </w:trPr>
        <w:tc>
          <w:tcPr>
            <w:tcW w:w="11100" w:type="dxa"/>
            <w:vAlign w:val="bottom"/>
            <w:gridSpan w:val="5"/>
          </w:tcPr>
          <w:p>
            <w:pPr>
              <w:ind w:left="560"/>
              <w:spacing w:after="0"/>
              <w:rPr>
                <w:sz w:val="20"/>
                <w:szCs w:val="20"/>
                <w:color w:val="auto"/>
              </w:rPr>
            </w:pPr>
            <w:r>
              <w:rPr>
                <w:rFonts w:ascii="Arial" w:cs="Arial" w:eastAsia="Arial" w:hAnsi="Arial"/>
                <w:sz w:val="18"/>
                <w:szCs w:val="18"/>
                <w:color w:val="auto"/>
              </w:rPr>
              <w:t>If the underwriters exercise their option to purchase additional shares of our common stock in full, the pro forma as adjusted net</w:t>
            </w:r>
          </w:p>
        </w:tc>
      </w:tr>
      <w:tr>
        <w:trPr>
          <w:trHeight w:val="203"/>
        </w:trPr>
        <w:tc>
          <w:tcPr>
            <w:tcW w:w="824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tangible book value per share of our common stock after giving effect to this offering would be $</w:t>
            </w:r>
          </w:p>
        </w:tc>
        <w:tc>
          <w:tcPr>
            <w:tcW w:w="2860" w:type="dxa"/>
            <w:vAlign w:val="bottom"/>
          </w:tcPr>
          <w:p>
            <w:pPr>
              <w:ind w:left="280"/>
              <w:spacing w:after="0" w:line="202" w:lineRule="exact"/>
              <w:rPr>
                <w:sz w:val="20"/>
                <w:szCs w:val="20"/>
                <w:color w:val="auto"/>
              </w:rPr>
            </w:pPr>
            <w:r>
              <w:rPr>
                <w:rFonts w:ascii="Arial" w:cs="Arial" w:eastAsia="Arial" w:hAnsi="Arial"/>
                <w:sz w:val="18"/>
                <w:szCs w:val="18"/>
                <w:color w:val="auto"/>
                <w:w w:val="99"/>
              </w:rPr>
              <w:t>per share, and the dilution in pro</w:t>
            </w:r>
          </w:p>
        </w:tc>
      </w:tr>
      <w:tr>
        <w:trPr>
          <w:trHeight w:val="217"/>
        </w:trPr>
        <w:tc>
          <w:tcPr>
            <w:tcW w:w="6740" w:type="dxa"/>
            <w:vAlign w:val="bottom"/>
            <w:gridSpan w:val="3"/>
          </w:tcPr>
          <w:p>
            <w:pPr>
              <w:ind w:left="120"/>
              <w:spacing w:after="0"/>
              <w:rPr>
                <w:sz w:val="20"/>
                <w:szCs w:val="20"/>
                <w:color w:val="auto"/>
              </w:rPr>
            </w:pPr>
            <w:r>
              <w:rPr>
                <w:rFonts w:ascii="Arial" w:cs="Arial" w:eastAsia="Arial" w:hAnsi="Arial"/>
                <w:sz w:val="18"/>
                <w:szCs w:val="18"/>
                <w:color w:val="auto"/>
              </w:rPr>
              <w:t>forma net tangible book value per share to investors in this offering would be $</w:t>
            </w:r>
          </w:p>
        </w:tc>
        <w:tc>
          <w:tcPr>
            <w:tcW w:w="1500" w:type="dxa"/>
            <w:vAlign w:val="bottom"/>
          </w:tcPr>
          <w:p>
            <w:pPr>
              <w:ind w:left="400"/>
              <w:spacing w:after="0"/>
              <w:rPr>
                <w:sz w:val="20"/>
                <w:szCs w:val="20"/>
                <w:color w:val="auto"/>
              </w:rPr>
            </w:pPr>
            <w:r>
              <w:rPr>
                <w:rFonts w:ascii="Arial" w:cs="Arial" w:eastAsia="Arial" w:hAnsi="Arial"/>
                <w:sz w:val="18"/>
                <w:szCs w:val="18"/>
                <w:color w:val="auto"/>
              </w:rPr>
              <w:t>per share.</w:t>
            </w:r>
          </w:p>
        </w:tc>
        <w:tc>
          <w:tcPr>
            <w:tcW w:w="2860" w:type="dxa"/>
            <w:vAlign w:val="bottom"/>
          </w:tcPr>
          <w:p>
            <w:pPr>
              <w:spacing w:after="0"/>
              <w:rPr>
                <w:sz w:val="18"/>
                <w:szCs w:val="18"/>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100" w:firstLine="440"/>
        <w:spacing w:after="0" w:line="248" w:lineRule="auto"/>
        <w:rPr>
          <w:sz w:val="20"/>
          <w:szCs w:val="20"/>
          <w:color w:val="auto"/>
        </w:rPr>
      </w:pPr>
      <w:r>
        <w:rPr>
          <w:rFonts w:ascii="Arial" w:cs="Arial" w:eastAsia="Arial" w:hAnsi="Arial"/>
          <w:sz w:val="17"/>
          <w:szCs w:val="17"/>
          <w:color w:val="auto"/>
        </w:rPr>
        <w:t>The following table summarizes, on a pro forma as adjusted basis as of March 31, 2021, after giving effect to the pro forma adjustments described above, the difference between existing stockholders and new investors purchasing shares of common stock in this offering with respect to the number of shares purchased from us, the total consideration paid to us, and the average price per share paid</w:t>
      </w:r>
    </w:p>
    <w:p>
      <w:pPr>
        <w:spacing w:after="0" w:line="2"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by our existing stockholders or to be paid by investors purchasing shares in this offering at an assumed offering price of $ per share, which is the midpoint of the price range set forth on the cover page of this prospectus, before deducting the estimated underwriting discounts and commissions and estimated offering expenses: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4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Shares Purchased</w:t>
            </w:r>
          </w:p>
        </w:tc>
        <w:tc>
          <w:tcPr>
            <w:tcW w:w="600" w:type="dxa"/>
            <w:vAlign w:val="bottom"/>
          </w:tcPr>
          <w:p>
            <w:pPr>
              <w:spacing w:after="0"/>
              <w:rPr>
                <w:sz w:val="17"/>
                <w:szCs w:val="17"/>
                <w:color w:val="auto"/>
              </w:rPr>
            </w:pPr>
          </w:p>
        </w:tc>
        <w:tc>
          <w:tcPr>
            <w:tcW w:w="2340" w:type="dxa"/>
            <w:vAlign w:val="bottom"/>
            <w:gridSpan w:val="4"/>
            <w:vMerge w:val="restart"/>
          </w:tcPr>
          <w:p>
            <w:pPr>
              <w:jc w:val="right"/>
              <w:ind w:right="430"/>
              <w:spacing w:after="0"/>
              <w:rPr>
                <w:sz w:val="20"/>
                <w:szCs w:val="20"/>
                <w:color w:val="auto"/>
              </w:rPr>
            </w:pPr>
            <w:r>
              <w:rPr>
                <w:rFonts w:ascii="Arial" w:cs="Arial" w:eastAsia="Arial" w:hAnsi="Arial"/>
                <w:sz w:val="18"/>
                <w:szCs w:val="18"/>
                <w:b w:val="1"/>
                <w:bCs w:val="1"/>
                <w:color w:val="auto"/>
              </w:rPr>
              <w:t>Total Consideration</w:t>
            </w:r>
          </w:p>
        </w:tc>
        <w:tc>
          <w:tcPr>
            <w:tcW w:w="200" w:type="dxa"/>
            <w:vAlign w:val="bottom"/>
          </w:tcPr>
          <w:p>
            <w:pPr>
              <w:spacing w:after="0"/>
              <w:rPr>
                <w:sz w:val="17"/>
                <w:szCs w:val="17"/>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40" w:type="dxa"/>
            <w:vAlign w:val="bottom"/>
            <w:gridSpan w:val="3"/>
            <w:vMerge w:val="continue"/>
          </w:tcPr>
          <w:p>
            <w:pPr>
              <w:spacing w:after="0"/>
              <w:rPr>
                <w:sz w:val="18"/>
                <w:szCs w:val="18"/>
                <w:color w:val="auto"/>
              </w:rPr>
            </w:pPr>
          </w:p>
        </w:tc>
        <w:tc>
          <w:tcPr>
            <w:tcW w:w="600" w:type="dxa"/>
            <w:vAlign w:val="bottom"/>
          </w:tcPr>
          <w:p>
            <w:pPr>
              <w:spacing w:after="0"/>
              <w:rPr>
                <w:sz w:val="18"/>
                <w:szCs w:val="18"/>
                <w:color w:val="auto"/>
              </w:rPr>
            </w:pPr>
          </w:p>
        </w:tc>
        <w:tc>
          <w:tcPr>
            <w:tcW w:w="234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Price</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center"/>
              <w:ind w:right="60"/>
              <w:spacing w:after="0" w:line="173" w:lineRule="exact"/>
              <w:rPr>
                <w:sz w:val="20"/>
                <w:szCs w:val="20"/>
                <w:color w:val="auto"/>
              </w:rPr>
            </w:pPr>
            <w:r>
              <w:rPr>
                <w:rFonts w:ascii="Arial" w:cs="Arial" w:eastAsia="Arial" w:hAnsi="Arial"/>
                <w:sz w:val="18"/>
                <w:szCs w:val="18"/>
                <w:b w:val="1"/>
                <w:bCs w:val="1"/>
                <w:color w:val="auto"/>
              </w:rPr>
              <w:t>Per</w:t>
            </w:r>
          </w:p>
        </w:tc>
        <w:tc>
          <w:tcPr>
            <w:tcW w:w="0" w:type="dxa"/>
            <w:vAlign w:val="bottom"/>
          </w:tcPr>
          <w:p>
            <w:pPr>
              <w:spacing w:after="0"/>
              <w:rPr>
                <w:sz w:val="1"/>
                <w:szCs w:val="1"/>
                <w:color w:val="auto"/>
              </w:rPr>
            </w:pPr>
          </w:p>
        </w:tc>
      </w:tr>
      <w:tr>
        <w:trPr>
          <w:trHeight w:val="225"/>
        </w:trPr>
        <w:tc>
          <w:tcPr>
            <w:tcW w:w="35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Pr>
          <w:p>
            <w:pPr>
              <w:ind w:left="20"/>
              <w:spacing w:after="0"/>
              <w:rPr>
                <w:sz w:val="20"/>
                <w:szCs w:val="20"/>
                <w:color w:val="auto"/>
              </w:rPr>
            </w:pPr>
            <w:r>
              <w:rPr>
                <w:rFonts w:ascii="Arial" w:cs="Arial" w:eastAsia="Arial" w:hAnsi="Arial"/>
                <w:sz w:val="18"/>
                <w:szCs w:val="18"/>
                <w:b w:val="1"/>
                <w:bCs w:val="1"/>
                <w:color w:val="auto"/>
                <w:w w:val="96"/>
              </w:rPr>
              <w:t>Number</w:t>
            </w:r>
          </w:p>
        </w:tc>
        <w:tc>
          <w:tcPr>
            <w:tcW w:w="440" w:type="dxa"/>
            <w:vAlign w:val="bottom"/>
          </w:tcPr>
          <w:p>
            <w:pPr>
              <w:spacing w:after="0"/>
              <w:rPr>
                <w:sz w:val="19"/>
                <w:szCs w:val="19"/>
                <w:color w:val="auto"/>
              </w:rPr>
            </w:pPr>
          </w:p>
        </w:tc>
        <w:tc>
          <w:tcPr>
            <w:tcW w:w="700" w:type="dxa"/>
            <w:vAlign w:val="bottom"/>
          </w:tcPr>
          <w:p>
            <w:pPr>
              <w:ind w:left="20"/>
              <w:spacing w:after="0"/>
              <w:rPr>
                <w:sz w:val="20"/>
                <w:szCs w:val="20"/>
                <w:color w:val="auto"/>
              </w:rPr>
            </w:pPr>
            <w:r>
              <w:rPr>
                <w:rFonts w:ascii="Arial" w:cs="Arial" w:eastAsia="Arial" w:hAnsi="Arial"/>
                <w:sz w:val="18"/>
                <w:szCs w:val="18"/>
                <w:b w:val="1"/>
                <w:bCs w:val="1"/>
                <w:color w:val="auto"/>
                <w:w w:val="99"/>
              </w:rPr>
              <w:t>Percent</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440" w:type="dxa"/>
            <w:vAlign w:val="bottom"/>
          </w:tcPr>
          <w:p>
            <w:pPr>
              <w:spacing w:after="0"/>
              <w:rPr>
                <w:sz w:val="19"/>
                <w:szCs w:val="19"/>
                <w:color w:val="auto"/>
              </w:rPr>
            </w:pPr>
          </w:p>
        </w:tc>
        <w:tc>
          <w:tcPr>
            <w:tcW w:w="11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9"/>
              </w:rPr>
              <w:t>Percent</w:t>
            </w:r>
          </w:p>
        </w:tc>
        <w:tc>
          <w:tcPr>
            <w:tcW w:w="200" w:type="dxa"/>
            <w:vAlign w:val="bottom"/>
          </w:tcPr>
          <w:p>
            <w:pPr>
              <w:spacing w:after="0"/>
              <w:rPr>
                <w:sz w:val="19"/>
                <w:szCs w:val="19"/>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Share</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1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87"/>
              </w:rPr>
              <w:t>%</w:t>
            </w:r>
          </w:p>
        </w:tc>
        <w:tc>
          <w:tcPr>
            <w:tcW w:w="800" w:type="dxa"/>
            <w:vAlign w:val="bottom"/>
            <w:tcBorders>
              <w:top w:val="single" w:sz="8" w:color="auto"/>
            </w:tcBorders>
            <w:shd w:val="clear" w:color="auto" w:fill="CCEEFF"/>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87"/>
              </w:rPr>
              <w:t>%</w:t>
            </w: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spacing w:after="0" w:line="202" w:lineRule="exact"/>
              <w:rPr>
                <w:sz w:val="20"/>
                <w:szCs w:val="20"/>
                <w:color w:val="auto"/>
              </w:rPr>
            </w:pPr>
            <w:r>
              <w:rPr>
                <w:rFonts w:ascii="Arial" w:cs="Arial" w:eastAsia="Arial" w:hAnsi="Arial"/>
                <w:sz w:val="18"/>
                <w:szCs w:val="18"/>
                <w:color w:val="auto"/>
              </w:rPr>
              <w:t>New public investors</w:t>
            </w:r>
          </w:p>
        </w:tc>
        <w:tc>
          <w:tcPr>
            <w:tcW w:w="16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ind w:right="61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040" w:type="dxa"/>
            <w:vAlign w:val="bottom"/>
            <w:gridSpan w:val="5"/>
          </w:tcPr>
          <w:p>
            <w:pPr>
              <w:ind w:left="440"/>
              <w:spacing w:after="0"/>
              <w:rPr>
                <w:sz w:val="20"/>
                <w:szCs w:val="20"/>
                <w:color w:val="auto"/>
              </w:rPr>
            </w:pPr>
            <w:r>
              <w:rPr>
                <w:rFonts w:ascii="Arial" w:cs="Arial" w:eastAsia="Arial" w:hAnsi="Arial"/>
                <w:sz w:val="18"/>
                <w:szCs w:val="18"/>
                <w:color w:val="auto"/>
              </w:rPr>
              <w:t>A $1.00 increase (decrease) in the assumed initial public offering price of $</w:t>
            </w:r>
          </w:p>
        </w:tc>
        <w:tc>
          <w:tcPr>
            <w:tcW w:w="3980" w:type="dxa"/>
            <w:vAlign w:val="bottom"/>
            <w:gridSpan w:val="8"/>
          </w:tcPr>
          <w:p>
            <w:pPr>
              <w:ind w:left="140"/>
              <w:spacing w:after="0"/>
              <w:rPr>
                <w:sz w:val="20"/>
                <w:szCs w:val="20"/>
                <w:color w:val="auto"/>
              </w:rPr>
            </w:pPr>
            <w:r>
              <w:rPr>
                <w:rFonts w:ascii="Arial" w:cs="Arial" w:eastAsia="Arial" w:hAnsi="Arial"/>
                <w:sz w:val="18"/>
                <w:szCs w:val="18"/>
                <w:color w:val="auto"/>
              </w:rPr>
              <w:t>per share, which is the midpoint of the price</w:t>
            </w:r>
          </w:p>
        </w:tc>
        <w:tc>
          <w:tcPr>
            <w:tcW w:w="0" w:type="dxa"/>
            <w:vAlign w:val="bottom"/>
          </w:tcPr>
          <w:p>
            <w:pPr>
              <w:spacing w:after="0"/>
              <w:rPr>
                <w:sz w:val="1"/>
                <w:szCs w:val="1"/>
                <w:color w:val="auto"/>
              </w:rPr>
            </w:pPr>
          </w:p>
        </w:tc>
      </w:tr>
      <w:tr>
        <w:trPr>
          <w:trHeight w:val="203"/>
        </w:trPr>
        <w:tc>
          <w:tcPr>
            <w:tcW w:w="11020" w:type="dxa"/>
            <w:vAlign w:val="bottom"/>
            <w:gridSpan w:val="13"/>
          </w:tcPr>
          <w:p>
            <w:pPr>
              <w:spacing w:after="0" w:line="202" w:lineRule="exact"/>
              <w:rPr>
                <w:sz w:val="20"/>
                <w:szCs w:val="20"/>
                <w:color w:val="auto"/>
              </w:rPr>
            </w:pPr>
            <w:r>
              <w:rPr>
                <w:rFonts w:ascii="Arial" w:cs="Arial" w:eastAsia="Arial" w:hAnsi="Arial"/>
                <w:sz w:val="18"/>
                <w:szCs w:val="18"/>
                <w:color w:val="auto"/>
              </w:rPr>
              <w:t>range set forth on the cover page of this prospectus, would increase (decrease) total consideration paid by new investors and total</w:t>
            </w:r>
          </w:p>
        </w:tc>
        <w:tc>
          <w:tcPr>
            <w:tcW w:w="0" w:type="dxa"/>
            <w:vAlign w:val="bottom"/>
          </w:tcPr>
          <w:p>
            <w:pPr>
              <w:spacing w:after="0"/>
              <w:rPr>
                <w:sz w:val="1"/>
                <w:szCs w:val="1"/>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consideration paid by all stockholders by $</w:t>
            </w:r>
          </w:p>
        </w:tc>
        <w:tc>
          <w:tcPr>
            <w:tcW w:w="7440" w:type="dxa"/>
            <w:vAlign w:val="bottom"/>
            <w:gridSpan w:val="12"/>
          </w:tcPr>
          <w:p>
            <w:pPr>
              <w:ind w:left="200"/>
              <w:spacing w:after="0" w:line="202" w:lineRule="exact"/>
              <w:rPr>
                <w:sz w:val="20"/>
                <w:szCs w:val="20"/>
                <w:color w:val="auto"/>
              </w:rPr>
            </w:pPr>
            <w:r>
              <w:rPr>
                <w:rFonts w:ascii="Arial" w:cs="Arial" w:eastAsia="Arial" w:hAnsi="Arial"/>
                <w:sz w:val="18"/>
                <w:szCs w:val="18"/>
                <w:color w:val="auto"/>
              </w:rPr>
              <w:t>million, assuming that the number of shares offered by us, as set forth on the cover page</w:t>
            </w:r>
          </w:p>
        </w:tc>
        <w:tc>
          <w:tcPr>
            <w:tcW w:w="0" w:type="dxa"/>
            <w:vAlign w:val="bottom"/>
          </w:tcPr>
          <w:p>
            <w:pPr>
              <w:spacing w:after="0"/>
              <w:rPr>
                <w:sz w:val="1"/>
                <w:szCs w:val="1"/>
                <w:color w:val="auto"/>
              </w:rPr>
            </w:pPr>
          </w:p>
        </w:tc>
      </w:tr>
      <w:tr>
        <w:trPr>
          <w:trHeight w:val="217"/>
        </w:trPr>
        <w:tc>
          <w:tcPr>
            <w:tcW w:w="9980" w:type="dxa"/>
            <w:vAlign w:val="bottom"/>
            <w:gridSpan w:val="10"/>
          </w:tcPr>
          <w:p>
            <w:pPr>
              <w:spacing w:after="0"/>
              <w:rPr>
                <w:sz w:val="20"/>
                <w:szCs w:val="20"/>
                <w:color w:val="auto"/>
              </w:rPr>
            </w:pPr>
            <w:r>
              <w:rPr>
                <w:rFonts w:ascii="Arial" w:cs="Arial" w:eastAsia="Arial" w:hAnsi="Arial"/>
                <w:sz w:val="18"/>
                <w:szCs w:val="18"/>
                <w:color w:val="auto"/>
              </w:rPr>
              <w:t>of this prospectus remains the same and after deducting the estimated underwriting discounts and commissions.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our common stock. If the underwriters exercise their option to purchase additional shares of our common stock in full, our existing stockholders would own % and our new investors would own % of the total number of shares of our common stock and non-voting common stock outstanding after this offering.</w:t>
      </w:r>
    </w:p>
    <w:p>
      <w:pPr>
        <w:spacing w:after="0" w:line="164"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In addition, to the extent we issue any additional stock options or any outstanding stock options or warrants are exercised, or we issue any other securities or convertible debt in the future, investors will experience further dilution.</w:t>
      </w:r>
    </w:p>
    <w:p>
      <w:pPr>
        <w:spacing w:after="0" w:line="156" w:lineRule="exact"/>
        <w:rPr>
          <w:sz w:val="20"/>
          <w:szCs w:val="20"/>
          <w:color w:val="auto"/>
        </w:rPr>
      </w:pPr>
    </w:p>
    <w:p>
      <w:pPr>
        <w:ind w:left="120" w:right="500" w:firstLine="440"/>
        <w:spacing w:after="0" w:line="248" w:lineRule="auto"/>
        <w:rPr>
          <w:sz w:val="20"/>
          <w:szCs w:val="20"/>
          <w:color w:val="auto"/>
        </w:rPr>
      </w:pPr>
      <w:r>
        <w:rPr>
          <w:rFonts w:ascii="Arial" w:cs="Arial" w:eastAsia="Arial" w:hAnsi="Arial"/>
          <w:sz w:val="17"/>
          <w:szCs w:val="17"/>
          <w:color w:val="auto"/>
        </w:rPr>
        <w:t>The number of shares of our common stock and non-voting common stock to be outstanding after this offering is based on 30,366,853 shares of our common stock outstanding as of March 31, 2021, assuming the conversion of all outstanding shares of our</w:t>
      </w:r>
    </w:p>
    <w:p>
      <w:pPr>
        <w:spacing w:after="0" w:line="1" w:lineRule="exact"/>
        <w:rPr>
          <w:sz w:val="20"/>
          <w:szCs w:val="20"/>
          <w:color w:val="auto"/>
        </w:rPr>
      </w:pPr>
    </w:p>
    <w:p>
      <w:pPr>
        <w:ind w:left="120"/>
        <w:spacing w:after="0"/>
        <w:tabs>
          <w:tab w:leader="none" w:pos="2520" w:val="left"/>
          <w:tab w:leader="none" w:pos="5620" w:val="left"/>
        </w:tabs>
        <w:rPr>
          <w:sz w:val="20"/>
          <w:szCs w:val="20"/>
          <w:color w:val="auto"/>
        </w:rPr>
      </w:pPr>
      <w:r>
        <w:rPr>
          <w:rFonts w:ascii="Arial" w:cs="Arial" w:eastAsia="Arial" w:hAnsi="Arial"/>
          <w:sz w:val="18"/>
          <w:szCs w:val="18"/>
          <w:color w:val="auto"/>
        </w:rPr>
        <w:t>preferred stock (of which</w:t>
      </w:r>
      <w:r>
        <w:rPr>
          <w:sz w:val="20"/>
          <w:szCs w:val="20"/>
          <w:color w:val="auto"/>
        </w:rPr>
        <w:tab/>
      </w:r>
      <w:r>
        <w:rPr>
          <w:rFonts w:ascii="Arial" w:cs="Arial" w:eastAsia="Arial" w:hAnsi="Arial"/>
          <w:sz w:val="18"/>
          <w:szCs w:val="18"/>
          <w:color w:val="auto"/>
        </w:rPr>
        <w:t>shares will be common stock and</w:t>
      </w:r>
      <w:r>
        <w:rPr>
          <w:sz w:val="20"/>
          <w:szCs w:val="20"/>
          <w:color w:val="auto"/>
        </w:rPr>
        <w:tab/>
      </w:r>
      <w:r>
        <w:rPr>
          <w:rFonts w:ascii="Arial" w:cs="Arial" w:eastAsia="Arial" w:hAnsi="Arial"/>
          <w:sz w:val="17"/>
          <w:szCs w:val="17"/>
          <w:color w:val="auto"/>
        </w:rPr>
        <w:t>shares will be non-voting common stock) and excludes the following:</w:t>
      </w:r>
    </w:p>
    <w:p>
      <w:pPr>
        <w:spacing w:after="0" w:line="212" w:lineRule="exact"/>
        <w:rPr>
          <w:sz w:val="20"/>
          <w:szCs w:val="20"/>
          <w:color w:val="auto"/>
        </w:rPr>
      </w:pPr>
    </w:p>
    <w:p>
      <w:pPr>
        <w:ind w:left="880" w:right="380" w:hanging="224"/>
        <w:spacing w:after="0" w:line="24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5,498,741 shares of our common stock issuable upon the exercise of stock options outstanding as of March 31, 2021, with a weighted-average exercise price of $8.88 per share under our 2009 Plan and our 2018 Plan;</w:t>
      </w:r>
    </w:p>
    <w:p>
      <w:pPr>
        <w:spacing w:after="0" w:line="196"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343,500 shares of our common stock issuable upon the exercise of stock options granted after March 31, 2021, with a weighted-average exercise price of $50.45 per share under our 2018 Plan;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46"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0" w:hanging="224"/>
        <w:spacing w:after="0" w:line="24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25,000 shares of our common stock issuable upon the exercise of outstanding warrants to purchase common stock outstanding as of March 31, 2021, with an exercise price of $0.50 per share;</w:t>
      </w:r>
    </w:p>
    <w:p>
      <w:pPr>
        <w:spacing w:after="0" w:line="196" w:lineRule="exact"/>
        <w:rPr>
          <w:rFonts w:ascii="Arial" w:cs="Arial" w:eastAsia="Arial" w:hAnsi="Arial"/>
          <w:sz w:val="18"/>
          <w:szCs w:val="18"/>
          <w:color w:val="auto"/>
        </w:rPr>
      </w:pPr>
    </w:p>
    <w:p>
      <w:pPr>
        <w:ind w:left="880" w:right="280" w:hanging="224"/>
        <w:spacing w:after="0" w:line="261" w:lineRule="auto"/>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127,000 shares of our common stock issuable upon the exercise of outstanding warrants to purchase shares of our Series C preferred stock outstanding as of March 31, 2021, with an exercise price of $4.44 per share, which will become warrants to purchase shares of our common stock at an exercise price of $4.44 per share in connection with the closing of this offering;</w:t>
      </w:r>
    </w:p>
    <w:p>
      <w:pPr>
        <w:spacing w:after="0" w:line="185" w:lineRule="exact"/>
        <w:rPr>
          <w:rFonts w:ascii="Arial" w:cs="Arial" w:eastAsia="Arial" w:hAnsi="Arial"/>
          <w:sz w:val="17"/>
          <w:szCs w:val="17"/>
          <w:color w:val="auto"/>
        </w:rPr>
      </w:pPr>
    </w:p>
    <w:p>
      <w:pPr>
        <w:jc w:val="both"/>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548,486 shares of our common stock reserved for future issuance under our 2018 Plan, as of March 31, 2021, which shares will be added to the shares to be reserved under our 2021 Plan, at the time our 2021 Plan becomes effective in connection with this offering;</w:t>
      </w:r>
    </w:p>
    <w:p>
      <w:pPr>
        <w:spacing w:after="0" w:line="202" w:lineRule="exact"/>
        <w:rPr>
          <w:rFonts w:ascii="Arial" w:cs="Arial" w:eastAsia="Arial" w:hAnsi="Arial"/>
          <w:sz w:val="18"/>
          <w:szCs w:val="18"/>
          <w:color w:val="auto"/>
        </w:rPr>
      </w:pPr>
    </w:p>
    <w:p>
      <w:pPr>
        <w:ind w:left="880" w:right="20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9,201,156 shares of our common stock that will become available for future issuance under our 2021 Plan, which will become effective upon the effectiveness of the registration statement of which this prospectus forms a part, as well as any automatic increases in the number of shares of common stock reserved for future issuance under the 2021 Plan; and</w:t>
      </w:r>
    </w:p>
    <w:p>
      <w:pPr>
        <w:spacing w:after="0" w:line="202" w:lineRule="exact"/>
        <w:rPr>
          <w:rFonts w:ascii="Arial" w:cs="Arial" w:eastAsia="Arial" w:hAnsi="Arial"/>
          <w:sz w:val="18"/>
          <w:szCs w:val="18"/>
          <w:color w:val="auto"/>
        </w:rPr>
      </w:pPr>
    </w:p>
    <w:p>
      <w:pPr>
        <w:ind w:left="880" w:right="34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1,639,810 shares of our common stock that will become available for future issuance under our ESPP, which will become effective upon the effectiveness of the registration statement of which this prospectus forms a part, as well as any automatic increases in the number of shares of common stock reserved for future issuance under the ESPP.</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40"/>
          </w:cols>
          <w:pgMar w:left="320" w:top="459" w:right="5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07"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following tables present selected historical consolidated financial data for our business. We derived the selected consolidated statements of operations data for the fiscal years ended December 31, 2019 and 2020 and the consolidated balance sheet data as of December 31, 2019 and 2020 from our audited consolidated financial statements that are included elsewhere in this prospectus. The selected consolidated statement of operations data for the three months ended March 31, 2020 and 2021, and the consolidated balance sheet data as of March 31, 2021, have been derived from our unaudited condensed consolidated financial statements and related notes thereto appearing elsewhere in this prospectus. Our unaudited condensed consolidated financial statements have been prepared on the same basis as our audited consolidated financial statements and, in the opinion of management, reflect all adjustments, which consist only of normal recurring adjustments, necessary for the fair statement of those unaudited condensed consolidated financial statements. On February 13, 2020, we acquired Simplee for total consideration valued at $86.5 million including $79.4 million of cash consideration, net of cash acquired, and the estimated fair value of contingent consideration of $7.1 million. Our consolidated financial statements included the results of operations of Simplee and estimated fair values of assets acquired and liabilities assumed commencing as of the acquisition date. Our historical results are not necessarily indicative of the results that may be expected for any other period in the future. You should read this information in conjunction with the section titled “Management’s Discussion and Analysis of Financial Condition and Results of Operations”, our unaudited condensed consolidated financial statements and related notes and our consolidated financial statements, the accompanying notes, and other financial information included elsewhere in this prospectus.</w:t>
      </w:r>
    </w:p>
    <w:p>
      <w:pPr>
        <w:spacing w:after="0" w:line="66"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40" w:type="dxa"/>
            <w:vAlign w:val="bottom"/>
            <w:gridSpan w:val="13"/>
          </w:tcPr>
          <w:p>
            <w:pPr>
              <w:jc w:val="right"/>
              <w:ind w:right="251"/>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Operations Data: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94,918</w:t>
            </w:r>
          </w:p>
        </w:tc>
        <w:tc>
          <w:tcPr>
            <w:tcW w:w="24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131,783</w:t>
            </w:r>
          </w:p>
        </w:tc>
        <w:tc>
          <w:tcPr>
            <w:tcW w:w="1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32,709</w:t>
            </w:r>
          </w:p>
        </w:tc>
        <w:tc>
          <w:tcPr>
            <w:tcW w:w="1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44,991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Costs and operating expenses:</w:t>
            </w:r>
            <w:r>
              <w:rPr>
                <w:rFonts w:ascii="Arial" w:cs="Arial" w:eastAsia="Arial" w:hAnsi="Arial"/>
                <w:sz w:val="15"/>
                <w:szCs w:val="15"/>
                <w:color w:val="auto"/>
              </w:rPr>
              <w:t>(1)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340"/>
              <w:spacing w:after="0" w:line="202" w:lineRule="exact"/>
              <w:rPr>
                <w:sz w:val="20"/>
                <w:szCs w:val="20"/>
                <w:color w:val="auto"/>
              </w:rPr>
            </w:pPr>
            <w:r>
              <w:rPr>
                <w:rFonts w:ascii="Arial" w:cs="Arial" w:eastAsia="Arial" w:hAnsi="Arial"/>
                <w:sz w:val="18"/>
                <w:szCs w:val="18"/>
                <w:color w:val="auto"/>
              </w:rPr>
              <w:t>Payment processing services costs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36,726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47,805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11,609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16,091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Technology and development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24,501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5,348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340"/>
              <w:spacing w:after="0" w:line="202" w:lineRule="exact"/>
              <w:rPr>
                <w:sz w:val="20"/>
                <w:szCs w:val="20"/>
                <w:color w:val="auto"/>
              </w:rPr>
            </w:pPr>
            <w:r>
              <w:rPr>
                <w:rFonts w:ascii="Arial" w:cs="Arial" w:eastAsia="Arial" w:hAnsi="Arial"/>
                <w:sz w:val="18"/>
                <w:szCs w:val="18"/>
                <w:color w:val="auto"/>
              </w:rPr>
              <w:t>Selling and marketing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26,606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32,612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8,577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11,931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34,035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42,680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10,265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15,914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700"/>
              <w:spacing w:after="0"/>
              <w:rPr>
                <w:sz w:val="20"/>
                <w:szCs w:val="20"/>
                <w:color w:val="auto"/>
              </w:rPr>
            </w:pPr>
            <w:r>
              <w:rPr>
                <w:rFonts w:ascii="Arial" w:cs="Arial" w:eastAsia="Arial" w:hAnsi="Arial"/>
                <w:sz w:val="18"/>
                <w:szCs w:val="18"/>
                <w:color w:val="auto"/>
              </w:rPr>
              <w:t>Total costs and operating expenses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112,375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147,598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35,799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(17,457)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(15,815)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(3,090)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210"/>
        </w:trPr>
        <w:tc>
          <w:tcPr>
            <w:tcW w:w="61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(2,459)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(2,533)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34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700"/>
              <w:spacing w:after="0"/>
              <w:rPr>
                <w:sz w:val="20"/>
                <w:szCs w:val="20"/>
                <w:color w:val="auto"/>
              </w:rPr>
            </w:pPr>
            <w:r>
              <w:rPr>
                <w:rFonts w:ascii="Arial" w:cs="Arial" w:eastAsia="Arial" w:hAnsi="Arial"/>
                <w:sz w:val="18"/>
                <w:szCs w:val="18"/>
                <w:color w:val="auto"/>
              </w:rPr>
              <w:t>Total other expenses,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(19,566)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(18,276)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340"/>
              <w:spacing w:after="0" w:line="202" w:lineRule="exact"/>
              <w:rPr>
                <w:sz w:val="20"/>
                <w:szCs w:val="20"/>
                <w:color w:val="auto"/>
              </w:rPr>
            </w:pPr>
            <w:r>
              <w:rPr>
                <w:rFonts w:ascii="Arial" w:cs="Arial" w:eastAsia="Arial" w:hAnsi="Arial"/>
                <w:sz w:val="18"/>
                <w:szCs w:val="18"/>
                <w:color w:val="auto"/>
              </w:rPr>
              <w:t>Provision for (benefit from) income taxes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550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(7,169)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(7,681)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(20,116)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(11,107)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stockholders - basic and 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(20,116)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(11,121)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781</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 attributable to common stockholders - basic</w:t>
            </w:r>
            <w:r>
              <w:rPr>
                <w:rFonts w:ascii="Arial" w:cs="Arial" w:eastAsia="Arial" w:hAnsi="Arial"/>
                <w:sz w:val="15"/>
                <w:szCs w:val="15"/>
                <w:color w:val="auto"/>
              </w:rPr>
              <w:t>(2)</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(3.76)</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(1.81)</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attributable to common stockholders - diluted</w:t>
            </w:r>
            <w:r>
              <w:rPr>
                <w:rFonts w:ascii="Arial" w:cs="Arial" w:eastAsia="Arial" w:hAnsi="Arial"/>
                <w:sz w:val="15"/>
                <w:szCs w:val="15"/>
                <w:color w:val="auto"/>
              </w:rPr>
              <w:t>(2)</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gridSpan w:val="2"/>
            <w:vMerge w:val="continue"/>
          </w:tcPr>
          <w:p>
            <w:pPr>
              <w:spacing w:after="0"/>
              <w:rPr>
                <w:sz w:val="17"/>
                <w:szCs w:val="17"/>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(3.76)</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(1.81)</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0.09</w:t>
            </w:r>
          </w:p>
        </w:tc>
        <w:tc>
          <w:tcPr>
            <w:tcW w:w="180" w:type="dxa"/>
            <w:vAlign w:val="bottom"/>
          </w:tcPr>
          <w:p>
            <w:pPr>
              <w:spacing w:after="0"/>
              <w:rPr>
                <w:sz w:val="17"/>
                <w:szCs w:val="17"/>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jc w:val="right"/>
              <w:ind w:right="79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15"/>
                <w:szCs w:val="15"/>
                <w:color w:val="auto"/>
              </w:rPr>
            </w:pPr>
          </w:p>
        </w:tc>
        <w:tc>
          <w:tcPr>
            <w:tcW w:w="23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gridSpan w:val="3"/>
          </w:tcPr>
          <w:p>
            <w:pPr>
              <w:jc w:val="center"/>
              <w:ind w:left="719"/>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26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260" w:type="dxa"/>
            <w:vAlign w:val="bottom"/>
          </w:tcPr>
          <w:p>
            <w:pPr>
              <w:spacing w:after="0"/>
              <w:rPr>
                <w:sz w:val="14"/>
                <w:szCs w:val="14"/>
                <w:color w:val="auto"/>
              </w:rPr>
            </w:pPr>
          </w:p>
        </w:tc>
        <w:tc>
          <w:tcPr>
            <w:tcW w:w="4680" w:type="dxa"/>
            <w:vAlign w:val="bottom"/>
            <w:gridSpan w:val="8"/>
          </w:tcPr>
          <w:p>
            <w:pPr>
              <w:jc w:val="right"/>
              <w:ind w:right="616"/>
              <w:spacing w:after="0"/>
              <w:rPr>
                <w:sz w:val="20"/>
                <w:szCs w:val="20"/>
                <w:color w:val="auto"/>
              </w:rPr>
            </w:pPr>
            <w:r>
              <w:rPr>
                <w:rFonts w:ascii="Arial" w:cs="Arial" w:eastAsia="Arial" w:hAnsi="Arial"/>
                <w:sz w:val="14"/>
                <w:szCs w:val="14"/>
                <w:b w:val="1"/>
                <w:bCs w:val="1"/>
                <w:color w:val="auto"/>
              </w:rPr>
              <w:t>(in thousands, except share and per share data)</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 basic</w:t>
            </w:r>
            <w:r>
              <w:rPr>
                <w:rFonts w:ascii="Arial" w:cs="Arial" w:eastAsia="Arial" w:hAnsi="Arial"/>
                <w:sz w:val="15"/>
                <w:szCs w:val="15"/>
                <w:color w:val="auto"/>
              </w:rPr>
              <w:t>(2)</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5,355,696</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6,129,966</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5,837,773</w:t>
            </w:r>
          </w:p>
        </w:tc>
        <w:tc>
          <w:tcPr>
            <w:tcW w:w="3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7,033,359</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 diluted</w:t>
            </w:r>
            <w:r>
              <w:rPr>
                <w:rFonts w:ascii="Arial" w:cs="Arial" w:eastAsia="Arial" w:hAnsi="Arial"/>
                <w:sz w:val="15"/>
                <w:szCs w:val="15"/>
                <w:color w:val="auto"/>
              </w:rPr>
              <w:t>(2)</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vMerge w:val="continue"/>
          </w:tcPr>
          <w:p>
            <w:pPr>
              <w:spacing w:after="0"/>
              <w:rPr>
                <w:sz w:val="17"/>
                <w:szCs w:val="17"/>
                <w:color w:val="auto"/>
              </w:rPr>
            </w:pPr>
          </w:p>
        </w:tc>
        <w:tc>
          <w:tcPr>
            <w:tcW w:w="11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5,355,696</w:t>
            </w:r>
          </w:p>
        </w:tc>
        <w:tc>
          <w:tcPr>
            <w:tcW w:w="12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6,129,966</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9,083,204</w:t>
            </w:r>
          </w:p>
        </w:tc>
        <w:tc>
          <w:tcPr>
            <w:tcW w:w="320" w:type="dxa"/>
            <w:vAlign w:val="bottom"/>
          </w:tcPr>
          <w:p>
            <w:pPr>
              <w:spacing w:after="0"/>
              <w:rPr>
                <w:sz w:val="17"/>
                <w:szCs w:val="17"/>
                <w:color w:val="auto"/>
              </w:rPr>
            </w:pPr>
          </w:p>
        </w:tc>
        <w:tc>
          <w:tcPr>
            <w:tcW w:w="8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w w:val="97"/>
              </w:rPr>
              <w:t>7,033,359</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26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Pro forma net loss per share attributable to common stockholders - basic and</w:t>
            </w: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6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(3)</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75"/>
              <w:spacing w:after="0" w:line="206"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300" w:right="5060" w:hanging="179"/>
        <w:spacing w:after="0" w:line="246" w:lineRule="auto"/>
        <w:rPr>
          <w:sz w:val="20"/>
          <w:szCs w:val="20"/>
          <w:color w:val="auto"/>
        </w:rPr>
      </w:pPr>
      <w:r>
        <w:rPr>
          <w:rFonts w:ascii="Arial" w:cs="Arial" w:eastAsia="Arial" w:hAnsi="Arial"/>
          <w:sz w:val="18"/>
          <w:szCs w:val="18"/>
          <w:color w:val="auto"/>
        </w:rPr>
        <w:t>Pro forma weighted average common stock outstanding - basic and diluted (unaudited)</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-10795</wp:posOffset>
            </wp:positionV>
            <wp:extent cx="6769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691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5715</wp:posOffset>
            </wp:positionV>
            <wp:extent cx="6769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691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-10795</wp:posOffset>
            </wp:positionV>
            <wp:extent cx="7112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5715</wp:posOffset>
            </wp:positionV>
            <wp:extent cx="7112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7715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9"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 (in thousands):</w:t>
      </w:r>
    </w:p>
    <w:p>
      <w:pPr>
        <w:spacing w:after="0" w:line="105"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Year Ended</w:t>
            </w:r>
          </w:p>
        </w:tc>
        <w:tc>
          <w:tcPr>
            <w:tcW w:w="160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65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3"/>
                <w:szCs w:val="13"/>
                <w:color w:val="auto"/>
              </w:rPr>
            </w:pPr>
          </w:p>
        </w:tc>
      </w:tr>
      <w:tr>
        <w:trPr>
          <w:trHeight w:val="155"/>
        </w:trPr>
        <w:tc>
          <w:tcPr>
            <w:tcW w:w="65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Technology and development</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640</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440"/>
              <w:spacing w:after="0" w:line="155" w:lineRule="exact"/>
              <w:rPr>
                <w:sz w:val="20"/>
                <w:szCs w:val="20"/>
                <w:color w:val="auto"/>
              </w:rPr>
            </w:pPr>
            <w:r>
              <w:rPr>
                <w:rFonts w:ascii="Arial" w:cs="Arial" w:eastAsia="Arial" w:hAnsi="Arial"/>
                <w:sz w:val="14"/>
                <w:szCs w:val="14"/>
                <w:color w:val="auto"/>
              </w:rPr>
              <w:t>766</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163</w:t>
            </w:r>
          </w:p>
        </w:tc>
        <w:tc>
          <w:tcPr>
            <w:tcW w:w="5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1,085</w:t>
            </w:r>
          </w:p>
        </w:tc>
      </w:t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Selling and marketing</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905</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1,275</w:t>
            </w:r>
          </w:p>
        </w:tc>
        <w:tc>
          <w:tcPr>
            <w:tcW w:w="1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251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2 ,644</w:t>
            </w:r>
          </w:p>
        </w:tc>
      </w:tr>
      <w:tr>
        <w:trPr>
          <w:trHeight w:val="162"/>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6 ,635</w:t>
            </w:r>
          </w:p>
        </w:tc>
      </w:tr>
      <w:tr>
        <w:trPr>
          <w:trHeight w:val="20"/>
        </w:trPr>
        <w:tc>
          <w:tcPr>
            <w:tcW w:w="6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6580" w:type="dxa"/>
            <w:vAlign w:val="bottom"/>
          </w:tcPr>
          <w:p>
            <w:pPr>
              <w:ind w:left="280"/>
              <w:spacing w:after="0"/>
              <w:rPr>
                <w:sz w:val="20"/>
                <w:szCs w:val="20"/>
                <w:color w:val="auto"/>
              </w:rPr>
            </w:pPr>
            <w:r>
              <w:rPr>
                <w:rFonts w:ascii="Arial" w:cs="Arial" w:eastAsia="Arial" w:hAnsi="Arial"/>
                <w:sz w:val="14"/>
                <w:szCs w:val="14"/>
                <w:color w:val="auto"/>
              </w:rPr>
              <w:t>Total stock-based compensation expense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2,949</w:t>
            </w:r>
          </w:p>
        </w:tc>
        <w:tc>
          <w:tcPr>
            <w:tcW w:w="4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3,844</w:t>
            </w:r>
          </w:p>
        </w:tc>
        <w:tc>
          <w:tcPr>
            <w:tcW w:w="4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835</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10,364</w:t>
            </w:r>
          </w:p>
        </w:tc>
      </w:tr>
      <w:tr>
        <w:trPr>
          <w:trHeight w:val="20"/>
        </w:trPr>
        <w:tc>
          <w:tcPr>
            <w:tcW w:w="6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0" w:lineRule="exact"/>
        <w:rPr>
          <w:sz w:val="20"/>
          <w:szCs w:val="20"/>
          <w:color w:val="auto"/>
        </w:rPr>
      </w:pPr>
    </w:p>
    <w:p>
      <w:pPr>
        <w:ind w:left="540" w:right="180" w:hanging="424"/>
        <w:spacing w:after="0" w:line="241"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See Note 2 and Note 16 to our consolidated financial statements included elsewhere in this prospectus for an explanation of the method used to calculate basic and diluted net loss per share attributable to common stockholders, and the weighted-average number of shares used in the computation of the per share amounts. For the computation of per share amounts, common stockholders include holders of common stock and nonvoting common stock and common stock outstanding and weighted average common shares include common stock and nonvoting common stock.</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Unaudited pro forma basic and diluted net loss per share attributable to common stockholders for the year ended December 31, 2020 and the three months ended</w:t>
      </w:r>
    </w:p>
    <w:p>
      <w:pPr>
        <w:spacing w:after="0" w:line="163" w:lineRule="exact"/>
        <w:rPr>
          <w:sz w:val="20"/>
          <w:szCs w:val="20"/>
          <w:color w:val="auto"/>
        </w:rPr>
      </w:pPr>
    </w:p>
    <w:p>
      <w:pPr>
        <w:ind w:left="540" w:right="200"/>
        <w:spacing w:after="0" w:line="241" w:lineRule="auto"/>
        <w:rPr>
          <w:sz w:val="20"/>
          <w:szCs w:val="20"/>
          <w:color w:val="auto"/>
        </w:rPr>
      </w:pPr>
      <w:r>
        <w:rPr>
          <w:rFonts w:ascii="Arial" w:cs="Arial" w:eastAsia="Arial" w:hAnsi="Arial"/>
          <w:sz w:val="14"/>
          <w:szCs w:val="14"/>
          <w:color w:val="auto"/>
        </w:rPr>
        <w:t>March 31, 2021 have been prepared to give effect to (i) the conversion of all outstanding convertible preferred stock into shares of common stock immediately prior to the completion of this offering and (ii) the conversion of all outstanding redeemable convertible preferred stock into shares of common stock and shares of non-voting common stock immediately prior to the completion of this offering. As we are in a loss position, the warrants for the purchase of common stock, warrants for the purchase of convertible preferred stock, shares of restricted stock awards, and outstanding options would be</w:t>
      </w:r>
    </w:p>
    <w:p>
      <w:pPr>
        <w:spacing w:after="0" w:line="1" w:lineRule="exact"/>
        <w:rPr>
          <w:sz w:val="20"/>
          <w:szCs w:val="20"/>
          <w:color w:val="auto"/>
        </w:rPr>
      </w:pPr>
    </w:p>
    <w:p>
      <w:pPr>
        <w:ind w:left="540" w:right="40"/>
        <w:spacing w:after="0" w:line="249" w:lineRule="auto"/>
        <w:rPr>
          <w:sz w:val="20"/>
          <w:szCs w:val="20"/>
          <w:color w:val="auto"/>
        </w:rPr>
      </w:pPr>
      <w:r>
        <w:rPr>
          <w:rFonts w:ascii="Arial" w:cs="Arial" w:eastAsia="Arial" w:hAnsi="Arial"/>
          <w:sz w:val="14"/>
          <w:szCs w:val="14"/>
          <w:color w:val="auto"/>
        </w:rPr>
        <w:t>antidilutive and therefore have been excluded from the computation of pro forma diluted net loss per share attributable to common stockholders and non-voting common stockholders. For the computation of per share amounts, common stockholders include holders of common stock and nonvoting common stock and common stock outstanding and weighted average common shares include common stock and nonvoting common stock.</w:t>
      </w:r>
    </w:p>
    <w:p>
      <w:pPr>
        <w:spacing w:after="0" w:line="93" w:lineRule="exact"/>
        <w:rPr>
          <w:sz w:val="20"/>
          <w:szCs w:val="20"/>
          <w:color w:val="auto"/>
        </w:rPr>
      </w:pPr>
    </w:p>
    <w:p>
      <w:pPr>
        <w:ind w:left="560" w:right="40"/>
        <w:spacing w:after="0" w:line="247" w:lineRule="auto"/>
        <w:rPr>
          <w:sz w:val="20"/>
          <w:szCs w:val="20"/>
          <w:color w:val="auto"/>
        </w:rPr>
      </w:pPr>
      <w:r>
        <w:rPr>
          <w:rFonts w:ascii="Arial" w:cs="Arial" w:eastAsia="Arial" w:hAnsi="Arial"/>
          <w:sz w:val="14"/>
          <w:szCs w:val="14"/>
          <w:color w:val="auto"/>
        </w:rPr>
        <w:t>The unaudited pro forma net loss per share attributable to common stockholders and non-voting common stockholders was computed using the weighted average number of shares of common stock and non-voting common stock outstanding, including the pro forma effect of the aforementioned (i) conversion of all outstanding shares of convertible preferred stock into shares of common stock, and (ii) conversion of all outstanding shares of redeemable convertible preferred stock into shares of common stock and non-voting common stock as if such conversion had occurred at the beginning of the respective reporting period, or their issuance dates, if later.</w:t>
      </w:r>
    </w:p>
    <w:p>
      <w:pPr>
        <w:spacing w:after="0" w:line="93" w:lineRule="exact"/>
        <w:rPr>
          <w:sz w:val="20"/>
          <w:szCs w:val="20"/>
          <w:color w:val="auto"/>
        </w:rPr>
      </w:pPr>
    </w:p>
    <w:p>
      <w:pPr>
        <w:ind w:left="560" w:right="40"/>
        <w:spacing w:after="0" w:line="249" w:lineRule="auto"/>
        <w:rPr>
          <w:sz w:val="20"/>
          <w:szCs w:val="20"/>
          <w:color w:val="auto"/>
        </w:rPr>
      </w:pPr>
      <w:r>
        <w:rPr>
          <w:rFonts w:ascii="Arial" w:cs="Arial" w:eastAsia="Arial" w:hAnsi="Arial"/>
          <w:sz w:val="14"/>
          <w:szCs w:val="14"/>
          <w:color w:val="auto"/>
        </w:rPr>
        <w:t>The following table sets forth the computation of unaudited pro forma basic and diluted net loss per share attributable to common stockholders and non-voting common stockholders giving effect to the aforementioned (i) conversion of all outstanding shares of convertible preferred stock into shares of common stock, and (ii) conversion of all outstanding shares of redeemable convertible preferred stock into shares of common stock and non-voting common stock, for the periods presented:</w:t>
      </w:r>
    </w:p>
    <w:p>
      <w:pPr>
        <w:spacing w:after="0" w:line="88"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Arial" w:cs="Arial" w:eastAsia="Arial" w:hAnsi="Arial"/>
                <w:sz w:val="14"/>
                <w:szCs w:val="14"/>
                <w:b w:val="1"/>
                <w:bCs w:val="1"/>
                <w:color w:val="auto"/>
              </w:rPr>
              <w:t>Year Ended</w:t>
            </w:r>
          </w:p>
        </w:tc>
        <w:tc>
          <w:tcPr>
            <w:tcW w:w="124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12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4"/>
                <w:szCs w:val="14"/>
                <w:b w:val="1"/>
                <w:bCs w:val="1"/>
                <w:color w:val="auto"/>
              </w:rPr>
              <w:t>December 31, 2020</w:t>
            </w:r>
          </w:p>
        </w:tc>
        <w:tc>
          <w:tcPr>
            <w:tcW w:w="1240" w:type="dxa"/>
            <w:vAlign w:val="bottom"/>
          </w:tcPr>
          <w:p>
            <w:pPr>
              <w:spacing w:after="0"/>
              <w:rPr>
                <w:sz w:val="15"/>
                <w:szCs w:val="15"/>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2021</w:t>
            </w:r>
          </w:p>
        </w:tc>
      </w:tr>
      <w:tr>
        <w:trPr>
          <w:trHeight w:val="142"/>
        </w:trPr>
        <w:tc>
          <w:tcPr>
            <w:tcW w:w="6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Numerator:</w:t>
            </w:r>
          </w:p>
        </w:tc>
        <w:tc>
          <w:tcPr>
            <w:tcW w:w="13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2"/>
        </w:trPr>
        <w:tc>
          <w:tcPr>
            <w:tcW w:w="6120" w:type="dxa"/>
            <w:vAlign w:val="bottom"/>
          </w:tcPr>
          <w:p>
            <w:pPr>
              <w:ind w:left="280"/>
              <w:spacing w:after="0"/>
              <w:rPr>
                <w:sz w:val="20"/>
                <w:szCs w:val="20"/>
                <w:color w:val="auto"/>
              </w:rPr>
            </w:pPr>
            <w:r>
              <w:rPr>
                <w:rFonts w:ascii="Arial" w:cs="Arial" w:eastAsia="Arial" w:hAnsi="Arial"/>
                <w:sz w:val="14"/>
                <w:szCs w:val="14"/>
                <w:color w:val="auto"/>
              </w:rPr>
              <w:t>Pro forma net loss attributable to common stockholders</w:t>
            </w:r>
          </w:p>
        </w:tc>
        <w:tc>
          <w:tcPr>
            <w:tcW w:w="1300" w:type="dxa"/>
            <w:vAlign w:val="bottom"/>
          </w:tcPr>
          <w:p>
            <w:pPr>
              <w:spacing w:after="0"/>
              <w:rPr>
                <w:sz w:val="20"/>
                <w:szCs w:val="20"/>
                <w:color w:val="auto"/>
              </w:rPr>
            </w:pPr>
            <w:r>
              <w:rPr>
                <w:rFonts w:ascii="Arial" w:cs="Arial" w:eastAsia="Arial" w:hAnsi="Arial"/>
                <w:sz w:val="14"/>
                <w:szCs w:val="14"/>
                <w:color w:val="auto"/>
              </w:rPr>
              <w:t>$</w:t>
            </w:r>
          </w:p>
        </w:tc>
        <w:tc>
          <w:tcPr>
            <w:tcW w:w="26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62"/>
        </w:trPr>
        <w:tc>
          <w:tcPr>
            <w:tcW w:w="6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Accretion of preferred stock to redemption value</w:t>
            </w:r>
          </w:p>
        </w:tc>
        <w:tc>
          <w:tcPr>
            <w:tcW w:w="1300" w:type="dxa"/>
            <w:vAlign w:val="bottom"/>
            <w:tcBorders>
              <w:bottom w:val="single" w:sz="8" w:color="auto"/>
            </w:tcBorders>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4"/>
        </w:trPr>
        <w:tc>
          <w:tcPr>
            <w:tcW w:w="6120" w:type="dxa"/>
            <w:vAlign w:val="bottom"/>
          </w:tcPr>
          <w:p>
            <w:pPr>
              <w:ind w:left="580"/>
              <w:spacing w:after="0"/>
              <w:rPr>
                <w:sz w:val="20"/>
                <w:szCs w:val="20"/>
                <w:color w:val="auto"/>
              </w:rPr>
            </w:pPr>
            <w:r>
              <w:rPr>
                <w:rFonts w:ascii="Arial" w:cs="Arial" w:eastAsia="Arial" w:hAnsi="Arial"/>
                <w:sz w:val="14"/>
                <w:szCs w:val="14"/>
                <w:color w:val="auto"/>
              </w:rPr>
              <w:t>Pro forma net loss attributable to common stockholders - basic and</w:t>
            </w: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7"/>
        </w:trPr>
        <w:tc>
          <w:tcPr>
            <w:tcW w:w="6120" w:type="dxa"/>
            <w:vAlign w:val="bottom"/>
          </w:tcPr>
          <w:p>
            <w:pPr>
              <w:ind w:left="720"/>
              <w:spacing w:after="0" w:line="157" w:lineRule="exact"/>
              <w:rPr>
                <w:sz w:val="20"/>
                <w:szCs w:val="20"/>
                <w:color w:val="auto"/>
              </w:rPr>
            </w:pPr>
            <w:r>
              <w:rPr>
                <w:rFonts w:ascii="Arial" w:cs="Arial" w:eastAsia="Arial" w:hAnsi="Arial"/>
                <w:sz w:val="14"/>
                <w:szCs w:val="14"/>
                <w:color w:val="auto"/>
              </w:rPr>
              <w:t>diluted</w:t>
            </w:r>
          </w:p>
        </w:tc>
        <w:tc>
          <w:tcPr>
            <w:tcW w:w="130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2660" w:type="dxa"/>
            <w:vAlign w:val="bottom"/>
            <w:gridSpan w:val="2"/>
          </w:tcPr>
          <w:p>
            <w:pPr>
              <w:ind w:left="124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r>
      <w:tr>
        <w:trPr>
          <w:trHeight w:val="20"/>
        </w:trPr>
        <w:tc>
          <w:tcPr>
            <w:tcW w:w="6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4"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u w:val="single" w:color="auto"/>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wp:posOffset>
            </wp:positionV>
            <wp:extent cx="6429375" cy="1028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29375"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March 31, 2021</w:t>
      </w:r>
    </w:p>
    <w:p>
      <w:pPr>
        <w:spacing w:after="0" w:line="2" w:lineRule="exact"/>
        <w:rPr>
          <w:sz w:val="20"/>
          <w:szCs w:val="20"/>
          <w:color w:val="auto"/>
        </w:rPr>
      </w:pPr>
    </w:p>
    <w:p>
      <w:pPr>
        <w:sectPr>
          <w:pgSz w:w="11900" w:h="16838" w:orient="portrait"/>
          <w:cols w:equalWidth="0" w:num="2">
            <w:col w:w="8500" w:space="720"/>
            <w:col w:w="1920"/>
          </w:cols>
          <w:pgMar w:left="320" w:top="459" w:right="439" w:bottom="1440" w:gutter="0" w:footer="0" w:header="0"/>
          <w:type w:val="continuous"/>
        </w:sectPr>
      </w:pPr>
    </w:p>
    <w:p>
      <w:pPr>
        <w:ind w:left="560"/>
        <w:spacing w:after="0"/>
        <w:rPr>
          <w:sz w:val="20"/>
          <w:szCs w:val="20"/>
          <w:color w:val="auto"/>
        </w:rPr>
      </w:pPr>
      <w:r>
        <w:rPr>
          <w:rFonts w:ascii="Arial" w:cs="Arial" w:eastAsia="Arial" w:hAnsi="Arial"/>
          <w:sz w:val="14"/>
          <w:szCs w:val="14"/>
          <w:color w:val="auto"/>
        </w:rPr>
        <w:t>Denominator:</w:t>
      </w:r>
    </w:p>
    <w:p>
      <w:pPr>
        <w:ind w:left="840"/>
        <w:spacing w:after="0"/>
        <w:rPr>
          <w:sz w:val="20"/>
          <w:szCs w:val="20"/>
          <w:color w:val="auto"/>
        </w:rPr>
      </w:pPr>
      <w:r>
        <w:rPr>
          <w:rFonts w:ascii="Arial" w:cs="Arial" w:eastAsia="Arial" w:hAnsi="Arial"/>
          <w:sz w:val="14"/>
          <w:szCs w:val="14"/>
          <w:color w:val="auto"/>
        </w:rPr>
        <w:t>Weighted-average common shares used to compute net loss per share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attributable to common stockholders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wp:posOffset>
            </wp:positionV>
            <wp:extent cx="6429375"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29375" cy="20574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4"/>
          <w:szCs w:val="14"/>
          <w:color w:val="auto"/>
        </w:rPr>
        <w:t>Pro forma adjustment to reflect the conversion of convertible preferred stock</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to common stock upon the completion of the proposed IPO</w:t>
      </w:r>
    </w:p>
    <w:p>
      <w:pPr>
        <w:spacing w:after="0" w:line="1" w:lineRule="exact"/>
        <w:rPr>
          <w:sz w:val="20"/>
          <w:szCs w:val="20"/>
          <w:color w:val="auto"/>
        </w:rPr>
      </w:pPr>
    </w:p>
    <w:p>
      <w:pPr>
        <w:jc w:val="right"/>
        <w:ind w:right="5660"/>
        <w:spacing w:after="0"/>
        <w:rPr>
          <w:sz w:val="20"/>
          <w:szCs w:val="20"/>
          <w:color w:val="auto"/>
        </w:rPr>
      </w:pPr>
      <w:r>
        <w:rPr>
          <w:rFonts w:ascii="Arial" w:cs="Arial" w:eastAsia="Arial" w:hAnsi="Arial"/>
          <w:sz w:val="14"/>
          <w:szCs w:val="14"/>
          <w:color w:val="auto"/>
        </w:rPr>
        <w:t>Pro forma adjustment to reflect the conversion of redeemable convertible</w:t>
      </w:r>
    </w:p>
    <w:p>
      <w:pPr>
        <w:spacing w:after="0" w:line="1" w:lineRule="exact"/>
        <w:rPr>
          <w:sz w:val="20"/>
          <w:szCs w:val="20"/>
          <w:color w:val="auto"/>
        </w:rPr>
      </w:pPr>
    </w:p>
    <w:p>
      <w:pPr>
        <w:jc w:val="right"/>
        <w:ind w:right="5680"/>
        <w:spacing w:after="0"/>
        <w:rPr>
          <w:sz w:val="20"/>
          <w:szCs w:val="20"/>
          <w:color w:val="auto"/>
        </w:rPr>
      </w:pPr>
      <w:r>
        <w:rPr>
          <w:rFonts w:ascii="Arial" w:cs="Arial" w:eastAsia="Arial" w:hAnsi="Arial"/>
          <w:sz w:val="14"/>
          <w:szCs w:val="14"/>
          <w:color w:val="auto"/>
        </w:rPr>
        <w:t>preferred stock to common stock upon the completion of the proposed</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wp:posOffset>
            </wp:positionV>
            <wp:extent cx="6429375"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29375" cy="20574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4"/>
          <w:szCs w:val="14"/>
          <w:color w:val="auto"/>
        </w:rPr>
        <w:t>Pro forma weighted average common shares outstanding - basic and</w:t>
      </w:r>
    </w:p>
    <w:p>
      <w:pPr>
        <w:ind w:left="1280"/>
        <w:spacing w:after="0" w:line="235" w:lineRule="auto"/>
        <w:rPr>
          <w:sz w:val="20"/>
          <w:szCs w:val="20"/>
          <w:color w:val="auto"/>
        </w:rPr>
      </w:pPr>
      <w:r>
        <w:rPr>
          <w:rFonts w:ascii="Arial" w:cs="Arial" w:eastAsia="Arial" w:hAnsi="Arial"/>
          <w:sz w:val="14"/>
          <w:szCs w:val="14"/>
          <w:color w:val="auto"/>
        </w:rPr>
        <w:t>diluted</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1"/>
        </w:trPr>
        <w:tc>
          <w:tcPr>
            <w:tcW w:w="5340" w:type="dxa"/>
            <w:vAlign w:val="bottom"/>
          </w:tcPr>
          <w:p>
            <w:pPr>
              <w:ind w:left="1020"/>
              <w:spacing w:after="0"/>
              <w:rPr>
                <w:sz w:val="20"/>
                <w:szCs w:val="20"/>
                <w:color w:val="auto"/>
              </w:rPr>
            </w:pPr>
            <w:r>
              <w:rPr>
                <w:rFonts w:ascii="Arial" w:cs="Arial" w:eastAsia="Arial" w:hAnsi="Arial"/>
                <w:sz w:val="14"/>
                <w:szCs w:val="14"/>
                <w:color w:val="auto"/>
              </w:rPr>
              <w:t>Pro forma net loss per share attributable to common stockholders -</w:t>
            </w:r>
          </w:p>
        </w:tc>
        <w:tc>
          <w:tcPr>
            <w:tcW w:w="13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340" w:type="dxa"/>
            <w:vAlign w:val="bottom"/>
          </w:tcPr>
          <w:p>
            <w:pPr>
              <w:ind w:left="1160"/>
              <w:spacing w:after="0" w:line="157" w:lineRule="exact"/>
              <w:rPr>
                <w:sz w:val="20"/>
                <w:szCs w:val="20"/>
                <w:color w:val="auto"/>
              </w:rPr>
            </w:pPr>
            <w:r>
              <w:rPr>
                <w:rFonts w:ascii="Arial" w:cs="Arial" w:eastAsia="Arial" w:hAnsi="Arial"/>
                <w:sz w:val="14"/>
                <w:szCs w:val="14"/>
                <w:color w:val="auto"/>
              </w:rPr>
              <w:t>basic and diluted</w:t>
            </w:r>
          </w:p>
        </w:tc>
        <w:tc>
          <w:tcPr>
            <w:tcW w:w="1900" w:type="dxa"/>
            <w:vAlign w:val="bottom"/>
            <w:gridSpan w:val="2"/>
          </w:tcPr>
          <w:p>
            <w:pPr>
              <w:jc w:val="right"/>
              <w:ind w:right="480"/>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3"/>
          </w:tcPr>
          <w:p>
            <w:pPr>
              <w:jc w:val="right"/>
              <w:ind w:right="17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gridSpan w:val="7"/>
          </w:tcPr>
          <w:p>
            <w:pPr>
              <w:jc w:val="right"/>
              <w:ind w:right="1300"/>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5340" w:type="dxa"/>
            <w:vAlign w:val="bottom"/>
          </w:tcPr>
          <w:p>
            <w:pPr>
              <w:spacing w:after="0"/>
              <w:rPr>
                <w:sz w:val="13"/>
                <w:szCs w:val="13"/>
                <w:color w:val="auto"/>
              </w:rPr>
            </w:pPr>
          </w:p>
        </w:tc>
        <w:tc>
          <w:tcPr>
            <w:tcW w:w="1900" w:type="dxa"/>
            <w:vAlign w:val="bottom"/>
            <w:gridSpan w:val="2"/>
          </w:tcPr>
          <w:p>
            <w:pPr>
              <w:spacing w:after="0"/>
              <w:rPr>
                <w:sz w:val="13"/>
                <w:szCs w:val="13"/>
                <w:color w:val="auto"/>
              </w:rPr>
            </w:pPr>
          </w:p>
        </w:tc>
        <w:tc>
          <w:tcPr>
            <w:tcW w:w="740" w:type="dxa"/>
            <w:vAlign w:val="bottom"/>
            <w:tcBorders>
              <w:top w:val="single" w:sz="8" w:color="auto"/>
              <w:bottom w:val="single" w:sz="8" w:color="auto"/>
            </w:tcBorders>
          </w:tcPr>
          <w:p>
            <w:pPr>
              <w:jc w:val="right"/>
              <w:ind w:right="12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3"/>
                <w:szCs w:val="13"/>
                <w:color w:val="auto"/>
              </w:rPr>
            </w:pPr>
          </w:p>
        </w:tc>
        <w:tc>
          <w:tcPr>
            <w:tcW w:w="80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5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8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980" w:type="dxa"/>
            <w:vAlign w:val="bottom"/>
            <w:gridSpan w:val="5"/>
          </w:tcPr>
          <w:p>
            <w:pPr>
              <w:jc w:val="right"/>
              <w:ind w:right="320"/>
              <w:spacing w:after="0" w:line="202" w:lineRule="exact"/>
              <w:rPr>
                <w:sz w:val="20"/>
                <w:szCs w:val="20"/>
                <w:color w:val="auto"/>
              </w:rPr>
            </w:pPr>
            <w:r>
              <w:rPr>
                <w:rFonts w:ascii="Arial" w:cs="Arial" w:eastAsia="Arial" w:hAnsi="Arial"/>
                <w:sz w:val="18"/>
                <w:szCs w:val="18"/>
                <w:color w:val="auto"/>
              </w:rPr>
              <w:t>$ 86,027</w:t>
            </w:r>
          </w:p>
        </w:tc>
        <w:tc>
          <w:tcPr>
            <w:tcW w:w="1780" w:type="dxa"/>
            <w:vAlign w:val="bottom"/>
            <w:gridSpan w:val="4"/>
          </w:tcPr>
          <w:p>
            <w:pPr>
              <w:jc w:val="right"/>
              <w:ind w:right="660"/>
              <w:spacing w:after="0" w:line="202" w:lineRule="exact"/>
              <w:rPr>
                <w:sz w:val="20"/>
                <w:szCs w:val="20"/>
                <w:color w:val="auto"/>
              </w:rPr>
            </w:pPr>
            <w:r>
              <w:rPr>
                <w:rFonts w:ascii="Arial" w:cs="Arial" w:eastAsia="Arial" w:hAnsi="Arial"/>
                <w:sz w:val="18"/>
                <w:szCs w:val="18"/>
                <w:color w:val="auto"/>
              </w:rPr>
              <w:t>$104,052</w:t>
            </w:r>
          </w:p>
        </w:tc>
        <w:tc>
          <w:tcPr>
            <w:tcW w:w="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w w:val="97"/>
              </w:rPr>
              <w:t>$ 146,313</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980" w:type="dxa"/>
            <w:vAlign w:val="bottom"/>
            <w:gridSpan w:val="5"/>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140,998</w:t>
            </w:r>
          </w:p>
        </w:tc>
        <w:tc>
          <w:tcPr>
            <w:tcW w:w="1780" w:type="dxa"/>
            <w:vAlign w:val="bottom"/>
            <w:gridSpan w:val="4"/>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271,442</w:t>
            </w: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302,321</w:t>
            </w:r>
          </w:p>
        </w:tc>
        <w:tc>
          <w:tcPr>
            <w:tcW w:w="0" w:type="dxa"/>
            <w:vAlign w:val="bottom"/>
          </w:tcPr>
          <w:p>
            <w:pPr>
              <w:spacing w:after="0"/>
              <w:rPr>
                <w:sz w:val="1"/>
                <w:szCs w:val="1"/>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2980" w:type="dxa"/>
            <w:vAlign w:val="bottom"/>
            <w:gridSpan w:val="5"/>
          </w:tcPr>
          <w:p>
            <w:pPr>
              <w:jc w:val="right"/>
              <w:ind w:right="320"/>
              <w:spacing w:after="0" w:line="202" w:lineRule="exact"/>
              <w:rPr>
                <w:sz w:val="20"/>
                <w:szCs w:val="20"/>
                <w:color w:val="auto"/>
              </w:rPr>
            </w:pPr>
            <w:r>
              <w:rPr>
                <w:rFonts w:ascii="Arial" w:cs="Arial" w:eastAsia="Arial" w:hAnsi="Arial"/>
                <w:sz w:val="18"/>
                <w:szCs w:val="18"/>
                <w:color w:val="auto"/>
              </w:rPr>
              <w:t>25,402</w:t>
            </w:r>
          </w:p>
        </w:tc>
        <w:tc>
          <w:tcPr>
            <w:tcW w:w="1780" w:type="dxa"/>
            <w:vAlign w:val="bottom"/>
            <w:gridSpan w:val="4"/>
          </w:tcPr>
          <w:p>
            <w:pPr>
              <w:jc w:val="right"/>
              <w:ind w:right="660"/>
              <w:spacing w:after="0" w:line="202" w:lineRule="exact"/>
              <w:rPr>
                <w:sz w:val="20"/>
                <w:szCs w:val="20"/>
                <w:color w:val="auto"/>
              </w:rPr>
            </w:pPr>
            <w:r>
              <w:rPr>
                <w:rFonts w:ascii="Arial" w:cs="Arial" w:eastAsia="Arial" w:hAnsi="Arial"/>
                <w:sz w:val="18"/>
                <w:szCs w:val="18"/>
                <w:color w:val="auto"/>
              </w:rPr>
              <w:t>60,178</w:t>
            </w:r>
          </w:p>
        </w:tc>
        <w:tc>
          <w:tcPr>
            <w:tcW w:w="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119,501</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2980" w:type="dxa"/>
            <w:vAlign w:val="bottom"/>
            <w:gridSpan w:val="5"/>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3,895</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2980" w:type="dxa"/>
            <w:vAlign w:val="bottom"/>
            <w:gridSpan w:val="5"/>
          </w:tcPr>
          <w:p>
            <w:pPr>
              <w:jc w:val="right"/>
              <w:ind w:right="320"/>
              <w:spacing w:after="0" w:line="202" w:lineRule="exact"/>
              <w:rPr>
                <w:sz w:val="20"/>
                <w:szCs w:val="20"/>
                <w:color w:val="auto"/>
              </w:rPr>
            </w:pPr>
            <w:r>
              <w:rPr>
                <w:rFonts w:ascii="Arial" w:cs="Arial" w:eastAsia="Arial" w:hAnsi="Arial"/>
                <w:sz w:val="18"/>
                <w:szCs w:val="18"/>
                <w:color w:val="auto"/>
              </w:rPr>
              <w:t>20,738</w:t>
            </w:r>
          </w:p>
        </w:tc>
        <w:tc>
          <w:tcPr>
            <w:tcW w:w="1780" w:type="dxa"/>
            <w:vAlign w:val="bottom"/>
            <w:gridSpan w:val="4"/>
          </w:tcPr>
          <w:p>
            <w:pPr>
              <w:jc w:val="right"/>
              <w:ind w:right="660"/>
              <w:spacing w:after="0" w:line="202" w:lineRule="exact"/>
              <w:rPr>
                <w:sz w:val="20"/>
                <w:szCs w:val="20"/>
                <w:color w:val="auto"/>
              </w:rPr>
            </w:pPr>
            <w:r>
              <w:rPr>
                <w:rFonts w:ascii="Arial" w:cs="Arial" w:eastAsia="Arial" w:hAnsi="Arial"/>
                <w:sz w:val="18"/>
                <w:szCs w:val="18"/>
                <w:color w:val="auto"/>
              </w:rPr>
              <w:t>24,352</w:t>
            </w:r>
          </w:p>
        </w:tc>
        <w:tc>
          <w:tcPr>
            <w:tcW w:w="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24,402</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2980" w:type="dxa"/>
            <w:vAlign w:val="bottom"/>
            <w:gridSpan w:val="5"/>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1,307</w:t>
            </w:r>
          </w:p>
        </w:tc>
        <w:tc>
          <w:tcPr>
            <w:tcW w:w="1780" w:type="dxa"/>
            <w:vAlign w:val="bottom"/>
            <w:gridSpan w:val="4"/>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1,932</w:t>
            </w: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2980" w:type="dxa"/>
            <w:vAlign w:val="bottom"/>
            <w:gridSpan w:val="5"/>
          </w:tcPr>
          <w:p>
            <w:pPr>
              <w:jc w:val="right"/>
              <w:ind w:right="320"/>
              <w:spacing w:after="0" w:line="202" w:lineRule="exact"/>
              <w:rPr>
                <w:sz w:val="20"/>
                <w:szCs w:val="20"/>
                <w:color w:val="auto"/>
              </w:rPr>
            </w:pPr>
            <w:r>
              <w:rPr>
                <w:rFonts w:ascii="Arial" w:cs="Arial" w:eastAsia="Arial" w:hAnsi="Arial"/>
                <w:sz w:val="18"/>
                <w:szCs w:val="18"/>
                <w:color w:val="auto"/>
              </w:rPr>
              <w:t>110,401</w:t>
            </w:r>
          </w:p>
        </w:tc>
        <w:tc>
          <w:tcPr>
            <w:tcW w:w="1780" w:type="dxa"/>
            <w:vAlign w:val="bottom"/>
            <w:gridSpan w:val="4"/>
          </w:tcPr>
          <w:p>
            <w:pPr>
              <w:jc w:val="right"/>
              <w:ind w:right="660"/>
              <w:spacing w:after="0" w:line="202" w:lineRule="exact"/>
              <w:rPr>
                <w:sz w:val="20"/>
                <w:szCs w:val="20"/>
                <w:color w:val="auto"/>
              </w:rPr>
            </w:pPr>
            <w:r>
              <w:rPr>
                <w:rFonts w:ascii="Arial" w:cs="Arial" w:eastAsia="Arial" w:hAnsi="Arial"/>
                <w:sz w:val="18"/>
                <w:szCs w:val="18"/>
                <w:color w:val="auto"/>
              </w:rPr>
              <w:t>110,401</w:t>
            </w:r>
          </w:p>
        </w:tc>
        <w:tc>
          <w:tcPr>
            <w:tcW w:w="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110,401</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1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4"/>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119,769</w:t>
            </w: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179,509</w:t>
            </w:r>
          </w:p>
        </w:tc>
        <w:tc>
          <w:tcPr>
            <w:tcW w:w="0" w:type="dxa"/>
            <w:vAlign w:val="bottom"/>
          </w:tcPr>
          <w:p>
            <w:pPr>
              <w:spacing w:after="0"/>
              <w:rPr>
                <w:sz w:val="1"/>
                <w:szCs w:val="1"/>
                <w:color w:val="auto"/>
              </w:rPr>
            </w:pPr>
          </w:p>
        </w:tc>
      </w:tr>
      <w:tr>
        <w:trPr>
          <w:trHeight w:val="217"/>
        </w:trPr>
        <w:tc>
          <w:tcPr>
            <w:tcW w:w="534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980" w:type="dxa"/>
            <w:vAlign w:val="bottom"/>
            <w:gridSpan w:val="5"/>
          </w:tcPr>
          <w:p>
            <w:pPr>
              <w:jc w:val="right"/>
              <w:ind w:right="260"/>
              <w:spacing w:after="0"/>
              <w:rPr>
                <w:sz w:val="20"/>
                <w:szCs w:val="20"/>
                <w:color w:val="auto"/>
              </w:rPr>
            </w:pPr>
            <w:r>
              <w:rPr>
                <w:rFonts w:ascii="Arial" w:cs="Arial" w:eastAsia="Arial" w:hAnsi="Arial"/>
                <w:sz w:val="18"/>
                <w:szCs w:val="18"/>
                <w:color w:val="auto"/>
              </w:rPr>
              <w:t>(75,278)</w:t>
            </w:r>
          </w:p>
        </w:tc>
        <w:tc>
          <w:tcPr>
            <w:tcW w:w="1780" w:type="dxa"/>
            <w:vAlign w:val="bottom"/>
            <w:gridSpan w:val="4"/>
          </w:tcPr>
          <w:p>
            <w:pPr>
              <w:jc w:val="right"/>
              <w:ind w:right="600"/>
              <w:spacing w:after="0"/>
              <w:rPr>
                <w:sz w:val="20"/>
                <w:szCs w:val="20"/>
                <w:color w:val="auto"/>
              </w:rPr>
            </w:pPr>
            <w:r>
              <w:rPr>
                <w:rFonts w:ascii="Arial" w:cs="Arial" w:eastAsia="Arial" w:hAnsi="Arial"/>
                <w:sz w:val="18"/>
                <w:szCs w:val="18"/>
                <w:color w:val="auto"/>
              </w:rPr>
              <w:t>(81,762)</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(77,310)</w:t>
            </w:r>
          </w:p>
        </w:tc>
        <w:tc>
          <w:tcPr>
            <w:tcW w:w="0" w:type="dxa"/>
            <w:vAlign w:val="bottom"/>
          </w:tcPr>
          <w:p>
            <w:pPr>
              <w:spacing w:after="0"/>
              <w:rPr>
                <w:sz w:val="1"/>
                <w:szCs w:val="1"/>
                <w:color w:val="auto"/>
              </w:rPr>
            </w:pPr>
          </w:p>
        </w:tc>
      </w:tr>
      <w:tr>
        <w:trPr>
          <w:trHeight w:val="350"/>
        </w:trPr>
        <w:tc>
          <w:tcPr>
            <w:tcW w:w="5340" w:type="dxa"/>
            <w:vAlign w:val="bottom"/>
          </w:tcPr>
          <w:p>
            <w:pPr>
              <w:spacing w:after="0"/>
              <w:rPr>
                <w:sz w:val="24"/>
                <w:szCs w:val="24"/>
                <w:color w:val="auto"/>
              </w:rPr>
            </w:pPr>
          </w:p>
        </w:tc>
        <w:tc>
          <w:tcPr>
            <w:tcW w:w="1340" w:type="dxa"/>
            <w:vAlign w:val="bottom"/>
          </w:tcPr>
          <w:p>
            <w:pPr>
              <w:jc w:val="right"/>
              <w:ind w:right="992"/>
              <w:spacing w:after="0"/>
              <w:rPr>
                <w:sz w:val="20"/>
                <w:szCs w:val="20"/>
                <w:color w:val="auto"/>
              </w:rPr>
            </w:pPr>
            <w:r>
              <w:rPr>
                <w:rFonts w:ascii="Arial" w:cs="Arial" w:eastAsia="Arial" w:hAnsi="Arial"/>
                <w:sz w:val="18"/>
                <w:szCs w:val="18"/>
                <w:color w:val="auto"/>
              </w:rPr>
              <w:t>78</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67"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60"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8"/>
          <w:szCs w:val="18"/>
          <w:i w:val="1"/>
          <w:iCs w:val="1"/>
          <w:color w:val="auto"/>
        </w:rPr>
        <w:t>Flywire Advantage</w:t>
      </w:r>
      <w:r>
        <w:rPr>
          <w:rFonts w:ascii="Arial" w:cs="Arial" w:eastAsia="Arial" w:hAnsi="Arial"/>
          <w:sz w:val="18"/>
          <w:szCs w:val="18"/>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62" w:lineRule="exact"/>
        <w:rPr>
          <w:sz w:val="20"/>
          <w:szCs w:val="20"/>
          <w:color w:val="auto"/>
        </w:rPr>
      </w:pPr>
    </w:p>
    <w:p>
      <w:pPr>
        <w:ind w:left="120" w:right="220" w:firstLine="440"/>
        <w:spacing w:after="0" w:line="237" w:lineRule="auto"/>
        <w:rPr>
          <w:sz w:val="20"/>
          <w:szCs w:val="20"/>
          <w:color w:val="auto"/>
        </w:rPr>
      </w:pPr>
      <w:r>
        <w:rPr>
          <w:rFonts w:ascii="Arial" w:cs="Arial" w:eastAsia="Arial" w:hAnsi="Arial"/>
          <w:sz w:val="18"/>
          <w:szCs w:val="18"/>
          <w:color w:val="auto"/>
        </w:rPr>
        <w:t xml:space="preserve">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has been recognized, with global financial institutions and technology providers choosing to form channel partnerships with us. These partnerships promote organic referral and lead generation opportunities and enhance our indirect sales strategy.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205740</wp:posOffset>
            </wp:positionV>
            <wp:extent cx="4894580" cy="42005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894580" cy="420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90" w:lineRule="exact"/>
        <w:rPr>
          <w:sz w:val="20"/>
          <w:szCs w:val="20"/>
          <w:color w:val="auto"/>
        </w:rPr>
      </w:pPr>
    </w:p>
    <w:p>
      <w:pPr>
        <w:ind w:left="880" w:right="100" w:hanging="224"/>
        <w:spacing w:after="0" w:line="253"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30.5% period-over-period from approximately $5.8 billion during the year ended December 31, 2019 to over $7.5 billion during the year ended December 31, 2020.</w:t>
      </w:r>
    </w:p>
    <w:p>
      <w:pPr>
        <w:spacing w:after="0" w:line="150" w:lineRule="exact"/>
        <w:rPr>
          <w:sz w:val="20"/>
          <w:szCs w:val="20"/>
          <w:color w:val="auto"/>
        </w:rPr>
      </w:pPr>
    </w:p>
    <w:p>
      <w:pPr>
        <w:ind w:left="1000" w:right="560"/>
        <w:spacing w:after="0" w:line="246" w:lineRule="auto"/>
        <w:rPr>
          <w:sz w:val="20"/>
          <w:szCs w:val="20"/>
          <w:color w:val="auto"/>
        </w:rPr>
      </w:pPr>
      <w:r>
        <w:rPr>
          <w:rFonts w:ascii="Arial" w:cs="Arial" w:eastAsia="Arial" w:hAnsi="Arial"/>
          <w:sz w:val="18"/>
          <w:szCs w:val="18"/>
          <w:color w:val="auto"/>
        </w:rPr>
        <w:t>We have grown our Total Payment Volume by approximately 70.1% period-over-period from $1.7 billion during the three months ended March 31, 2020 to $2.9 billion during the three months ended March 31, 2021.</w:t>
      </w:r>
    </w:p>
    <w:p>
      <w:pPr>
        <w:spacing w:after="0" w:line="175" w:lineRule="exact"/>
        <w:rPr>
          <w:sz w:val="20"/>
          <w:szCs w:val="20"/>
          <w:color w:val="auto"/>
        </w:rPr>
      </w:pPr>
    </w:p>
    <w:p>
      <w:pPr>
        <w:ind w:left="880" w:right="20" w:hanging="224"/>
        <w:spacing w:after="0" w:line="253"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year we have added to the capabilities of our payment network by means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bank accounts and payment partners, and have expanded our global reach to 240 countries and territories and 130 currencies.</w:t>
      </w:r>
    </w:p>
    <w:p>
      <w:pPr>
        <w:spacing w:after="0" w:line="168"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Enjoyable and personalized user experience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NPS score of 64 in fiscal year 2020 demonstrates a strong affinity among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clients for our platform.</w:t>
      </w:r>
    </w:p>
    <w:p>
      <w:pPr>
        <w:spacing w:after="0" w:line="153" w:lineRule="exact"/>
        <w:rPr>
          <w:rFonts w:ascii="Arial" w:cs="Arial" w:eastAsia="Arial" w:hAnsi="Arial"/>
          <w:sz w:val="18"/>
          <w:szCs w:val="18"/>
          <w:color w:val="auto"/>
        </w:rPr>
      </w:pPr>
    </w:p>
    <w:p>
      <w:pPr>
        <w:ind w:left="880" w:right="500" w:hanging="224"/>
        <w:spacing w:after="0" w:line="271"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2018 and 2019, our net dollar-based retention rate was approximately 126%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128%, respectively. In 2020, despite the impact of the COVID-19</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59"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line="237" w:lineRule="auto"/>
        <w:rPr>
          <w:sz w:val="20"/>
          <w:szCs w:val="20"/>
          <w:color w:val="auto"/>
        </w:rPr>
      </w:pPr>
      <w:r>
        <w:rPr>
          <w:rFonts w:ascii="Arial" w:cs="Arial" w:eastAsia="Arial" w:hAnsi="Arial"/>
          <w:sz w:val="18"/>
          <w:szCs w:val="18"/>
          <w:color w:val="auto"/>
        </w:rPr>
        <w:t>pandemic on our clients and the industries we serve, we had annual dollar-based net retention rate of 100%, added over 400 new clients, and maintained strong client retention of approximately 97%.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7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7"/>
          <w:szCs w:val="17"/>
          <w:color w:val="auto"/>
        </w:rPr>
        <w:t>Today, we serve over 2,250 clients around the world. In education alone, we serve more than 1,900 institutions and 1.6 million students globally as of December 31, 2020. In healthcare, we power more than 80 healthcare systems, including four of the top 10 healthcare systems in the United States ranked by hospital size as of December 31, 2020. In the industries we have more recently begun to address, travel and business to business payments, we have a growing portfolio of more than 200 clients as of December 31, 2020.</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success in building our client base around the world and expanding utilization by our clients’ customers has allowed us to</w:t>
      </w:r>
    </w:p>
    <w:p>
      <w:pPr>
        <w:ind w:left="120"/>
        <w:spacing w:after="0" w:line="234" w:lineRule="auto"/>
        <w:rPr>
          <w:sz w:val="20"/>
          <w:szCs w:val="20"/>
          <w:color w:val="auto"/>
        </w:rPr>
      </w:pPr>
      <w:r>
        <w:rPr>
          <w:rFonts w:ascii="Arial" w:cs="Arial" w:eastAsia="Arial" w:hAnsi="Arial"/>
          <w:sz w:val="18"/>
          <w:szCs w:val="18"/>
          <w:color w:val="auto"/>
        </w:rPr>
        <w:t>achieve significant scale. We enabled more than $7.5 billion in TPV during the year ended December 31, 2020 and $2.9 billion in TPV</w:t>
      </w:r>
    </w:p>
    <w:p>
      <w:pPr>
        <w:ind w:left="120"/>
        <w:spacing w:after="0" w:line="235" w:lineRule="auto"/>
        <w:rPr>
          <w:sz w:val="20"/>
          <w:szCs w:val="20"/>
          <w:color w:val="auto"/>
        </w:rPr>
      </w:pPr>
      <w:r>
        <w:rPr>
          <w:rFonts w:ascii="Arial" w:cs="Arial" w:eastAsia="Arial" w:hAnsi="Arial"/>
          <w:sz w:val="18"/>
          <w:szCs w:val="18"/>
          <w:color w:val="auto"/>
        </w:rPr>
        <w:t>during the three months ended March 31, 2021. We generated revenue of $94.9 million and $131.8 million for the years ended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December 31, 2019 and 2020, respectively, and incurred net losses of $20.1 million and $11.1 million for those same years. We generated</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of $32.7 million and $45.0 million for the three months ended March 31, 2020 and March 31, 2021, respectively and incurred net</w:t>
      </w:r>
    </w:p>
    <w:p>
      <w:pPr>
        <w:ind w:left="120"/>
        <w:spacing w:after="0" w:line="234" w:lineRule="auto"/>
        <w:rPr>
          <w:sz w:val="20"/>
          <w:szCs w:val="20"/>
          <w:color w:val="auto"/>
        </w:rPr>
      </w:pPr>
      <w:r>
        <w:rPr>
          <w:rFonts w:ascii="Arial" w:cs="Arial" w:eastAsia="Arial" w:hAnsi="Arial"/>
          <w:sz w:val="18"/>
          <w:szCs w:val="18"/>
          <w:color w:val="auto"/>
        </w:rPr>
        <w:t>income of $3.7 million and a net loss of $8.7 million, respectively, for the same three-month periods. Pro forma revenue and pro forma net</w:t>
      </w:r>
    </w:p>
    <w:p>
      <w:pPr>
        <w:ind w:left="120"/>
        <w:spacing w:after="0" w:line="235" w:lineRule="auto"/>
        <w:rPr>
          <w:sz w:val="20"/>
          <w:szCs w:val="20"/>
          <w:color w:val="auto"/>
        </w:rPr>
      </w:pPr>
      <w:r>
        <w:rPr>
          <w:rFonts w:ascii="Arial" w:cs="Arial" w:eastAsia="Arial" w:hAnsi="Arial"/>
          <w:sz w:val="18"/>
          <w:szCs w:val="18"/>
          <w:color w:val="auto"/>
        </w:rPr>
        <w:t>loss for the year ended December 31, 2020, as if our acquisition of Simplee had occurred on January 1, 2020, was $136.3 million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$14.8 million, respectively.</w:t>
      </w:r>
    </w:p>
    <w:p>
      <w:pPr>
        <w:spacing w:after="0" w:line="17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7"/>
          <w:szCs w:val="17"/>
          <w:color w:val="auto"/>
        </w:rPr>
        <w:t>We believe that the growth of our business and our operating results will be dependent upon many factors, including our ability to add new clients, expand the usage of our solutions by our existing clients and their customers,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62"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While we have experienced significant growth and increased demand for our solutions over recent periods, we expect to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information technology and financial infrastructure, our operating and administrative systems and controls, and our ability to manage headcount, capital, and processes in an efficient manner. Additionally, we face intense competition in our market, and to succeed, we need to innovate and offer solutions that are differentiated from legacy payment solutions. We must also effectively hire, retain, train, and motivate qualified personnel and senior management. If we are unable to successfully address these challenges, our business, operating results, and prospects could be adversely affected.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Revenue Model</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67" w:lineRule="exact"/>
        <w:rPr>
          <w:sz w:val="20"/>
          <w:szCs w:val="20"/>
          <w:color w:val="auto"/>
        </w:rPr>
      </w:pPr>
    </w:p>
    <w:p>
      <w:pPr>
        <w:jc w:val="both"/>
        <w:ind w:left="120" w:right="620" w:firstLine="440"/>
        <w:spacing w:after="0" w:line="250"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is earned from payment processing services provided to our clients. The fee earned on each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a rate applied to the total payment value of the transaction, which can vary based on the payment method currency pair conversion and the geographic region in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which our client and the clients’ customer resides. We also earn revenue from marketing fees from credit card service providers for marketing arrangements in which we perform certain marketing activities which we consider to be ancillary to the solutions we provide to our clients.</w:t>
      </w:r>
    </w:p>
    <w:p>
      <w:pPr>
        <w:spacing w:after="0" w:line="158" w:lineRule="exact"/>
        <w:rPr>
          <w:sz w:val="20"/>
          <w:szCs w:val="20"/>
          <w:color w:val="auto"/>
        </w:rPr>
      </w:pPr>
    </w:p>
    <w:p>
      <w:pPr>
        <w:ind w:left="120" w:right="400" w:firstLine="440"/>
        <w:spacing w:after="0" w:line="250" w:lineRule="auto"/>
        <w:rPr>
          <w:sz w:val="20"/>
          <w:szCs w:val="20"/>
          <w:color w:val="auto"/>
        </w:rPr>
      </w:pPr>
      <w:r>
        <w:rPr>
          <w:rFonts w:ascii="Arial" w:cs="Arial" w:eastAsia="Arial" w:hAnsi="Arial"/>
          <w:sz w:val="18"/>
          <w:szCs w:val="18"/>
          <w:i w:val="1"/>
          <w:iCs w:val="1"/>
          <w:color w:val="auto"/>
        </w:rPr>
        <w:t xml:space="preserve">Platform and usage-based fee revenue </w:t>
      </w:r>
      <w:r>
        <w:rPr>
          <w:rFonts w:ascii="Arial" w:cs="Arial" w:eastAsia="Arial" w:hAnsi="Arial"/>
          <w:sz w:val="18"/>
          <w:szCs w:val="18"/>
          <w:color w:val="auto"/>
        </w:rPr>
        <w:t>includes (i) fees earned for the utilization of our payment platform to optimize cash</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collections, (ii) fees collected on payment plans established by our clients on our payment platform, (iii) subscription fees and (iv) fees related to printing and mailing services which we consider to be ancillary to the solutions we provide to our clients.</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9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93"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payment—one to four days—that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 -house currency hedging algorithms since 2014, including entering into non-deliverable forward foreign currency contracts, to mitigate the volatility related to fluctuations in the foreign exchange rates. As a result, to date foreign currency fluctuations with respect to our cross-border payments have not resulted in a materially unfavorable effect on our operating results, financial position or cash flows. In addition, our reporting currency is the U.S. Dollar. The financial statements of our foreign subsidiaries are translated from local currency into U.S. Dollars using the exchange rate at the balance sheet date for assets and liabilities, and the average exchange rate in effect during the period for revenue and expenses. Our functional currency and the functional currency of our subsidiaries, with the exception of our UK subsidiary, is the U.S. Dollar. The functional currency for our UK subsidiary is considered to be the local currency and, accordingly, translation adjustments for this entity are included as a component of accumulated other comprehensive loss in our consolidated balance sheets. Gains and losses from the remeasurement of foreign currency transactions into the functional currency are recognized as other income (expense), net in the consolidated statements of operations and comprehensive loss. We do not believe a 10% increase or decrease in current exchange rates would have a material impact on our operating results, financial position or cash flows.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07"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Borrowings incurred under our credit facility accrue interest at a floating per annum rate equal to the greater of (i) 5.25% above the prime rate; or (ii) 8.50%. As of March 31, 2021, $25.0 million was outstanding under our credit facility. An immediate 10% increase or decrease in interest rates would not have a material effect on our financial position, results of operations or cash flows.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Acquisition</w:t>
      </w:r>
    </w:p>
    <w:p>
      <w:pPr>
        <w:spacing w:after="0" w:line="207"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In February 2020, we acquired all of the issued and outstanding shares of Simplee for a purchase price of $86.5 million including $79.4 million of cash consideration, net of cash acquired and the estimated fair value of contingent consideration of $ 7.1 million. Contingent consideration represents additional payments that we may be required to make in the future, which totals up to $ 20.0 million, depending on our reaching certain revenue and integration targets established for the years ended December 31, 2020 and 2021, as well as retaining key clients. Simplee is a provider of healthcare payment and collection software. The Simplee acquisition brings a highly complementary client base with whom we can further expand our capabilities, and additional platform and healthcare specific software capabilities with which we believe we can acquire additional clients in the healthcare market. Since the acquisition date through December 31, 2020, Simplee contributed $34.1 million in platform and usage-based fee revenue. During the three months ended March 31, 2021, Simplee contributed $10.2 million in platform and usage-based fee revenue.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key operating metrics and non-GAAP measures for the periods presented:</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For the Year Ended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w w:val="99"/>
              </w:rPr>
              <w:t>In Millions (Except Gross Margin and Adjusted</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98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Gross Margin)</w:t>
            </w:r>
          </w:p>
        </w:tc>
        <w:tc>
          <w:tcPr>
            <w:tcW w:w="1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9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Total Payment Volume</w:t>
            </w:r>
          </w:p>
        </w:tc>
        <w:tc>
          <w:tcPr>
            <w:tcW w:w="19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5,756.9</w:t>
            </w:r>
          </w:p>
        </w:tc>
        <w:tc>
          <w:tcPr>
            <w:tcW w:w="5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40"/>
              <w:spacing w:after="0" w:line="189" w:lineRule="exact"/>
              <w:rPr>
                <w:sz w:val="20"/>
                <w:szCs w:val="20"/>
                <w:color w:val="auto"/>
              </w:rPr>
            </w:pPr>
            <w:r>
              <w:rPr>
                <w:rFonts w:ascii="Arial" w:cs="Arial" w:eastAsia="Arial" w:hAnsi="Arial"/>
                <w:sz w:val="18"/>
                <w:szCs w:val="18"/>
                <w:color w:val="auto"/>
                <w:w w:val="96"/>
              </w:rPr>
              <w:t>7,513.3</w:t>
            </w: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1,683.3</w:t>
            </w:r>
          </w:p>
        </w:tc>
        <w:tc>
          <w:tcPr>
            <w:tcW w:w="5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2,862.7</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94.9</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131.8</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32.7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Less Ancillary Services</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88.2</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114.6</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29.4</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Gross Margin</w:t>
            </w: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58.7%</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60.3%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61.5%</w:t>
            </w:r>
          </w:p>
        </w:tc>
        <w:tc>
          <w:tcPr>
            <w:tcW w:w="18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Gross Margin</w:t>
            </w: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63.2%</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69.4%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68.4%</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(20.1)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(11.1)</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6.2</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For the year ended December 31, 2020, transaction revenue and platform and usage-based fee revenue represented 68.0% and 32.0% of our revenue, respectively. For the year ended December 31, 2020 transaction revenue and platform and usage-based fee revenue represented 77.0% and 23.0% of our total revenue less ancillary services, respectively.</w:t>
      </w:r>
    </w:p>
    <w:p>
      <w:pPr>
        <w:spacing w:after="0" w:line="162"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For the three months ended March 31, 2021, transaction revenue and platform and usage-based fee revenue represented 72.0% and 28.0% of our revenue, respectively. For the three months ended March 31, 2021, transaction revenue and platform and usage-based fee revenue represented 79.9% and 20.1% of our total revenue less ancillary services, respectively.</w:t>
      </w:r>
    </w:p>
    <w:p>
      <w:pPr>
        <w:spacing w:after="0" w:line="16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For the year ended December 31, 2020, our total payment volume was approximately $7.5 billion, consisting of $4.7 billion of total payment volume from transactions included in transaction revenue and $2.8 billion of total payment volume from transactions included in platform and usage-based fee revenue. For the year ended December 31, 2019, our total payment volume was approximately $5.8 billion, consisting of $4.7 billion of total payment volume from transactions included in transaction revenue and $1.1 billion of total payment volume from transactions included in platform and usage-based fee revenue.</w:t>
      </w:r>
    </w:p>
    <w:p>
      <w:pPr>
        <w:spacing w:after="0" w:line="175"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For the three months ended March 31, 2021, our total payment volume was approximately $2.9 billion, consisting of $1.7 billion of total payment volume from transactions included in transaction revenue, and $1.2 billion of total payment volume from transactions included in platform and usage-based fee revenue. For the three months ended March 31, 2020, our total payment volume was approximately $1.7 billion, consisting of $1.2 billion of total payment volume from transactions included in transaction revenue, and $0.5 billion of total payment volume from transactions included in platform and usage-based fee revenue.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Payment Volume</w:t>
      </w:r>
    </w:p>
    <w:p>
      <w:pPr>
        <w:spacing w:after="0" w:line="207"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 in a given period.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Less Ancillary Services, Adjusted Gross Margin and Adjusted EBITDA</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80"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185" w:lineRule="exact"/>
        <w:rPr>
          <w:sz w:val="20"/>
          <w:szCs w:val="20"/>
          <w:color w:val="auto"/>
        </w:rPr>
      </w:pPr>
    </w:p>
    <w:p>
      <w:pPr>
        <w:ind w:left="880" w:right="20" w:hanging="224"/>
        <w:spacing w:after="0" w:line="250"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Revenue Less Ancillary Services </w:t>
      </w:r>
      <w:r>
        <w:rPr>
          <w:rFonts w:ascii="Arial" w:cs="Arial" w:eastAsia="Arial" w:hAnsi="Arial"/>
          <w:sz w:val="18"/>
          <w:szCs w:val="18"/>
          <w:color w:val="auto"/>
        </w:rPr>
        <w:t>represents our consolidated revenue in accordance with GAAP after excluding (i) pass-through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cost for printing and mailing services and (ii) marketing fees. We exclude these amounts to arrive at this supplemental non-GAAP financial measure as we view these services as ancillary to the primary services we provide to our clients.</w:t>
      </w:r>
    </w:p>
    <w:p>
      <w:pPr>
        <w:spacing w:after="0" w:line="176" w:lineRule="exact"/>
        <w:rPr>
          <w:rFonts w:ascii="Arial" w:cs="Arial" w:eastAsia="Arial" w:hAnsi="Arial"/>
          <w:sz w:val="18"/>
          <w:szCs w:val="18"/>
          <w:color w:val="auto"/>
        </w:rPr>
      </w:pPr>
    </w:p>
    <w:p>
      <w:pPr>
        <w:ind w:left="880" w:right="80" w:hanging="224"/>
        <w:spacing w:after="0" w:line="242"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Adjusted Gross Margin</w:t>
      </w:r>
      <w:r>
        <w:rPr>
          <w:rFonts w:ascii="Arial" w:cs="Arial" w:eastAsia="Arial" w:hAnsi="Arial"/>
          <w:sz w:val="18"/>
          <w:szCs w:val="18"/>
          <w:color w:val="auto"/>
        </w:rPr>
        <w:t>. Adjusted gross margin represents adjusted gross profit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gross profit represents Revenue Less Ancillary Services less cost of revenue adjusted to (i) exclude pass-through cost for printing services and (ii) offset marketing fees against costs incurred. Management believes this presentation supplements the GAAP presentation of gross margin with a useful measure of the gross margin of our payment-related services, which are the primary services we provide to our clients.</w:t>
      </w:r>
    </w:p>
    <w:p>
      <w:pPr>
        <w:spacing w:after="0" w:line="180"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Adjusted EBITDA</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represents EBITDA further adjusted by excluding (i) stock-based compensation expense,</w:t>
      </w:r>
    </w:p>
    <w:p>
      <w:pPr>
        <w:spacing w:after="0" w:line="17" w:lineRule="exact"/>
        <w:rPr>
          <w:rFonts w:ascii="Arial" w:cs="Arial" w:eastAsia="Arial" w:hAnsi="Arial"/>
          <w:sz w:val="18"/>
          <w:szCs w:val="18"/>
          <w:color w:val="auto"/>
        </w:rPr>
      </w:pPr>
    </w:p>
    <w:p>
      <w:pPr>
        <w:ind w:left="880" w:right="500" w:hanging="8"/>
        <w:spacing w:after="0" w:line="234" w:lineRule="auto"/>
        <w:tabs>
          <w:tab w:leader="none" w:pos="113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impact from the change in fair value measurement for contingent consideration associated with acquisitions, (iii) the impact from the change in fair value measurement of our preferred stock warrants, (iv) other income (expense), net,</w:t>
      </w:r>
    </w:p>
    <w:p>
      <w:pPr>
        <w:spacing w:after="0" w:line="1" w:lineRule="exact"/>
        <w:rPr>
          <w:rFonts w:ascii="Arial" w:cs="Arial" w:eastAsia="Arial" w:hAnsi="Arial"/>
          <w:sz w:val="18"/>
          <w:szCs w:val="18"/>
          <w:color w:val="auto"/>
        </w:rPr>
      </w:pPr>
    </w:p>
    <w:p>
      <w:pPr>
        <w:ind w:left="880" w:right="220" w:hanging="8"/>
        <w:spacing w:after="0"/>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acquisition related transaction costs, and (vi)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7"/>
          <w:szCs w:val="17"/>
          <w:color w:val="auto"/>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Adjusted Gross Margin and Adjusted EBITDA to</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93"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The tables below provide reconciliations of Revenue Less Ancillary Services, Adjusted Gross Margin and Adjusted EBITDA on a consolidated basis for the periods presented.</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Less Ancillary Services and Adjusted Gross Margin:</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5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 Except for Gross Margin and Adjusted</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Gross Margin)</w:t>
            </w: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2020</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57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94.9</w:t>
            </w:r>
          </w:p>
        </w:tc>
        <w:tc>
          <w:tcPr>
            <w:tcW w:w="6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131.8</w:t>
            </w:r>
          </w:p>
        </w:tc>
        <w:tc>
          <w:tcPr>
            <w:tcW w:w="6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32.7</w:t>
            </w:r>
          </w:p>
        </w:tc>
        <w:tc>
          <w:tcPr>
            <w:tcW w:w="5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45.0</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Adjusted to exclude gross up for:</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Pass-through cost for printing and mailing</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57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Marketing fees</w:t>
            </w:r>
          </w:p>
        </w:tc>
        <w:tc>
          <w:tcPr>
            <w:tcW w:w="14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(5.5)</w:t>
            </w:r>
          </w:p>
        </w:tc>
        <w:tc>
          <w:tcPr>
            <w:tcW w:w="180" w:type="dxa"/>
            <w:vAlign w:val="bottom"/>
          </w:tcPr>
          <w:p>
            <w:pPr>
              <w:spacing w:after="0"/>
              <w:rPr>
                <w:sz w:val="17"/>
                <w:szCs w:val="17"/>
                <w:color w:val="auto"/>
              </w:rPr>
            </w:pPr>
          </w:p>
        </w:tc>
        <w:tc>
          <w:tcPr>
            <w:tcW w:w="12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12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(0.4)</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 Less Ancillary Services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88.2</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114.6</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gridSpan w:val="2"/>
          </w:tcPr>
          <w:p>
            <w:pPr>
              <w:spacing w:after="0" w:line="196" w:lineRule="exact"/>
              <w:rPr>
                <w:sz w:val="20"/>
                <w:szCs w:val="20"/>
                <w:color w:val="auto"/>
              </w:rPr>
            </w:pPr>
            <w:r>
              <w:rPr>
                <w:rFonts w:ascii="Arial" w:cs="Arial" w:eastAsia="Arial" w:hAnsi="Arial"/>
                <w:sz w:val="18"/>
                <w:szCs w:val="18"/>
                <w:color w:val="auto"/>
              </w:rPr>
              <w:t>Payment processing services costs</w:t>
            </w:r>
          </w:p>
        </w:tc>
        <w:tc>
          <w:tcPr>
            <w:tcW w:w="140" w:type="dxa"/>
            <w:vAlign w:val="bottom"/>
          </w:tcPr>
          <w:p>
            <w:pPr>
              <w:spacing w:after="0"/>
              <w:rPr>
                <w:sz w:val="17"/>
                <w:szCs w:val="17"/>
                <w:color w:val="auto"/>
              </w:rPr>
            </w:pPr>
          </w:p>
        </w:tc>
        <w:tc>
          <w:tcPr>
            <w:tcW w:w="1260" w:type="dxa"/>
            <w:vAlign w:val="bottom"/>
            <w:gridSpan w:val="2"/>
          </w:tcPr>
          <w:p>
            <w:pPr>
              <w:jc w:val="right"/>
              <w:ind w:right="600"/>
              <w:spacing w:after="0" w:line="196" w:lineRule="exact"/>
              <w:rPr>
                <w:sz w:val="20"/>
                <w:szCs w:val="20"/>
                <w:color w:val="auto"/>
              </w:rPr>
            </w:pPr>
            <w:r>
              <w:rPr>
                <w:rFonts w:ascii="Arial" w:cs="Arial" w:eastAsia="Arial" w:hAnsi="Arial"/>
                <w:sz w:val="18"/>
                <w:szCs w:val="18"/>
                <w:color w:val="auto"/>
              </w:rPr>
              <w:t>36.7</w:t>
            </w:r>
          </w:p>
        </w:tc>
        <w:tc>
          <w:tcPr>
            <w:tcW w:w="180" w:type="dxa"/>
            <w:vAlign w:val="bottom"/>
          </w:tcPr>
          <w:p>
            <w:pPr>
              <w:spacing w:after="0"/>
              <w:rPr>
                <w:sz w:val="17"/>
                <w:szCs w:val="17"/>
                <w:color w:val="auto"/>
              </w:rPr>
            </w:pPr>
          </w:p>
        </w:tc>
        <w:tc>
          <w:tcPr>
            <w:tcW w:w="1220" w:type="dxa"/>
            <w:vAlign w:val="bottom"/>
            <w:gridSpan w:val="2"/>
          </w:tcPr>
          <w:p>
            <w:pPr>
              <w:jc w:val="right"/>
              <w:ind w:right="600"/>
              <w:spacing w:after="0" w:line="196" w:lineRule="exact"/>
              <w:rPr>
                <w:sz w:val="20"/>
                <w:szCs w:val="20"/>
                <w:color w:val="auto"/>
              </w:rPr>
            </w:pPr>
            <w:r>
              <w:rPr>
                <w:rFonts w:ascii="Arial" w:cs="Arial" w:eastAsia="Arial" w:hAnsi="Arial"/>
                <w:sz w:val="18"/>
                <w:szCs w:val="18"/>
                <w:color w:val="auto"/>
              </w:rPr>
              <w:t>47.8</w:t>
            </w:r>
          </w:p>
        </w:tc>
        <w:tc>
          <w:tcPr>
            <w:tcW w:w="160" w:type="dxa"/>
            <w:vAlign w:val="bottom"/>
          </w:tcPr>
          <w:p>
            <w:pPr>
              <w:spacing w:after="0"/>
              <w:rPr>
                <w:sz w:val="17"/>
                <w:szCs w:val="17"/>
                <w:color w:val="auto"/>
              </w:rPr>
            </w:pPr>
          </w:p>
        </w:tc>
        <w:tc>
          <w:tcPr>
            <w:tcW w:w="1240" w:type="dxa"/>
            <w:vAlign w:val="bottom"/>
            <w:gridSpan w:val="2"/>
          </w:tcPr>
          <w:p>
            <w:pPr>
              <w:jc w:val="right"/>
              <w:ind w:right="580"/>
              <w:spacing w:after="0" w:line="196" w:lineRule="exact"/>
              <w:rPr>
                <w:sz w:val="20"/>
                <w:szCs w:val="20"/>
                <w:color w:val="auto"/>
              </w:rPr>
            </w:pPr>
            <w:r>
              <w:rPr>
                <w:rFonts w:ascii="Arial" w:cs="Arial" w:eastAsia="Arial" w:hAnsi="Arial"/>
                <w:sz w:val="18"/>
                <w:szCs w:val="18"/>
                <w:color w:val="auto"/>
              </w:rPr>
              <w:t>11.6</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2"/>
        </w:trPr>
        <w:tc>
          <w:tcPr>
            <w:tcW w:w="5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Hosting and amortization costs within technology and development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Adjusted to:</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Exclude printing and mailing costs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57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Offset marketing fees against related costs</w:t>
            </w:r>
          </w:p>
        </w:tc>
        <w:tc>
          <w:tcPr>
            <w:tcW w:w="14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(5.5)</w:t>
            </w:r>
          </w:p>
        </w:tc>
        <w:tc>
          <w:tcPr>
            <w:tcW w:w="180" w:type="dxa"/>
            <w:vAlign w:val="bottom"/>
          </w:tcPr>
          <w:p>
            <w:pPr>
              <w:spacing w:after="0"/>
              <w:rPr>
                <w:sz w:val="17"/>
                <w:szCs w:val="17"/>
                <w:color w:val="auto"/>
              </w:rPr>
            </w:pPr>
          </w:p>
        </w:tc>
        <w:tc>
          <w:tcPr>
            <w:tcW w:w="12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12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(0.4)</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Costs of revenue less ancillary services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55.7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79.5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20.1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60.3%</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2"/>
          </w:tcPr>
          <w:p>
            <w:pPr>
              <w:spacing w:after="0" w:line="196" w:lineRule="exact"/>
              <w:rPr>
                <w:sz w:val="20"/>
                <w:szCs w:val="20"/>
                <w:color w:val="auto"/>
              </w:rPr>
            </w:pPr>
            <w:r>
              <w:rPr>
                <w:rFonts w:ascii="Arial" w:cs="Arial" w:eastAsia="Arial" w:hAnsi="Arial"/>
                <w:sz w:val="18"/>
                <w:szCs w:val="18"/>
                <w:color w:val="auto"/>
              </w:rPr>
              <w:t>Adjusted Gross Profit</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0"/>
              <w:spacing w:after="0" w:line="196" w:lineRule="exact"/>
              <w:rPr>
                <w:sz w:val="20"/>
                <w:szCs w:val="20"/>
                <w:color w:val="auto"/>
              </w:rPr>
            </w:pPr>
            <w:r>
              <w:rPr>
                <w:rFonts w:ascii="Arial" w:cs="Arial" w:eastAsia="Arial" w:hAnsi="Arial"/>
                <w:sz w:val="18"/>
                <w:szCs w:val="18"/>
                <w:color w:val="auto"/>
              </w:rPr>
              <w:t>55.7</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0"/>
              <w:spacing w:after="0" w:line="196" w:lineRule="exact"/>
              <w:rPr>
                <w:sz w:val="20"/>
                <w:szCs w:val="20"/>
                <w:color w:val="auto"/>
              </w:rPr>
            </w:pPr>
            <w:r>
              <w:rPr>
                <w:rFonts w:ascii="Arial" w:cs="Arial" w:eastAsia="Arial" w:hAnsi="Arial"/>
                <w:sz w:val="18"/>
                <w:szCs w:val="18"/>
                <w:color w:val="auto"/>
              </w:rPr>
              <w:t>79.5</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80"/>
              <w:spacing w:after="0" w:line="196" w:lineRule="exact"/>
              <w:rPr>
                <w:sz w:val="20"/>
                <w:szCs w:val="20"/>
                <w:color w:val="auto"/>
              </w:rPr>
            </w:pPr>
            <w:r>
              <w:rPr>
                <w:rFonts w:ascii="Arial" w:cs="Arial" w:eastAsia="Arial" w:hAnsi="Arial"/>
                <w:sz w:val="18"/>
                <w:szCs w:val="18"/>
                <w:color w:val="auto"/>
              </w:rPr>
              <w:t>20.1</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Adjusted Gross Margin</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63.2%</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69.4%</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68.4%</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Twelve Months</w:t>
            </w:r>
          </w:p>
        </w:tc>
        <w:tc>
          <w:tcPr>
            <w:tcW w:w="0" w:type="dxa"/>
            <w:vAlign w:val="bottom"/>
          </w:tcPr>
          <w:p>
            <w:pPr>
              <w:spacing w:after="0"/>
              <w:rPr>
                <w:sz w:val="1"/>
                <w:szCs w:val="1"/>
                <w:color w:val="auto"/>
              </w:rPr>
            </w:pPr>
          </w:p>
        </w:tc>
      </w:tr>
      <w:tr>
        <w:trPr>
          <w:trHeight w:val="203"/>
        </w:trPr>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w w:val="98"/>
              </w:rPr>
              <w:t>(Dollars In Millions)</w:t>
            </w:r>
          </w:p>
        </w:tc>
        <w:tc>
          <w:tcPr>
            <w:tcW w:w="20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
          </w:tcPr>
          <w:p>
            <w:pPr>
              <w:jc w:val="right"/>
              <w:ind w:right="1300"/>
              <w:spacing w:after="0" w:line="202" w:lineRule="exact"/>
              <w:rPr>
                <w:sz w:val="20"/>
                <w:szCs w:val="20"/>
                <w:color w:val="auto"/>
              </w:rPr>
            </w:pPr>
            <w:r>
              <w:rPr>
                <w:rFonts w:ascii="Arial" w:cs="Arial" w:eastAsia="Arial" w:hAnsi="Arial"/>
                <w:sz w:val="18"/>
                <w:szCs w:val="18"/>
                <w:b w:val="1"/>
                <w:bCs w:val="1"/>
                <w:color w:val="auto"/>
              </w:rPr>
              <w:t>Platform and</w:t>
            </w:r>
          </w:p>
        </w:tc>
        <w:tc>
          <w:tcPr>
            <w:tcW w:w="20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Ended December 31,</w:t>
            </w:r>
          </w:p>
        </w:tc>
        <w:tc>
          <w:tcPr>
            <w:tcW w:w="0" w:type="dxa"/>
            <w:vAlign w:val="bottom"/>
          </w:tcPr>
          <w:p>
            <w:pPr>
              <w:spacing w:after="0"/>
              <w:rPr>
                <w:sz w:val="1"/>
                <w:szCs w:val="1"/>
                <w:color w:val="auto"/>
              </w:rPr>
            </w:pPr>
          </w:p>
        </w:tc>
      </w:tr>
      <w:tr>
        <w:trPr>
          <w:trHeight w:val="232"/>
        </w:trPr>
        <w:tc>
          <w:tcPr>
            <w:tcW w:w="1660" w:type="dxa"/>
            <w:vAlign w:val="bottom"/>
            <w:tcBorders>
              <w:bottom w:val="single" w:sz="8" w:color="auto"/>
            </w:tcBorders>
            <w:vMerge w:val="continue"/>
          </w:tcPr>
          <w:p>
            <w:pPr>
              <w:spacing w:after="0"/>
              <w:rPr>
                <w:sz w:val="20"/>
                <w:szCs w:val="20"/>
                <w:color w:val="auto"/>
              </w:rPr>
            </w:pPr>
          </w:p>
        </w:tc>
        <w:tc>
          <w:tcPr>
            <w:tcW w:w="202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Transaction</w:t>
            </w:r>
          </w:p>
        </w:tc>
        <w:tc>
          <w:tcPr>
            <w:tcW w:w="400" w:type="dxa"/>
            <w:vAlign w:val="bottom"/>
          </w:tcPr>
          <w:p>
            <w:pPr>
              <w:spacing w:after="0"/>
              <w:rPr>
                <w:sz w:val="20"/>
                <w:szCs w:val="20"/>
                <w:color w:val="auto"/>
              </w:rPr>
            </w:pPr>
          </w:p>
        </w:tc>
        <w:tc>
          <w:tcPr>
            <w:tcW w:w="2620" w:type="dxa"/>
            <w:vAlign w:val="bottom"/>
            <w:gridSpan w:val="3"/>
          </w:tcPr>
          <w:p>
            <w:pPr>
              <w:ind w:left="20"/>
              <w:spacing w:after="0"/>
              <w:rPr>
                <w:sz w:val="20"/>
                <w:szCs w:val="20"/>
                <w:color w:val="auto"/>
              </w:rPr>
            </w:pPr>
            <w:r>
              <w:rPr>
                <w:rFonts w:ascii="Arial" w:cs="Arial" w:eastAsia="Arial" w:hAnsi="Arial"/>
                <w:sz w:val="18"/>
                <w:szCs w:val="18"/>
                <w:b w:val="1"/>
                <w:bCs w:val="1"/>
                <w:color w:val="auto"/>
              </w:rPr>
              <w:t>Usage-Based Fee</w:t>
            </w:r>
          </w:p>
        </w:tc>
        <w:tc>
          <w:tcPr>
            <w:tcW w:w="180" w:type="dxa"/>
            <w:vAlign w:val="bottom"/>
          </w:tcPr>
          <w:p>
            <w:pPr>
              <w:spacing w:after="0"/>
              <w:rPr>
                <w:sz w:val="20"/>
                <w:szCs w:val="20"/>
                <w:color w:val="auto"/>
              </w:rPr>
            </w:pPr>
          </w:p>
        </w:tc>
        <w:tc>
          <w:tcPr>
            <w:tcW w:w="160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6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6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89.6</w:t>
            </w:r>
          </w:p>
        </w:tc>
        <w:tc>
          <w:tcPr>
            <w:tcW w:w="6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42.2</w:t>
            </w:r>
          </w:p>
        </w:tc>
        <w:tc>
          <w:tcPr>
            <w:tcW w:w="1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131.8</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spacing w:after="0" w:line="202" w:lineRule="exact"/>
              <w:rPr>
                <w:sz w:val="20"/>
                <w:szCs w:val="20"/>
                <w:color w:val="auto"/>
              </w:rPr>
            </w:pPr>
            <w:r>
              <w:rPr>
                <w:rFonts w:ascii="Arial" w:cs="Arial" w:eastAsia="Arial" w:hAnsi="Arial"/>
                <w:sz w:val="18"/>
                <w:szCs w:val="18"/>
                <w:color w:val="auto"/>
              </w:rPr>
              <w:t>Adjusted to exclude gross up for:</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Pass-through cost for printing and</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540"/>
              <w:spacing w:after="0" w:line="203" w:lineRule="exact"/>
              <w:rPr>
                <w:sz w:val="20"/>
                <w:szCs w:val="20"/>
                <w:color w:val="auto"/>
              </w:rPr>
            </w:pPr>
            <w:r>
              <w:rPr>
                <w:rFonts w:ascii="Arial" w:cs="Arial" w:eastAsia="Arial" w:hAnsi="Arial"/>
                <w:sz w:val="18"/>
                <w:szCs w:val="18"/>
                <w:color w:val="auto"/>
              </w:rPr>
              <w:t>mailing</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80"/>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jc w:val="right"/>
              <w:ind w:right="1040"/>
              <w:spacing w:after="0" w:line="203" w:lineRule="exact"/>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3"/>
        </w:trPr>
        <w:tc>
          <w:tcPr>
            <w:tcW w:w="36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Marketing fees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(1.4)</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
          </w:tcPr>
          <w:p>
            <w:pPr>
              <w:jc w:val="right"/>
              <w:ind w:right="11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 Less Ancillary Services</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w:t>
            </w: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1100"/>
              <w:spacing w:after="0" w:line="202" w:lineRule="exact"/>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0"/>
        </w:trPr>
        <w:tc>
          <w:tcPr>
            <w:tcW w:w="36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gridSpan w:val="2"/>
          </w:tcPr>
          <w:p>
            <w:pPr>
              <w:spacing w:after="0" w:line="196" w:lineRule="exact"/>
              <w:rPr>
                <w:sz w:val="20"/>
                <w:szCs w:val="20"/>
                <w:color w:val="auto"/>
              </w:rPr>
            </w:pPr>
            <w:r>
              <w:rPr>
                <w:rFonts w:ascii="Arial" w:cs="Arial" w:eastAsia="Arial" w:hAnsi="Arial"/>
                <w:sz w:val="18"/>
                <w:szCs w:val="18"/>
                <w:color w:val="auto"/>
              </w:rPr>
              <w:t>Percentage of Revenue</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520"/>
              <w:spacing w:after="0" w:line="196" w:lineRule="exact"/>
              <w:rPr>
                <w:sz w:val="20"/>
                <w:szCs w:val="20"/>
                <w:color w:val="auto"/>
              </w:rPr>
            </w:pPr>
            <w:r>
              <w:rPr>
                <w:rFonts w:ascii="Arial" w:cs="Arial" w:eastAsia="Arial" w:hAnsi="Arial"/>
                <w:sz w:val="18"/>
                <w:szCs w:val="18"/>
                <w:color w:val="auto"/>
              </w:rPr>
              <w:t>68.0%</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
          </w:tcPr>
          <w:p>
            <w:pPr>
              <w:jc w:val="right"/>
              <w:ind w:right="940"/>
              <w:spacing w:after="0" w:line="196" w:lineRule="exact"/>
              <w:rPr>
                <w:sz w:val="20"/>
                <w:szCs w:val="20"/>
                <w:color w:val="auto"/>
              </w:rPr>
            </w:pPr>
            <w:r>
              <w:rPr>
                <w:rFonts w:ascii="Arial" w:cs="Arial" w:eastAsia="Arial" w:hAnsi="Arial"/>
                <w:sz w:val="18"/>
                <w:szCs w:val="18"/>
                <w:color w:val="auto"/>
              </w:rPr>
              <w:t>32.0%</w:t>
            </w:r>
          </w:p>
        </w:tc>
        <w:tc>
          <w:tcPr>
            <w:tcW w:w="180" w:type="dxa"/>
            <w:vAlign w:val="bottom"/>
          </w:tcPr>
          <w:p>
            <w:pPr>
              <w:spacing w:after="0"/>
              <w:rPr>
                <w:sz w:val="17"/>
                <w:szCs w:val="17"/>
                <w:color w:val="auto"/>
              </w:rPr>
            </w:pPr>
          </w:p>
        </w:tc>
        <w:tc>
          <w:tcPr>
            <w:tcW w:w="18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Percentage of Revenue less Ancillary</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Services</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77.0%</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jc w:val="right"/>
              <w:ind w:right="940"/>
              <w:spacing w:after="0" w:line="203" w:lineRule="exact"/>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65"/>
        </w:trPr>
        <w:tc>
          <w:tcPr>
            <w:tcW w:w="1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3" w:name="page94"/>
    <w:bookmarkEnd w:id="9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340" w:type="dxa"/>
            <w:vAlign w:val="bottom"/>
            <w:gridSpan w:val="4"/>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Table of Contents</w:t>
              </w:r>
            </w:hyperlink>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7"/>
        </w:trPr>
        <w:tc>
          <w:tcPr>
            <w:tcW w:w="1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9"/>
              </w:rPr>
              <w:t>Three Months</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w w:val="97"/>
              </w:rPr>
              <w:t>(In Millions)</w:t>
            </w:r>
          </w:p>
        </w:tc>
        <w:tc>
          <w:tcPr>
            <w:tcW w:w="3220" w:type="dxa"/>
            <w:vAlign w:val="bottom"/>
            <w:gridSpan w:val="2"/>
            <w:vMerge w:val="restart"/>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gridSpan w:val="7"/>
          </w:tcPr>
          <w:p>
            <w:pPr>
              <w:ind w:left="200"/>
              <w:spacing w:after="0" w:line="202" w:lineRule="exact"/>
              <w:rPr>
                <w:sz w:val="20"/>
                <w:szCs w:val="20"/>
                <w:color w:val="auto"/>
              </w:rPr>
            </w:pPr>
            <w:r>
              <w:rPr>
                <w:rFonts w:ascii="Arial" w:cs="Arial" w:eastAsia="Arial" w:hAnsi="Arial"/>
                <w:sz w:val="18"/>
                <w:szCs w:val="18"/>
                <w:b w:val="1"/>
                <w:bCs w:val="1"/>
                <w:color w:val="auto"/>
              </w:rPr>
              <w:t>Platform and</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7"/>
          </w:tcPr>
          <w:p>
            <w:pPr>
              <w:jc w:val="center"/>
              <w:ind w:right="220"/>
              <w:spacing w:after="0" w:line="202" w:lineRule="exact"/>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322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Transaction</w:t>
            </w:r>
          </w:p>
        </w:tc>
        <w:tc>
          <w:tcPr>
            <w:tcW w:w="460" w:type="dxa"/>
            <w:vAlign w:val="bottom"/>
          </w:tcPr>
          <w:p>
            <w:pPr>
              <w:spacing w:after="0"/>
              <w:rPr>
                <w:sz w:val="20"/>
                <w:szCs w:val="20"/>
                <w:color w:val="auto"/>
              </w:rPr>
            </w:pPr>
          </w:p>
        </w:tc>
        <w:tc>
          <w:tcPr>
            <w:tcW w:w="2380" w:type="dxa"/>
            <w:vAlign w:val="bottom"/>
            <w:gridSpan w:val="10"/>
          </w:tcPr>
          <w:p>
            <w:pPr>
              <w:spacing w:after="0"/>
              <w:rPr>
                <w:sz w:val="20"/>
                <w:szCs w:val="20"/>
                <w:color w:val="auto"/>
              </w:rPr>
            </w:pPr>
            <w:r>
              <w:rPr>
                <w:rFonts w:ascii="Arial" w:cs="Arial" w:eastAsia="Arial" w:hAnsi="Arial"/>
                <w:sz w:val="18"/>
                <w:szCs w:val="18"/>
                <w:b w:val="1"/>
                <w:bCs w:val="1"/>
                <w:color w:val="auto"/>
              </w:rPr>
              <w:t>Usage-Based Fee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2021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2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4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32.4</w:t>
            </w:r>
          </w:p>
        </w:tc>
        <w:tc>
          <w:tcPr>
            <w:tcW w:w="6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12.6</w:t>
            </w:r>
          </w:p>
        </w:tc>
        <w:tc>
          <w:tcPr>
            <w:tcW w:w="4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tcPr>
          <w:p>
            <w:pPr>
              <w:spacing w:after="0" w:line="202" w:lineRule="exact"/>
              <w:rPr>
                <w:sz w:val="20"/>
                <w:szCs w:val="20"/>
                <w:color w:val="auto"/>
              </w:rPr>
            </w:pPr>
            <w:r>
              <w:rPr>
                <w:rFonts w:ascii="Arial" w:cs="Arial" w:eastAsia="Arial" w:hAnsi="Arial"/>
                <w:sz w:val="18"/>
                <w:szCs w:val="18"/>
                <w:color w:val="auto"/>
              </w:rPr>
              <w:t>Adjusted to exclude gross up for:</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Pass-through cost for printing and mailing</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Marketing fees</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(0.3)</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Revenue Less Ancillary Services</w:t>
            </w:r>
          </w:p>
        </w:tc>
        <w:tc>
          <w:tcPr>
            <w:tcW w:w="8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32.1</w:t>
            </w:r>
          </w:p>
        </w:tc>
        <w:tc>
          <w:tcPr>
            <w:tcW w:w="6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4220" w:type="dxa"/>
            <w:vAlign w:val="bottom"/>
            <w:gridSpan w:val="3"/>
          </w:tcPr>
          <w:p>
            <w:pPr>
              <w:spacing w:after="0" w:line="196" w:lineRule="exact"/>
              <w:rPr>
                <w:sz w:val="20"/>
                <w:szCs w:val="20"/>
                <w:color w:val="auto"/>
              </w:rPr>
            </w:pPr>
            <w:r>
              <w:rPr>
                <w:rFonts w:ascii="Arial" w:cs="Arial" w:eastAsia="Arial" w:hAnsi="Arial"/>
                <w:sz w:val="18"/>
                <w:szCs w:val="18"/>
                <w:color w:val="auto"/>
              </w:rPr>
              <w:t>Percentage of Revenue</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72.0%</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4"/>
          </w:tcPr>
          <w:p>
            <w:pPr>
              <w:jc w:val="right"/>
              <w:ind w:right="300"/>
              <w:spacing w:after="0" w:line="196" w:lineRule="exact"/>
              <w:rPr>
                <w:sz w:val="20"/>
                <w:szCs w:val="20"/>
                <w:color w:val="auto"/>
              </w:rPr>
            </w:pPr>
            <w:r>
              <w:rPr>
                <w:rFonts w:ascii="Arial" w:cs="Arial" w:eastAsia="Arial" w:hAnsi="Arial"/>
                <w:sz w:val="18"/>
                <w:szCs w:val="18"/>
                <w:color w:val="auto"/>
              </w:rPr>
              <w:t>28.0%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Percentage of Revenue less Ancillary Services</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79.9%</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18"/>
                <w:szCs w:val="18"/>
                <w:i w:val="1"/>
                <w:iCs w:val="1"/>
                <w:color w:val="auto"/>
              </w:rPr>
              <w:t>EBITDA and Adjusted EBITDA:</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8"/>
              </w:rPr>
              <w:t>Three Months</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8"/>
          </w:tcPr>
          <w:p>
            <w:pPr>
              <w:jc w:val="right"/>
              <w:ind w:right="800"/>
              <w:spacing w:after="0" w:line="202" w:lineRule="exact"/>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4"/>
          </w:tcPr>
          <w:p>
            <w:pPr>
              <w:jc w:val="center"/>
              <w:ind w:left="250"/>
              <w:spacing w:after="0" w:line="202" w:lineRule="exact"/>
              <w:rPr>
                <w:sz w:val="20"/>
                <w:szCs w:val="20"/>
                <w:color w:val="auto"/>
              </w:rPr>
            </w:pPr>
            <w:r>
              <w:rPr>
                <w:rFonts w:ascii="Arial" w:cs="Arial" w:eastAsia="Arial" w:hAnsi="Arial"/>
                <w:sz w:val="18"/>
                <w:szCs w:val="18"/>
                <w:b w:val="1"/>
                <w:bCs w:val="1"/>
                <w:color w:val="auto"/>
              </w:rPr>
              <w:t>Ended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w w:val="97"/>
              </w:rPr>
              <w:t>(In Millions)</w:t>
            </w:r>
          </w:p>
        </w:tc>
        <w:tc>
          <w:tcPr>
            <w:tcW w:w="3220" w:type="dxa"/>
            <w:vAlign w:val="bottom"/>
            <w:gridSpan w:val="2"/>
            <w:vMerge w:val="restart"/>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8"/>
          </w:tcPr>
          <w:p>
            <w:pPr>
              <w:jc w:val="right"/>
              <w:ind w:right="70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99"/>
              </w:rPr>
              <w:t>March 31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2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50"/>
              <w:spacing w:after="0" w:line="182" w:lineRule="exact"/>
              <w:rPr>
                <w:sz w:val="20"/>
                <w:szCs w:val="20"/>
                <w:color w:val="auto"/>
              </w:rPr>
            </w:pPr>
            <w:r>
              <w:rPr>
                <w:rFonts w:ascii="Arial" w:cs="Arial" w:eastAsia="Arial" w:hAnsi="Arial"/>
                <w:sz w:val="18"/>
                <w:szCs w:val="18"/>
                <w:b w:val="1"/>
                <w:bCs w:val="1"/>
                <w:color w:val="auto"/>
                <w:w w:val="99"/>
              </w:rPr>
              <w:t>2019</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jc w:val="right"/>
              <w:ind w:right="140"/>
              <w:spacing w:after="0" w:line="182" w:lineRule="exact"/>
              <w:rPr>
                <w:sz w:val="20"/>
                <w:szCs w:val="20"/>
                <w:color w:val="auto"/>
              </w:rPr>
            </w:pPr>
            <w:r>
              <w:rPr>
                <w:rFonts w:ascii="Arial" w:cs="Arial" w:eastAsia="Arial" w:hAnsi="Arial"/>
                <w:sz w:val="18"/>
                <w:szCs w:val="18"/>
                <w:b w:val="1"/>
                <w:bCs w:val="1"/>
                <w:color w:val="auto"/>
                <w:w w:val="99"/>
              </w:rPr>
              <w:t>2020</w:t>
            </w: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jc w:val="right"/>
              <w:ind w:right="50"/>
              <w:spacing w:after="0" w:line="182" w:lineRule="exact"/>
              <w:rPr>
                <w:sz w:val="20"/>
                <w:szCs w:val="20"/>
                <w:color w:val="auto"/>
              </w:rPr>
            </w:pPr>
            <w:r>
              <w:rPr>
                <w:rFonts w:ascii="Arial" w:cs="Arial" w:eastAsia="Arial" w:hAnsi="Arial"/>
                <w:sz w:val="18"/>
                <w:szCs w:val="18"/>
                <w:b w:val="1"/>
                <w:bCs w:val="1"/>
                <w:color w:val="auto"/>
                <w:w w:val="99"/>
              </w:rPr>
              <w:t>2020</w:t>
            </w:r>
          </w:p>
        </w:tc>
        <w:tc>
          <w:tcPr>
            <w:tcW w:w="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9"/>
              </w:rPr>
              <w:t>2021</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2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Net income (loss)</w:t>
            </w:r>
          </w:p>
        </w:tc>
        <w:tc>
          <w:tcPr>
            <w:tcW w:w="4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(20.1)</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(11.1)</w:t>
            </w: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3.7</w:t>
            </w:r>
          </w:p>
        </w:tc>
        <w:tc>
          <w:tcPr>
            <w:tcW w:w="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tcPr>
          <w:p>
            <w:pPr>
              <w:spacing w:after="0" w:line="202" w:lineRule="exact"/>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2.5</w:t>
            </w:r>
          </w:p>
        </w:tc>
        <w:tc>
          <w:tcPr>
            <w:tcW w:w="120" w:type="dxa"/>
            <w:vAlign w:val="bottom"/>
          </w:tcPr>
          <w:p>
            <w:pPr>
              <w:spacing w:after="0"/>
              <w:rPr>
                <w:sz w:val="17"/>
                <w:szCs w:val="17"/>
                <w:color w:val="auto"/>
              </w:rPr>
            </w:pPr>
          </w:p>
        </w:tc>
        <w:tc>
          <w:tcPr>
            <w:tcW w:w="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220" w:type="dxa"/>
            <w:vAlign w:val="bottom"/>
            <w:gridSpan w:val="3"/>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6.8</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EBITDA</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3.8</w:t>
            </w:r>
          </w:p>
        </w:tc>
        <w:tc>
          <w:tcPr>
            <w:tcW w:w="120" w:type="dxa"/>
            <w:vAlign w:val="bottom"/>
          </w:tcPr>
          <w:p>
            <w:pPr>
              <w:spacing w:after="0"/>
              <w:rPr>
                <w:sz w:val="17"/>
                <w:szCs w:val="17"/>
                <w:color w:val="auto"/>
              </w:rPr>
            </w:pPr>
          </w:p>
        </w:tc>
        <w:tc>
          <w:tcPr>
            <w:tcW w:w="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tcPr>
          <w:p>
            <w:pPr>
              <w:spacing w:after="0" w:line="202" w:lineRule="exact"/>
              <w:rPr>
                <w:sz w:val="20"/>
                <w:szCs w:val="20"/>
                <w:color w:val="auto"/>
              </w:rPr>
            </w:pPr>
            <w:r>
              <w:rPr>
                <w:rFonts w:ascii="Arial" w:cs="Arial" w:eastAsia="Arial" w:hAnsi="Arial"/>
                <w:sz w:val="18"/>
                <w:szCs w:val="18"/>
                <w:color w:val="auto"/>
              </w:rPr>
              <w:t>Change in fair value of preferred stock liability</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0.7</w:t>
            </w:r>
          </w:p>
        </w:tc>
        <w:tc>
          <w:tcPr>
            <w:tcW w:w="120" w:type="dxa"/>
            <w:vAlign w:val="bottom"/>
          </w:tcPr>
          <w:p>
            <w:pPr>
              <w:spacing w:after="0"/>
              <w:rPr>
                <w:sz w:val="17"/>
                <w:szCs w:val="17"/>
                <w:color w:val="auto"/>
              </w:rPr>
            </w:pPr>
          </w:p>
        </w:tc>
        <w:tc>
          <w:tcPr>
            <w:tcW w:w="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15"/>
                <w:szCs w:val="15"/>
                <w:color w:val="auto"/>
              </w:rPr>
              <w:t>(1)</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Acquisition related transaction costs </w:t>
            </w:r>
            <w:r>
              <w:rPr>
                <w:rFonts w:ascii="Arial" w:cs="Arial" w:eastAsia="Arial" w:hAnsi="Arial"/>
                <w:sz w:val="15"/>
                <w:szCs w:val="15"/>
                <w:color w:val="auto"/>
              </w:rPr>
              <w:t>(2)</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 xml:space="preserve">Acquisition related employee retention costs </w:t>
            </w:r>
            <w:r>
              <w:rPr>
                <w:rFonts w:ascii="Arial" w:cs="Arial" w:eastAsia="Arial" w:hAnsi="Arial"/>
                <w:sz w:val="15"/>
                <w:szCs w:val="15"/>
                <w:color w:val="auto"/>
              </w:rPr>
              <w:t>(3)</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gridSpan w:val="3"/>
          </w:tcPr>
          <w:p>
            <w:pPr>
              <w:ind w:left="68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0.9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340" w:right="40" w:hanging="224"/>
        <w:spacing w:after="0" w:line="24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the year ended December 31, 2019, other (income) expense consisted of interest income of $0.4 million and gains from remeasurement of foreign currency transactions into their functional currency of $0.1 million. For the year ended December 31, 2020, other (income) expense consisted of interest income of $0.1 million and gains from the remeasurement of foreign currency transactions into their functional currency of $0.6 million. For the three months ended March 31, 2020, other (income) expense consisted of interest income of less than $0.1 million and losses from remeasurement of foreign currency transactions into their functional currency of less than $0.1 million. For the three months ended March 31, 2021, other (income) expense consisted of losses from the remeasurement of foreign currency transactions into their functional currency of $0.4 million.</w:t>
      </w:r>
    </w:p>
    <w:p>
      <w:pPr>
        <w:spacing w:after="0" w:line="2" w:lineRule="exact"/>
        <w:rPr>
          <w:rFonts w:ascii="Arial" w:cs="Arial" w:eastAsia="Arial" w:hAnsi="Arial"/>
          <w:sz w:val="14"/>
          <w:szCs w:val="14"/>
          <w:color w:val="auto"/>
        </w:rPr>
      </w:pPr>
    </w:p>
    <w:p>
      <w:pPr>
        <w:ind w:left="340" w:hanging="224"/>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Acquisition related costs consisted of legal and advisory fees incurred in connection with the Simplee acquisition.</w:t>
      </w:r>
    </w:p>
    <w:p>
      <w:pPr>
        <w:spacing w:after="0" w:line="1" w:lineRule="exact"/>
        <w:rPr>
          <w:rFonts w:ascii="Arial" w:cs="Arial" w:eastAsia="Arial" w:hAnsi="Arial"/>
          <w:sz w:val="14"/>
          <w:szCs w:val="14"/>
          <w:color w:val="auto"/>
        </w:rPr>
      </w:pPr>
    </w:p>
    <w:p>
      <w:pPr>
        <w:ind w:left="340" w:hanging="224"/>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Acquisition related employee retention costs consisted of costs incurred to retain and compensate Simplee’s employees in connection with integration of the business.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193"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46"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usage-based fee revenue) depending on the nature of the activity of our clients and our clients’ customers on our platform.</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in Technology and Development and Sales and Marketing</w:t>
      </w:r>
    </w:p>
    <w:p>
      <w:pPr>
        <w:spacing w:after="0" w:line="20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will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spacing w:after="0" w:line="164"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Additionally, we will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including adjusting spending levels as needed in response to changes in the economic environment.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Seasonality</w:t>
      </w:r>
    </w:p>
    <w:p>
      <w:pPr>
        <w:spacing w:after="0" w:line="207"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7"/>
          <w:szCs w:val="17"/>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and total payment volume.</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193"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COVID-19, could affect the amounts of volumes processed on our platform, thus resulting in fluctuations to our revenue streams.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207"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unprecedented and rapid spread of COVID-19 as well as the shelter-in-place orders, promotion of social distancing measures, restrictions to businesses deemed non-essential, and travel restrictions implemented throughout the United States and globally have significantly impacted the verticals in which we have been predominantly focused over the last decade, including payment volumes, sales cycles and time to implementation in those verticals. However, we have not experienced any significant client attrition and our net dollar-based retention rate remained strong. In 2018 and 2019, our net dollar-based retention rate was 126% and 128%, respectively. In 2020, despite the impact of the COVID-19 pandemic on our clients and the industries we serve, we had annual dollar-based net retention rate of 100%, added over 400 new clients, and maintained strong client retention of approximately 97%. We will continue to evaluate the nature and extent of these potential impacts to our business, consolidated financial statements, and liquidity.</w:t>
      </w:r>
    </w:p>
    <w:p>
      <w:pPr>
        <w:spacing w:after="0" w:line="16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did not have a material impact on our consolidated financial statements for the year ended December 31, 2020 or the three months ended March 31, 2021. We continue to monitor any effects that may result from the CARES Act or other government relief programs that are made available.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20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Following the onset of the COVID-19 pandemic, payment volumes and revenue from education clients relying on international enrollments declined significantly, but we saw significant strength in revenue from healthcare clients, particularly as out-of-pocket costs for our clients’ customers continued to remain high. There can be no assurance that such trends or that the levels of total revenue that we generate from our healthcare clients will continue.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Dynamic Changes to Client Communication and Product Solutions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response to the macroeconomic impact of the COVID-19 pandemic, we initiated a series of refinements to our technology and personalization engine to optimize our clients’ ability to offer payment plans and communicate effectively and digitally with their customers. For example, we developed streamlined versions of our solution that allowed healthcare clients to rapidly deploy secure payment capabilities in support of newly emergent telehealth services that were deployed in the early phases of the COVID-19 to enable remote healthcare services.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during the COVID-19 pandemic as the lack of affordability drives the need for more financial flexibility.</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93" w:lineRule="exact"/>
        <w:rPr>
          <w:sz w:val="20"/>
          <w:szCs w:val="20"/>
          <w:color w:val="auto"/>
        </w:rPr>
      </w:pPr>
    </w:p>
    <w:p>
      <w:pPr>
        <w:jc w:val="both"/>
        <w:ind w:left="120" w:right="400" w:firstLine="440"/>
        <w:spacing w:after="0" w:line="238" w:lineRule="auto"/>
        <w:rPr>
          <w:sz w:val="20"/>
          <w:szCs w:val="20"/>
          <w:color w:val="auto"/>
        </w:rPr>
      </w:pPr>
      <w:r>
        <w:rPr>
          <w:rFonts w:ascii="Arial" w:cs="Arial" w:eastAsia="Arial" w:hAnsi="Arial"/>
          <w:sz w:val="18"/>
          <w:szCs w:val="18"/>
          <w:color w:val="auto"/>
        </w:rPr>
        <w:t>In response to COVID-19 developments, we implemented measures to focus on the safety of our employees and support of our clients, while at the same time seeking to mitigate the impact on our financial position and operations. We have implemented remote working capabilities for our entire organization and to date, there has been minimal disruption to our operations. We also reduced our workforce by approximately 12% during the spring of 2020.</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generate revenue from transactions and platform and usage-based fees as described below.</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 Revenue</w:t>
      </w:r>
    </w:p>
    <w:p>
      <w:pPr>
        <w:spacing w:after="0" w:line="203"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Transaction revenue consists of a fee based on the total payment volume processed through our payment platform and global payment network. The fee can vary depending on the geographic region in which our client and client’s customer resides, the payment method selected by our clients’ customer and the currencies in which the transaction is completed on our solution. Fees received are reported as revenue upon the completion of payment processing transaction.</w:t>
      </w:r>
    </w:p>
    <w:p>
      <w:pPr>
        <w:spacing w:after="0" w:line="164" w:lineRule="exact"/>
        <w:rPr>
          <w:sz w:val="20"/>
          <w:szCs w:val="20"/>
          <w:color w:val="auto"/>
        </w:rPr>
      </w:pPr>
    </w:p>
    <w:p>
      <w:pPr>
        <w:jc w:val="both"/>
        <w:ind w:left="120" w:right="140" w:firstLine="440"/>
        <w:spacing w:after="0" w:line="238" w:lineRule="auto"/>
        <w:rPr>
          <w:sz w:val="20"/>
          <w:szCs w:val="20"/>
          <w:color w:val="auto"/>
        </w:rPr>
      </w:pPr>
      <w:r>
        <w:rPr>
          <w:rFonts w:ascii="Arial" w:cs="Arial" w:eastAsia="Arial" w:hAnsi="Arial"/>
          <w:sz w:val="18"/>
          <w:szCs w:val="18"/>
          <w:color w:val="auto"/>
        </w:rPr>
        <w:t>We also earn marketing fees from credit card service providers for marketing arrangements in which we perform certain marketing activities to increase the awareness of the credit card provider and promote certain methods of payments on our payment platform. Fees from these marketing services are recognized as revenue when we complete our obligations under the marketing arrangements. We do not expect our marketing services revenue to be material in future periods.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Platform and Usage-Based Fee Revenue</w:t>
      </w:r>
    </w:p>
    <w:p>
      <w:pPr>
        <w:spacing w:after="0" w:line="203"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earn revenue from many of our clients based on the amount of accounts receivable they collect through our platform. For these services, we are paid a platform and usage-based fee based on the total payment volume that our clients collect. We also earn revenue from clients’ customers when they enter into a payment plan and make actual payments against a payment plan in satisfying their obligation to our client. Additionally, we earn a subscription fee from some of our clients for their use of our payment platform. Finally, we earn fees from providing other ancillary services to our clients including printing and mailing services.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9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employees who facilitate these payments and personnel related expenses for our employees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93" w:lineRule="exact"/>
        <w:rPr>
          <w:sz w:val="20"/>
          <w:szCs w:val="20"/>
          <w:color w:val="auto"/>
        </w:rPr>
      </w:pPr>
    </w:p>
    <w:p>
      <w:pPr>
        <w:ind w:left="120" w:right="80" w:firstLine="440"/>
        <w:spacing w:after="0" w:line="234" w:lineRule="auto"/>
        <w:rPr>
          <w:sz w:val="20"/>
          <w:szCs w:val="20"/>
          <w:color w:val="auto"/>
        </w:rPr>
      </w:pPr>
      <w:r>
        <w:rPr>
          <w:rFonts w:ascii="Arial" w:cs="Arial" w:eastAsia="Arial" w:hAnsi="Arial"/>
          <w:sz w:val="18"/>
          <w:szCs w:val="18"/>
          <w:color w:val="auto"/>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w:t>
      </w:r>
    </w:p>
    <w:p>
      <w:pPr>
        <w:ind w:left="380" w:hanging="264"/>
        <w:spacing w:after="0" w:line="238"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hardware and software engineering, consultant services and other costs associated with our technology platform and products,</w:t>
      </w: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research materials and facilities, and (g) depreciation and maintenance expense.</w:t>
      </w:r>
    </w:p>
    <w:p>
      <w:pPr>
        <w:spacing w:after="0" w:line="171"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93"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Selling and marketing expenses consist of personnel-related expenses, including stock-based compensation expense, sales commissions, amortization of acquired customer relationship intangible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assets, marketing program expenses, travel-related expenses and costs to market and promote our solutions through advertisements, marketing events, partnership arrangements, and direct customer acquisition.</w:t>
      </w:r>
    </w:p>
    <w:p>
      <w:pPr>
        <w:spacing w:after="0" w:line="170"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We focus our sales and marketing efforts on generating awareness of our company, platform, and solutions, creating sales leads, and establishing and promoting our brand. We plan to continue investing in sales and marketing efforts by driving our go -to-market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3"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7"/>
          <w:szCs w:val="17"/>
          <w:color w:val="auto"/>
        </w:rPr>
        <w:t>General and administrative expenses consist of personnel-related expenses, including stock-based compensation expense, for finance, risk management, legal and compliance, human resources and information technology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expense consists of interest incurred on our Loan and Security Agreement (LSA) with a lender. During 2019, we borrowed</w:t>
      </w:r>
    </w:p>
    <w:p>
      <w:pPr>
        <w:ind w:left="120"/>
        <w:spacing w:after="0"/>
        <w:rPr>
          <w:sz w:val="20"/>
          <w:szCs w:val="20"/>
          <w:color w:val="auto"/>
        </w:rPr>
      </w:pPr>
      <w:r>
        <w:rPr>
          <w:rFonts w:ascii="Arial" w:cs="Arial" w:eastAsia="Arial" w:hAnsi="Arial"/>
          <w:sz w:val="17"/>
          <w:szCs w:val="17"/>
          <w:color w:val="auto"/>
        </w:rPr>
        <w:t>$25.0 million under the LSA to complete our acquisition of OnPlan Holdings LLC. On April 25, 2020, we entered into a Joinder and Second</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Amendment to the LSA to refinance the LSA. As part of the refinancing, the lender re-advanced $4.2 million of principal paid on the loan</w:t>
      </w:r>
    </w:p>
    <w:p>
      <w:pPr>
        <w:ind w:left="120"/>
        <w:spacing w:after="0" w:line="234" w:lineRule="auto"/>
        <w:rPr>
          <w:sz w:val="20"/>
          <w:szCs w:val="20"/>
          <w:color w:val="auto"/>
        </w:rPr>
      </w:pPr>
      <w:r>
        <w:rPr>
          <w:rFonts w:ascii="Arial" w:cs="Arial" w:eastAsia="Arial" w:hAnsi="Arial"/>
          <w:sz w:val="18"/>
          <w:szCs w:val="18"/>
          <w:color w:val="auto"/>
        </w:rPr>
        <w:t>through May 1, 2020. The LSA is interest only until May 2023 and bears annual interest at a rate equal to the greater of (i) 5.25% above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prime rate or (ii) 8.50%. Previously, our interest rate was at an annual fixed rate of 8.5%.</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Preferred Stock Warrant Liability</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connection with our financing arrangements, we issued warrants to purchase convertible preferred stock to a lender. The warrants to purchase preferred stock provide for net share settlement under which the maximum number of shares that could be issued represents the total amount of shares under the warrant agreements. These warrants are classified as liabilities on our consolidated balance sheets as these are free standing instruments that may require us to transfer an asset upon exercise. The warrant liability associated with these warrants was recorded at fair value on the issuance date of the warrants and is marked to market each reporting period based on changes in the warrants’ fair value calculated using the Black-Scholes model. We will no longer have the change in fair value of preferred stock warrant liability in our consolidated statements of operations and comprehensive loss after the closing of this offering.</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left="120" w:right="820" w:firstLine="440"/>
        <w:spacing w:after="0" w:line="246" w:lineRule="auto"/>
        <w:rPr>
          <w:sz w:val="20"/>
          <w:szCs w:val="20"/>
          <w:color w:val="auto"/>
        </w:rPr>
      </w:pPr>
      <w:r>
        <w:rPr>
          <w:rFonts w:ascii="Arial" w:cs="Arial" w:eastAsia="Arial" w:hAnsi="Arial"/>
          <w:sz w:val="18"/>
          <w:szCs w:val="18"/>
          <w:color w:val="auto"/>
        </w:rPr>
        <w:t>Other income (expense), net consists of interest income and gains and losses from the remeasurement of foreign currency transactions into its functional currency.</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(Benefit From) Income Tax</w:t>
      </w:r>
    </w:p>
    <w:p>
      <w:pPr>
        <w:spacing w:after="0" w:line="193"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Provision for (benefit from) income taxes consists of foreign and state income taxes. We have generated net operating loss (NOL) carryforwards for U.S. Federal tax purposes as we expand the scale of our international business activities. Any changes in the U.S. and foreign taxation of such activities may increase our overall provision for income taxes in the future.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0" w:firstLine="440"/>
        <w:spacing w:after="0"/>
        <w:rPr>
          <w:sz w:val="20"/>
          <w:szCs w:val="20"/>
          <w:color w:val="auto"/>
        </w:rPr>
      </w:pPr>
      <w:r>
        <w:rPr>
          <w:rFonts w:ascii="Arial" w:cs="Arial" w:eastAsia="Arial" w:hAnsi="Arial"/>
          <w:sz w:val="18"/>
          <w:szCs w:val="18"/>
          <w:color w:val="auto"/>
        </w:rPr>
        <w:t>We have a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generated in the United States.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results for the Three Months Ended March, 31, 2020 and 2021</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9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Three Months Ended March 31,</w:t>
      </w: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32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10"/>
              <w:spacing w:after="0" w:line="182" w:lineRule="exact"/>
              <w:rPr>
                <w:sz w:val="20"/>
                <w:szCs w:val="20"/>
                <w:color w:val="auto"/>
              </w:rPr>
            </w:pPr>
            <w:r>
              <w:rPr>
                <w:rFonts w:ascii="Arial" w:cs="Arial" w:eastAsia="Arial" w:hAnsi="Arial"/>
                <w:sz w:val="18"/>
                <w:szCs w:val="18"/>
                <w:b w:val="1"/>
                <w:bCs w:val="1"/>
                <w:color w:val="auto"/>
              </w:rPr>
              <w:t>2020</w:t>
            </w:r>
          </w:p>
        </w:tc>
        <w:tc>
          <w:tcPr>
            <w:tcW w:w="7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10"/>
              <w:spacing w:after="0" w:line="182" w:lineRule="exact"/>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15"/>
                <w:szCs w:val="15"/>
                <w:color w:val="auto"/>
              </w:rPr>
            </w:pPr>
          </w:p>
        </w:tc>
        <w:tc>
          <w:tcPr>
            <w:tcW w:w="42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680"/>
              <w:spacing w:after="0" w:line="182" w:lineRule="exact"/>
              <w:rPr>
                <w:sz w:val="20"/>
                <w:szCs w:val="20"/>
                <w:color w:val="auto"/>
              </w:rPr>
            </w:pPr>
            <w:r>
              <w:rPr>
                <w:rFonts w:ascii="Arial" w:cs="Arial" w:eastAsia="Arial" w:hAnsi="Arial"/>
                <w:sz w:val="18"/>
                <w:szCs w:val="18"/>
                <w:b w:val="1"/>
                <w:bCs w:val="1"/>
                <w:color w:val="auto"/>
                <w:w w:val="99"/>
              </w:rPr>
              <w:t>Change</w:t>
            </w:r>
          </w:p>
        </w:tc>
        <w:tc>
          <w:tcPr>
            <w:tcW w:w="1160" w:type="dxa"/>
            <w:vAlign w:val="bottom"/>
            <w:gridSpan w:val="2"/>
          </w:tcPr>
          <w:p>
            <w:pPr>
              <w:jc w:val="right"/>
              <w:ind w:right="280"/>
              <w:spacing w:after="0" w:line="182" w:lineRule="exact"/>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20"/>
        </w:trPr>
        <w:tc>
          <w:tcPr>
            <w:tcW w:w="45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32.7</w:t>
            </w:r>
          </w:p>
        </w:tc>
        <w:tc>
          <w:tcPr>
            <w:tcW w:w="72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45.0</w:t>
            </w:r>
          </w:p>
        </w:tc>
        <w:tc>
          <w:tcPr>
            <w:tcW w:w="36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12.3</w:t>
            </w:r>
          </w:p>
        </w:tc>
        <w:tc>
          <w:tcPr>
            <w:tcW w:w="680" w:type="dxa"/>
            <w:vAlign w:val="bottom"/>
            <w:vMerge w:val="continue"/>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Payment processing and service costs</w:t>
            </w:r>
          </w:p>
        </w:tc>
        <w:tc>
          <w:tcPr>
            <w:tcW w:w="260" w:type="dxa"/>
            <w:vAlign w:val="bottom"/>
          </w:tcPr>
          <w:p>
            <w:pPr>
              <w:spacing w:after="0"/>
              <w:rPr>
                <w:sz w:val="17"/>
                <w:szCs w:val="17"/>
                <w:color w:val="auto"/>
              </w:rPr>
            </w:pPr>
          </w:p>
        </w:tc>
        <w:tc>
          <w:tcPr>
            <w:tcW w:w="16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11.6</w:t>
            </w:r>
          </w:p>
        </w:tc>
        <w:tc>
          <w:tcPr>
            <w:tcW w:w="260" w:type="dxa"/>
            <w:vAlign w:val="bottom"/>
          </w:tcPr>
          <w:p>
            <w:pPr>
              <w:spacing w:after="0"/>
              <w:rPr>
                <w:sz w:val="17"/>
                <w:szCs w:val="17"/>
                <w:color w:val="auto"/>
              </w:rPr>
            </w:pP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16.1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4.5</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Technology and development</w:t>
            </w:r>
          </w:p>
        </w:tc>
        <w:tc>
          <w:tcPr>
            <w:tcW w:w="2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2.2</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7"/>
                <w:szCs w:val="17"/>
                <w:color w:val="auto"/>
              </w:rPr>
            </w:pPr>
          </w:p>
        </w:tc>
        <w:tc>
          <w:tcPr>
            <w:tcW w:w="16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8.6</w:t>
            </w:r>
          </w:p>
        </w:tc>
        <w:tc>
          <w:tcPr>
            <w:tcW w:w="260" w:type="dxa"/>
            <w:vAlign w:val="bottom"/>
          </w:tcPr>
          <w:p>
            <w:pPr>
              <w:spacing w:after="0"/>
              <w:rPr>
                <w:sz w:val="17"/>
                <w:szCs w:val="17"/>
                <w:color w:val="auto"/>
              </w:rPr>
            </w:pP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12.0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3.4</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5.6</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45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Total costs and operating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15.7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(3.4)</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
        </w:trPr>
        <w:tc>
          <w:tcPr>
            <w:tcW w:w="45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4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 of preferred stock warrant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liability</w:t>
            </w:r>
          </w:p>
        </w:tc>
        <w:tc>
          <w:tcPr>
            <w:tcW w:w="2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(0.7)</w:t>
            </w:r>
          </w:p>
        </w:tc>
        <w:tc>
          <w:tcPr>
            <w:tcW w:w="11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(0.4)</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1,225.8%</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(4.5)</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17"/>
                <w:szCs w:val="17"/>
                <w:color w:val="auto"/>
              </w:rPr>
            </w:pPr>
          </w:p>
        </w:tc>
        <w:tc>
          <w:tcPr>
            <w:tcW w:w="166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(7.7)</w:t>
            </w:r>
          </w:p>
        </w:tc>
        <w:tc>
          <w:tcPr>
            <w:tcW w:w="260" w:type="dxa"/>
            <w:vAlign w:val="bottom"/>
          </w:tcPr>
          <w:p>
            <w:pPr>
              <w:spacing w:after="0"/>
              <w:rPr>
                <w:sz w:val="17"/>
                <w:szCs w:val="17"/>
                <w:color w:val="auto"/>
              </w:rPr>
            </w:pP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7.9</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(12.4)</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0"/>
        </w:trPr>
        <w:tc>
          <w:tcPr>
            <w:tcW w:w="45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0.5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 (loss)</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(11.9)</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203"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Revenue was $45.0 million for the three months ended March 31, 2021, compared to $32.7 million for the three months ended March 31, 2020, an increase of $12.3 million or 37.6%.</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w w:val="98"/>
              </w:rPr>
              <w:t>(Dollars In Millions)</w:t>
            </w:r>
          </w:p>
        </w:tc>
        <w:tc>
          <w:tcPr>
            <w:tcW w:w="300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364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vMerge w:val="restart"/>
          </w:tcPr>
          <w:p>
            <w:pPr>
              <w:jc w:val="right"/>
              <w:ind w:right="64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188"/>
        </w:trPr>
        <w:tc>
          <w:tcPr>
            <w:tcW w:w="166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50"/>
              <w:spacing w:after="0" w:line="182" w:lineRule="exact"/>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Transaction revenue</w:t>
            </w: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25.2</w:t>
            </w:r>
          </w:p>
        </w:tc>
        <w:tc>
          <w:tcPr>
            <w:tcW w:w="34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32.4</w:t>
            </w: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w:t>
            </w:r>
          </w:p>
        </w:tc>
        <w:tc>
          <w:tcPr>
            <w:tcW w:w="640" w:type="dxa"/>
            <w:vAlign w:val="bottom"/>
            <w:vMerge w:val="continue"/>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Platform and usage-based fee revenue</w:t>
            </w: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5.1</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w:t>
            </w:r>
          </w:p>
        </w:tc>
        <w:tc>
          <w:tcPr>
            <w:tcW w:w="3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12.3</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Transaction revenue was $32.4 million for the three months ended March 31, 2021, compared to $25.2 million for the three months ended March 31, 2020, an increase of $7.2 million or 28.6%. The increase in transaction revenue was primarily driven by transactions originating in regions where we generate more transaction volume. Total payment volume increased 42.4% during the three months ended March 31, 2021 to $1.7 billion. This increase was partially offset by a $0.1 million decrease in</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marketing services revenue. Our marketing services revenue declined as a result of our payment partners using fewer of our marketing services in the three months ended March 31, 2021 compared to the three months ended March 31, 2020.</w:t>
      </w:r>
    </w:p>
    <w:p>
      <w:pPr>
        <w:spacing w:after="0" w:line="170" w:lineRule="exact"/>
        <w:rPr>
          <w:sz w:val="20"/>
          <w:szCs w:val="20"/>
          <w:color w:val="auto"/>
        </w:rPr>
      </w:pPr>
    </w:p>
    <w:p>
      <w:pPr>
        <w:ind w:left="120" w:firstLine="440"/>
        <w:spacing w:after="0" w:line="234" w:lineRule="auto"/>
        <w:rPr>
          <w:sz w:val="20"/>
          <w:szCs w:val="20"/>
          <w:color w:val="auto"/>
        </w:rPr>
      </w:pPr>
      <w:r>
        <w:rPr>
          <w:rFonts w:ascii="Arial" w:cs="Arial" w:eastAsia="Arial" w:hAnsi="Arial"/>
          <w:sz w:val="18"/>
          <w:szCs w:val="18"/>
          <w:color w:val="auto"/>
        </w:rPr>
        <w:t>Platform and usage-based fee revenue was $12.6 million for the three months ended March 31, 2021, compared to $7.5 million for the three months ended March 31, 2020, an increase of $5.1 million or 68.0%. The increase in platform and usage-based fee revenue was driven primarily by the Simplee acquisition, which accounted for $4.7 million of the increase over the same period in 2020, of which</w:t>
      </w:r>
    </w:p>
    <w:p>
      <w:pPr>
        <w:spacing w:after="0" w:line="2"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$1.9 million was related to ancillary printing and mailing services. The remainder of the increase was attributable to increased usage by our clients.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 Processing Services Costs</w:t>
      </w:r>
    </w:p>
    <w:p>
      <w:pPr>
        <w:spacing w:after="0" w:line="189"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Payment processing services costs were $16.1 million for the three months ended March 31, 2021, compared to $11.6 million for the three months ended March 31, 2020, an increase of $4.5 million or 38.8%. The increase in payment processing services costs is correlated with the increase in total payment volume of 70% over the same period, and was offset by lower processing costs related to bank, credit card and alternative payment transactions.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Technology and Development</w:t>
      </w:r>
    </w:p>
    <w:p>
      <w:pPr>
        <w:spacing w:after="0" w:line="189" w:lineRule="exact"/>
        <w:rPr>
          <w:sz w:val="20"/>
          <w:szCs w:val="20"/>
          <w:color w:val="auto"/>
        </w:rPr>
      </w:pPr>
    </w:p>
    <w:p>
      <w:pPr>
        <w:ind w:left="120" w:right="20" w:firstLine="440"/>
        <w:spacing w:after="0" w:line="234" w:lineRule="auto"/>
        <w:rPr>
          <w:sz w:val="20"/>
          <w:szCs w:val="20"/>
          <w:color w:val="auto"/>
        </w:rPr>
      </w:pPr>
      <w:r>
        <w:rPr>
          <w:rFonts w:ascii="Arial" w:cs="Arial" w:eastAsia="Arial" w:hAnsi="Arial"/>
          <w:sz w:val="18"/>
          <w:szCs w:val="18"/>
          <w:color w:val="auto"/>
        </w:rPr>
        <w:t>Technology and development expenses were $7.5 million for the three months ended March 31, 2021, compared to $5.3 million for the three months ended March 31, 2020, an increase of $2.2 million or 41.5%. The increase in technology and development cost was primarily driven by an increase in stock-based compensation expense, personnel costs, and an increase in amortization expense. Personnel costs were $3.8 million for the three months ended March 31, 2021, compared to $3.3 million for the three months ended March 31, 2020 an increase of $0.5 million or 15.2%. The increase in stock-based compensation expense was $1.1 million for the three months ended March 31, 2021, compared to $0.2 million for the three months ended March 31, 2020, an increase of $0.9 million. The increase in personnel costs was primarily driven by an increase in headcount within our technology and development teams partially offset by the capitalization of internally developed software costs during the period of $1.4 million. Amortization of intangible assets was</w:t>
      </w:r>
    </w:p>
    <w:p>
      <w:pPr>
        <w:spacing w:after="0" w:line="6" w:lineRule="exact"/>
        <w:rPr>
          <w:sz w:val="20"/>
          <w:szCs w:val="20"/>
          <w:color w:val="auto"/>
        </w:rPr>
      </w:pPr>
    </w:p>
    <w:p>
      <w:pPr>
        <w:ind w:left="120" w:right="720"/>
        <w:spacing w:after="0" w:line="246" w:lineRule="auto"/>
        <w:rPr>
          <w:sz w:val="20"/>
          <w:szCs w:val="20"/>
          <w:color w:val="auto"/>
        </w:rPr>
      </w:pPr>
      <w:r>
        <w:rPr>
          <w:rFonts w:ascii="Arial" w:cs="Arial" w:eastAsia="Arial" w:hAnsi="Arial"/>
          <w:sz w:val="18"/>
          <w:szCs w:val="18"/>
          <w:color w:val="auto"/>
        </w:rPr>
        <w:t>$1.0 million for the three months ended March 31, 2021, compared to $0.7 million for the three months ended March 31, 2020, an increase of $0.3 million or 42.9%. The increase in amortization expense was the result of the acquisition of Simplee.</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and Marketing</w:t>
      </w:r>
    </w:p>
    <w:p>
      <w:pPr>
        <w:spacing w:after="0" w:line="20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Selling and marketing expenses were $12.0 million for the three months ended March 31, 2021, compared to $8.6 million for the three months ended March 31, 2020, an increase of $3.4 million or 39.5%. The increase in selling and marketing expenses was primarily driven by an increase in personnel costs, and an increase in amortization expenses, partially offset by a decrease in travel related expenses. Stock-based compensation was $2.6 million for the three months ended March 31, 2021, compared to $0.3 million for the three months ended March 31, 2020, an increase of $2.3 million. Personnel costs increased by $0.9 million. The increase in personnel costs was primarily driven by an increase in headcount within our selling and marketing teams and commissions earned on sales during the period. Amortization of intangibles was $0.6 million for the three months ended March 31, 2021, compared to $0.4 million for the three months ended March 31, 2020, an increase of $0.2 million or 50.0%. The increase in amortization expense was the result of the acquisition of Simplee which added $48.3 million of acquired customer relationships, which have a weighted-average amortization period of 12 years. Travel related costs during the three months ended March 31, 2021 decreased by $0.5 million compared to the same period in 2020.</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General and administrative expenses were $15.9 million for the three months ended March 31, 2021, compared to $ 10.3 million for the three months ended March 31, 2020, an increase of $5.6 million or 54.4%. The increase in general and administrative expenses was primarily driven by the increase in stock-based compensation, professional fees and the change in the fair value of contingent consideration. These increases were partially offset by decreases in travel and acquisition related costs. Stock-based compensation was $6.6 million for the three months ended March 31, 2021, compared to $0.4 million for the three months ended March 31, 2020, an increase of $6.2 million. The increase in compensation is directly attributable to incremental compensation charges taken in relation to a secondary sale during the period that involved stockholders who were also our employees. Professional fees were $1.3 million for the three months ended March 31, 2021, compared to $0.9 million for the three months ended March 31, 2020, an increase of $0.4 million. The change in the fair value of contingent consideration related to acquisitions was $0.1 million for the three months ended March 31, 2021, compared to ($0.3) million for the three months ended March 31, 2020, an increase of $0.3 million or 300.0%.</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expense remained essentially unchanged at $0.6 million for the three months ended March 31, 2021 and 2020.</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8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change in fair value of preferred stock warrant liability was $1.0 million for the three months ended March 31, 2021, compared to $0.3 million for the three months ended March 31, 2020, an increase of $0.7 million. The increase in the fair value of the preferred stock warrant liability was due to the increase in the value of our preferred stock.</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 net</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Other income (expense), net, was ($0.4) million for the three months ended March 31, 2021, compared to less than $0.1 million for the three months ended March 31, 2020. Losses from the remeasurement of foreign currency transactions into their functional currencies were $0.4 million for the three months ended March 31, 2021, compared to less than $0.1 million for the three months ended March 31, 2020.</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for income taxes was $0.2 million during the three months ended March 31, 2021, compared to a benefit of</w:t>
      </w:r>
    </w:p>
    <w:p>
      <w:pPr>
        <w:ind w:left="120"/>
        <w:spacing w:after="0" w:line="234" w:lineRule="auto"/>
        <w:rPr>
          <w:sz w:val="20"/>
          <w:szCs w:val="20"/>
          <w:color w:val="auto"/>
        </w:rPr>
      </w:pPr>
      <w:r>
        <w:rPr>
          <w:rFonts w:ascii="Arial" w:cs="Arial" w:eastAsia="Arial" w:hAnsi="Arial"/>
          <w:sz w:val="18"/>
          <w:szCs w:val="18"/>
          <w:color w:val="auto"/>
        </w:rPr>
        <w:t>$7.7 million for the year three months ended March 31, 2020, a reduction of $7.9 million or 102.6%. During the three months ended</w:t>
      </w:r>
    </w:p>
    <w:p>
      <w:pPr>
        <w:ind w:left="120"/>
        <w:spacing w:after="0" w:line="235" w:lineRule="auto"/>
        <w:rPr>
          <w:sz w:val="20"/>
          <w:szCs w:val="20"/>
          <w:color w:val="auto"/>
        </w:rPr>
      </w:pPr>
      <w:r>
        <w:rPr>
          <w:rFonts w:ascii="Arial" w:cs="Arial" w:eastAsia="Arial" w:hAnsi="Arial"/>
          <w:sz w:val="18"/>
          <w:szCs w:val="18"/>
          <w:color w:val="auto"/>
        </w:rPr>
        <w:t>March 31, 2020, we recorded an income tax benefit of $7.7 million, which was primarily attributable to a non-recurring benefit of</w:t>
      </w:r>
    </w:p>
    <w:p>
      <w:pPr>
        <w:spacing w:after="0" w:line="1"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$8.4 million relating to the release of a portion of our valuation allowance. This release was due to taxable temporary differences recorded as part of the Simplee acquisition which are a source of income to realize certain pre-existing federal and state deferred tax assets. Our effective tax rate was 2.4% for the three months ended March 31, 2021 compared to (192.5%) for the three months ended March 31, 2020.</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results for the year ended December 31, 2019 and 2020</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consolidated statements of operations for periods presented: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w w:val="98"/>
              </w:rPr>
              <w:t>(Dollars In Millions)</w:t>
            </w:r>
          </w:p>
        </w:tc>
        <w:tc>
          <w:tcPr>
            <w:tcW w:w="3060" w:type="dxa"/>
            <w:vAlign w:val="bottom"/>
            <w:vMerge w:val="restart"/>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w w:val="99"/>
              </w:rPr>
              <w:t>Change</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188"/>
        </w:trPr>
        <w:tc>
          <w:tcPr>
            <w:tcW w:w="166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10"/>
              <w:spacing w:after="0" w:line="182" w:lineRule="exact"/>
              <w:rPr>
                <w:sz w:val="20"/>
                <w:szCs w:val="20"/>
                <w:color w:val="auto"/>
              </w:rPr>
            </w:pPr>
            <w:r>
              <w:rPr>
                <w:rFonts w:ascii="Arial" w:cs="Arial" w:eastAsia="Arial" w:hAnsi="Arial"/>
                <w:sz w:val="18"/>
                <w:szCs w:val="18"/>
                <w:b w:val="1"/>
                <w:bCs w:val="1"/>
                <w:color w:val="auto"/>
              </w:rPr>
              <w:t>2019</w:t>
            </w:r>
          </w:p>
        </w:tc>
        <w:tc>
          <w:tcPr>
            <w:tcW w:w="6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20" w:type="dxa"/>
            <w:vAlign w:val="bottom"/>
            <w:gridSpan w:val="2"/>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94.9</w:t>
            </w:r>
          </w:p>
        </w:tc>
        <w:tc>
          <w:tcPr>
            <w:tcW w:w="6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131.8</w:t>
            </w:r>
          </w:p>
        </w:tc>
        <w:tc>
          <w:tcPr>
            <w:tcW w:w="34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36.9</w:t>
            </w:r>
          </w:p>
        </w:tc>
        <w:tc>
          <w:tcPr>
            <w:tcW w:w="620" w:type="dxa"/>
            <w:vAlign w:val="bottom"/>
            <w:vMerge w:val="continue"/>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Payment processing services costs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36.7</w:t>
            </w:r>
          </w:p>
        </w:tc>
        <w:tc>
          <w:tcPr>
            <w:tcW w:w="2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47.8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11.1</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Technology and development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24.5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9.5</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Selling and marketing</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26.6</w:t>
            </w:r>
          </w:p>
        </w:tc>
        <w:tc>
          <w:tcPr>
            <w:tcW w:w="2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32.6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6.0</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8.6</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Total costs and operating expenses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35.2</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1.7</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(0.6)</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0.2</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(7.7)</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(11.1)</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9.0</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89"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Revenue was $131.8 million for the year ended December 31, 2020, compared to $94.9 million for the year ended December 31, 2019, an increase of $36.9 million or 38.9%. Revenue is comprised of transaction revenue and platform and usage-based fee revenue as follows: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w w:val="98"/>
              </w:rPr>
              <w:t>(Dollars In Millions)</w:t>
            </w:r>
          </w:p>
        </w:tc>
        <w:tc>
          <w:tcPr>
            <w:tcW w:w="2460" w:type="dxa"/>
            <w:vAlign w:val="bottom"/>
            <w:vMerge w:val="restart"/>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Change</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187"/>
        </w:trPr>
        <w:tc>
          <w:tcPr>
            <w:tcW w:w="166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rPr>
              <w:t>2019</w:t>
            </w:r>
          </w:p>
        </w:tc>
        <w:tc>
          <w:tcPr>
            <w:tcW w:w="6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Transaction revenue</w:t>
            </w:r>
          </w:p>
        </w:tc>
        <w:tc>
          <w:tcPr>
            <w:tcW w:w="10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2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86.6</w:t>
            </w:r>
          </w:p>
        </w:tc>
        <w:tc>
          <w:tcPr>
            <w:tcW w:w="6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89.6</w:t>
            </w:r>
          </w:p>
        </w:tc>
        <w:tc>
          <w:tcPr>
            <w:tcW w:w="32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w:t>
            </w:r>
          </w:p>
        </w:tc>
        <w:tc>
          <w:tcPr>
            <w:tcW w:w="640" w:type="dxa"/>
            <w:vAlign w:val="bottom"/>
            <w:vMerge w:val="continue"/>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line="202" w:lineRule="exact"/>
              <w:rPr>
                <w:sz w:val="20"/>
                <w:szCs w:val="20"/>
                <w:color w:val="auto"/>
              </w:rPr>
            </w:pPr>
            <w:r>
              <w:rPr>
                <w:rFonts w:ascii="Arial" w:cs="Arial" w:eastAsia="Arial" w:hAnsi="Arial"/>
                <w:sz w:val="18"/>
                <w:szCs w:val="18"/>
                <w:color w:val="auto"/>
              </w:rPr>
              <w:t>Platform and usage-based fee revenue</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8.3</w:t>
            </w:r>
          </w:p>
        </w:tc>
        <w:tc>
          <w:tcPr>
            <w:tcW w:w="200" w:type="dxa"/>
            <w:vAlign w:val="bottom"/>
          </w:tcPr>
          <w:p>
            <w:pPr>
              <w:spacing w:after="0"/>
              <w:rPr>
                <w:sz w:val="17"/>
                <w:szCs w:val="17"/>
                <w:color w:val="auto"/>
              </w:rPr>
            </w:pP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42.2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33.9</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Revenue</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131.8</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36.9</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Transaction revenue was $89.6 million for the year ended December 31, 2020, compared to $86.6 million for the year ended December 31, 2019, an increase of $3.0 million or 3.5%. Although total payment volume from transactions included in transaction revenue were unchanged in 2020 compared to 2019, the increase in transaction revenue was primarily driven by an increase in the relative percentage of our total payment volume originating in regions where we generate higher transaction revenue. This increase was offset by a $4.1 million or 74.5% decrease in marketing services revenue. Our marketing services revenue declined as a result of our payment partners using fewer of our marketing services in 2020 compared to 2019.</w:t>
      </w:r>
    </w:p>
    <w:p>
      <w:pPr>
        <w:spacing w:after="0" w:line="164"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Platform and usage-based fee revenue was $42.2 million for the year ended December 31, 2020, compared to $8.3 million for the year ended December 31, 2019, an increase of $33.9 million or 408.4%. The increase in platform and usage-based fee revenue was driven primarily by the Simplee acquisition contributing $34.1 million in 2020, of which $14.6 million was related to ancillary printing and mailing services.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 Processing Services Costs</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Payment processing services costs were $47.8 million for the year ended December 31, 2020, compared to $36.7 million for the year ended December 31, 2019, an increase of $11.1 million or 30.2%. The increase in payment processing services costs is correlated with the increase in total payment volume of 30.5%, offset by lower processing costs incurred related to bank, credit card and alternative payment transactions.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Technology and Development</w:t>
      </w:r>
    </w:p>
    <w:p>
      <w:pPr>
        <w:spacing w:after="0" w:line="189"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Technology and development expenses were $ 24.5 million for the year ended December 31, 2020, compared to $15.0 million for the year ended December 31, 2019, an increase of $9.5 million or 63.3%. The increase in technology and development cost was primarily driven by an increase in personnel cost and an increase in amortization expense. Personnel costs were $17.8 million for the year ended December 31, 2020, compared to $9.3 million for the year ended December 31, 2019, an increase of $8.5 million or 91.4%. The increase in personnel costs was primarily driven by an increase in headcount within our technology and development teams. Amortization of intangible assets was $2.1 million for the year ended December 31, 2020, compared to $1.8 million for the year ended December 31, 2019, an increase of $0.3 million or 16.7%. The increase in amortization expense was the result of the acquisition of Simplee which added $10.5 million of acquired developed technology in connection with this acquisition, which has a weighted-average amortization period of eight years.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and Marketing Expenses</w:t>
      </w:r>
    </w:p>
    <w:p>
      <w:pPr>
        <w:spacing w:after="0" w:line="18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Selling and marketing expenses were $32.6 million for the year ended December 31, 2020, compared to $26.6 million for the year ended December 31, 2019, an increase of $6.0 million or 22.6%. The increase in selling and marketing expenses was primarily driven by an increase in personnel costs and an increase in amortization expenses, offset by a decrease in travel related expenses. Personnel costs were $23.1 million for the year ended December 31, 2020, compared to $18.5 million for the year ended December 31, 2019, an increase of $4.6 million or 24.9%. The increase in personnel costs was primarily driven by an increase in headcount within our selling and marketing teams. Amortization of intangibles was $2.7 million for the year ended December 31, 2020, compared to $0.4 million for the year ended December 31, 2019, an increase of $ 2.3 million or 575.0%. The increase in amortization expense was the result of the acquisition of Simplee which added $48.3 million of acquired customer relationships, which have a weighted-average amortization period of 12 years. These increases were offset by reductions in travel-related expenses of $1.9 million due to COVID-19.</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General and administrative expenses were $42.7 million for the year ended December 31, 2020, compared to $34.1 million for the year ended December 31, 2019, an increase of $8.6 million or 25.2%. The increase in general and administrative expenses was primarily driven by the change in the fair value of contingent consideration, an increase personnel costs and an increase in professional services fees. The change in the fair value of contingent consideration related to acquisitions was $5.4 million for the year ended December 31, 2020, compared to $ 0.7 million in 2019, an increase of $4.7 million or 671.4%. Personnel costs were $ 19.6 million for the year ended December 31, 2020, compared to $16.6 million for the year ended December 31, 2019, an increase of $3.0 million or 18.1%. The increase in personnel costs was primarily driven by retention bonuses offered to Simplee employees as a result of our acquisition of Simplee. Professional fees were $5.3 million for the year ended December 31, 2020, compared to $3.8 million for the year ended December 31, 2019, an increase of $1.5 million or 39.5%. This increase was also attributable to our acquisition of Simplee. These increases were offset by a reduction in various other expenses due to COVID-19.</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203" w:lineRule="exact"/>
        <w:rPr>
          <w:sz w:val="20"/>
          <w:szCs w:val="20"/>
          <w:color w:val="auto"/>
        </w:rPr>
      </w:pPr>
    </w:p>
    <w:p>
      <w:pPr>
        <w:jc w:val="both"/>
        <w:ind w:left="120" w:right="60" w:firstLine="440"/>
        <w:spacing w:after="0"/>
        <w:rPr>
          <w:sz w:val="20"/>
          <w:szCs w:val="20"/>
          <w:color w:val="auto"/>
        </w:rPr>
      </w:pPr>
      <w:r>
        <w:rPr>
          <w:rFonts w:ascii="Arial" w:cs="Arial" w:eastAsia="Arial" w:hAnsi="Arial"/>
          <w:sz w:val="18"/>
          <w:szCs w:val="18"/>
          <w:color w:val="auto"/>
        </w:rPr>
        <w:t>Interest expense was $2.5 million for each of the years ended December 31, 2019 and December 31, 2020. During March 2020, we refinanced our LSA which resulted in $4.2 million in net proceeds, and a new interest rate per year determined based on the greater of (i) 5.25% above the prime rate or (ii) 8.50%.</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 in fair value of preferred stock warrant liability was $0.7 million for the year ended December 31, 2020, compared to</w:t>
      </w:r>
    </w:p>
    <w:p>
      <w:pPr>
        <w:ind w:left="120"/>
        <w:spacing w:after="0" w:line="234" w:lineRule="auto"/>
        <w:rPr>
          <w:sz w:val="20"/>
          <w:szCs w:val="20"/>
          <w:color w:val="auto"/>
        </w:rPr>
      </w:pPr>
      <w:r>
        <w:rPr>
          <w:rFonts w:ascii="Arial" w:cs="Arial" w:eastAsia="Arial" w:hAnsi="Arial"/>
          <w:sz w:val="18"/>
          <w:szCs w:val="18"/>
          <w:color w:val="auto"/>
        </w:rPr>
        <w:t>$0.1 million for the year ended December 31, 2019, an increase of $0.6 million or 600%. The increase in preferred stock warrant liability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was the result of an increase in the value of our preferred stock.</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 net</w:t>
      </w:r>
    </w:p>
    <w:p>
      <w:pPr>
        <w:spacing w:after="0" w:line="189"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Other income (expense), net, was $0.7 million for the year ended December 31, 2020, compared to $0.5 million for the year ended December 31, 2019, an increase of $ 0.2 million or 40.0%. Interest income was $0.1 million for the year ended December 31, 2020, compared to $0.4 million for the year ended December 31, 2019, a decrease of $0.3 million or 75.0% The decrease was attributable to lower interest rates on deposits, and a change in our investment policy due to the uncertainty caused by COVID-19. Gains from the remeasurement of foreign currency transactions into their functional currencies were $0.6 million for the year ended December 31, 2020, compared to $0.1 million for the year ended December 31, 2019, an increase of $0.5 million or 500.0%. The increase was the result of the changes in foreign exchange rates against the U.S. Dollar, our financial reporting currency.</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Provision for (benefit from) income taxes was ($ 7.2) million during the year ended December 31, 2020, compared to $0.5 million for the year ended December 31, 2019, an improvement of ($7.7) million or 1,540%. During the year ended December 31, 2020, we recorded an income tax benefit of $7.2 million, which was primarily attributable to a non-recurring benefit of $ 8.4 million relating to the release of a portion of our valuation allowance. This release was due to taxable temporary differences recorded as part of the Simplee acquisition which are a source of income to realize certain pre-existing federal and state deferred tax assets. Our effective tax rate was 39.3% for the year ended December 31, 2020 compared to (3.0%) for the year ended December 31, 2019.</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9"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Results of Operations</w:t>
      </w:r>
    </w:p>
    <w:p>
      <w:pPr>
        <w:spacing w:after="0" w:line="207" w:lineRule="exact"/>
        <w:rPr>
          <w:sz w:val="20"/>
          <w:szCs w:val="20"/>
          <w:color w:val="auto"/>
        </w:rPr>
      </w:pPr>
    </w:p>
    <w:p>
      <w:pPr>
        <w:ind w:left="120" w:right="260" w:firstLine="440"/>
        <w:spacing w:after="0" w:line="237" w:lineRule="auto"/>
        <w:rPr>
          <w:sz w:val="20"/>
          <w:szCs w:val="20"/>
          <w:color w:val="auto"/>
        </w:rPr>
      </w:pPr>
      <w:r>
        <w:rPr>
          <w:rFonts w:ascii="Arial" w:cs="Arial" w:eastAsia="Arial" w:hAnsi="Arial"/>
          <w:sz w:val="18"/>
          <w:szCs w:val="18"/>
          <w:color w:val="auto"/>
        </w:rPr>
        <w:t>The following tables present our unaudited consolidated statements of operation data for each of the last six quarters in the period ended March 31, 2021, as well as the percentage of each line item to our total revenue for each quarter presented. The unaudited consolidated statements of operations for each quarter have been prepared on the same basis as the annual consolidated financial statements included in the prospectus and reflect all normal and recurring adjustments that are, in our opinion, necessary for the fair presentation of the results of operations for the periods presented. Our historical results are not necessarily indicative of the results that may be expected in the future. The following quarterly financial data should be read in conjunction with our consolidated financial statements included elsewhere in the prospectus.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160" w:type="dxa"/>
            <w:vAlign w:val="bottom"/>
            <w:vMerge w:val="restart"/>
          </w:tcPr>
          <w:p>
            <w:pPr>
              <w:spacing w:after="0"/>
              <w:rPr>
                <w:sz w:val="20"/>
                <w:szCs w:val="20"/>
                <w:color w:val="auto"/>
              </w:rPr>
            </w:pPr>
            <w:r>
              <w:rPr>
                <w:rFonts w:ascii="Arial" w:cs="Arial" w:eastAsia="Arial" w:hAnsi="Arial"/>
                <w:sz w:val="16"/>
                <w:szCs w:val="16"/>
                <w:b w:val="1"/>
                <w:bCs w:val="1"/>
                <w:color w:val="auto"/>
                <w:w w:val="99"/>
              </w:rPr>
              <w:t>(In Thousands)</w:t>
            </w:r>
          </w:p>
        </w:tc>
        <w:tc>
          <w:tcPr>
            <w:tcW w:w="2560" w:type="dxa"/>
            <w:vAlign w:val="bottom"/>
            <w:vMerge w:val="restart"/>
          </w:tcPr>
          <w:p>
            <w:pPr>
              <w:spacing w:after="0"/>
              <w:rPr>
                <w:sz w:val="14"/>
                <w:szCs w:val="14"/>
                <w:color w:val="auto"/>
              </w:rPr>
            </w:pPr>
          </w:p>
        </w:tc>
        <w:tc>
          <w:tcPr>
            <w:tcW w:w="1280" w:type="dxa"/>
            <w:vAlign w:val="bottom"/>
            <w:gridSpan w:val="3"/>
          </w:tcPr>
          <w:p>
            <w:pPr>
              <w:jc w:val="right"/>
              <w:ind w:right="220"/>
              <w:spacing w:after="0" w:line="165" w:lineRule="exact"/>
              <w:rPr>
                <w:sz w:val="20"/>
                <w:szCs w:val="20"/>
                <w:color w:val="auto"/>
              </w:rPr>
            </w:pPr>
            <w:r>
              <w:rPr>
                <w:rFonts w:ascii="Arial" w:cs="Arial" w:eastAsia="Arial" w:hAnsi="Arial"/>
                <w:sz w:val="16"/>
                <w:szCs w:val="16"/>
                <w:b w:val="1"/>
                <w:bCs w:val="1"/>
                <w:color w:val="auto"/>
                <w:w w:val="99"/>
              </w:rPr>
              <w:t>December 31,</w:t>
            </w:r>
          </w:p>
        </w:tc>
        <w:tc>
          <w:tcPr>
            <w:tcW w:w="140" w:type="dxa"/>
            <w:vAlign w:val="bottom"/>
          </w:tcPr>
          <w:p>
            <w:pPr>
              <w:spacing w:after="0"/>
              <w:rPr>
                <w:sz w:val="14"/>
                <w:szCs w:val="14"/>
                <w:color w:val="auto"/>
              </w:rPr>
            </w:pPr>
          </w:p>
        </w:tc>
        <w:tc>
          <w:tcPr>
            <w:tcW w:w="960" w:type="dxa"/>
            <w:vAlign w:val="bottom"/>
            <w:gridSpan w:val="3"/>
          </w:tcPr>
          <w:p>
            <w:pPr>
              <w:spacing w:after="0" w:line="165" w:lineRule="exact"/>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4"/>
                <w:szCs w:val="14"/>
                <w:color w:val="auto"/>
              </w:rPr>
            </w:pPr>
          </w:p>
        </w:tc>
        <w:tc>
          <w:tcPr>
            <w:tcW w:w="1020" w:type="dxa"/>
            <w:vAlign w:val="bottom"/>
            <w:gridSpan w:val="2"/>
          </w:tcPr>
          <w:p>
            <w:pPr>
              <w:jc w:val="center"/>
              <w:ind w:right="340"/>
              <w:spacing w:after="0" w:line="165" w:lineRule="exact"/>
              <w:rPr>
                <w:sz w:val="20"/>
                <w:szCs w:val="20"/>
                <w:color w:val="auto"/>
              </w:rPr>
            </w:pPr>
            <w:r>
              <w:rPr>
                <w:rFonts w:ascii="Arial" w:cs="Arial" w:eastAsia="Arial" w:hAnsi="Arial"/>
                <w:sz w:val="16"/>
                <w:szCs w:val="16"/>
                <w:b w:val="1"/>
                <w:bCs w:val="1"/>
                <w:color w:val="auto"/>
                <w:w w:val="99"/>
              </w:rPr>
              <w:t>June 30,</w:t>
            </w:r>
          </w:p>
        </w:tc>
        <w:tc>
          <w:tcPr>
            <w:tcW w:w="1320" w:type="dxa"/>
            <w:vAlign w:val="bottom"/>
            <w:gridSpan w:val="3"/>
          </w:tcPr>
          <w:p>
            <w:pPr>
              <w:spacing w:after="0" w:line="165" w:lineRule="exact"/>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4"/>
                <w:szCs w:val="14"/>
                <w:color w:val="auto"/>
              </w:rPr>
            </w:pPr>
          </w:p>
        </w:tc>
        <w:tc>
          <w:tcPr>
            <w:tcW w:w="1400" w:type="dxa"/>
            <w:vAlign w:val="bottom"/>
            <w:gridSpan w:val="3"/>
          </w:tcPr>
          <w:p>
            <w:pPr>
              <w:spacing w:after="0" w:line="165" w:lineRule="exact"/>
              <w:rPr>
                <w:sz w:val="20"/>
                <w:szCs w:val="20"/>
                <w:color w:val="auto"/>
              </w:rPr>
            </w:pPr>
            <w:r>
              <w:rPr>
                <w:rFonts w:ascii="Arial" w:cs="Arial" w:eastAsia="Arial" w:hAnsi="Arial"/>
                <w:sz w:val="16"/>
                <w:szCs w:val="16"/>
                <w:b w:val="1"/>
                <w:bCs w:val="1"/>
                <w:color w:val="auto"/>
              </w:rPr>
              <w:t>December 31,</w:t>
            </w:r>
          </w:p>
        </w:tc>
        <w:tc>
          <w:tcPr>
            <w:tcW w:w="76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w w:val="97"/>
              </w:rPr>
              <w:t>March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160" w:type="dxa"/>
            <w:vAlign w:val="bottom"/>
            <w:tcBorders>
              <w:bottom w:val="single" w:sz="8" w:color="auto"/>
            </w:tcBorders>
            <w:vMerge w:val="continue"/>
          </w:tcPr>
          <w:p>
            <w:pPr>
              <w:spacing w:after="0"/>
              <w:rPr>
                <w:sz w:val="16"/>
                <w:szCs w:val="16"/>
                <w:color w:val="auto"/>
              </w:rPr>
            </w:pPr>
          </w:p>
        </w:tc>
        <w:tc>
          <w:tcPr>
            <w:tcW w:w="2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6"/>
                <w:szCs w:val="16"/>
                <w:color w:val="auto"/>
              </w:rPr>
            </w:pPr>
          </w:p>
        </w:tc>
        <w:tc>
          <w:tcPr>
            <w:tcW w:w="8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22,804</w:t>
            </w:r>
          </w:p>
        </w:tc>
        <w:tc>
          <w:tcPr>
            <w:tcW w:w="2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32,709</w:t>
            </w:r>
          </w:p>
        </w:tc>
        <w:tc>
          <w:tcPr>
            <w:tcW w:w="20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360"/>
              <w:spacing w:after="0" w:line="176" w:lineRule="exact"/>
              <w:rPr>
                <w:sz w:val="20"/>
                <w:szCs w:val="20"/>
                <w:color w:val="auto"/>
              </w:rPr>
            </w:pPr>
            <w:r>
              <w:rPr>
                <w:rFonts w:ascii="Arial" w:cs="Arial" w:eastAsia="Arial" w:hAnsi="Arial"/>
                <w:sz w:val="16"/>
                <w:szCs w:val="16"/>
                <w:color w:val="auto"/>
              </w:rPr>
              <w:t>$ 23,757</w:t>
            </w:r>
          </w:p>
        </w:tc>
        <w:tc>
          <w:tcPr>
            <w:tcW w:w="2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42,086</w:t>
            </w:r>
          </w:p>
        </w:tc>
        <w:tc>
          <w:tcPr>
            <w:tcW w:w="2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340"/>
              <w:spacing w:after="0" w:line="176" w:lineRule="exact"/>
              <w:rPr>
                <w:sz w:val="20"/>
                <w:szCs w:val="20"/>
                <w:color w:val="auto"/>
              </w:rPr>
            </w:pPr>
            <w:r>
              <w:rPr>
                <w:rFonts w:ascii="Arial" w:cs="Arial" w:eastAsia="Arial" w:hAnsi="Arial"/>
                <w:sz w:val="16"/>
                <w:szCs w:val="16"/>
                <w:color w:val="auto"/>
              </w:rPr>
              <w:t>33,321</w:t>
            </w:r>
          </w:p>
        </w:tc>
        <w:tc>
          <w:tcPr>
            <w:tcW w:w="1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rPr>
              <w:t>44,991</w:t>
            </w:r>
          </w:p>
        </w:tc>
        <w:tc>
          <w:tcPr>
            <w:tcW w:w="0" w:type="dxa"/>
            <w:vAlign w:val="bottom"/>
          </w:tcPr>
          <w:p>
            <w:pPr>
              <w:spacing w:after="0"/>
              <w:rPr>
                <w:sz w:val="1"/>
                <w:szCs w:val="1"/>
                <w:color w:val="auto"/>
              </w:rPr>
            </w:pPr>
          </w:p>
        </w:tc>
      </w:tr>
      <w:tr>
        <w:trPr>
          <w:trHeight w:val="189"/>
        </w:trPr>
        <w:tc>
          <w:tcPr>
            <w:tcW w:w="3720" w:type="dxa"/>
            <w:vAlign w:val="bottom"/>
            <w:gridSpan w:val="2"/>
          </w:tcPr>
          <w:p>
            <w:pPr>
              <w:spacing w:after="0"/>
              <w:rPr>
                <w:sz w:val="20"/>
                <w:szCs w:val="20"/>
                <w:color w:val="auto"/>
              </w:rPr>
            </w:pPr>
            <w:r>
              <w:rPr>
                <w:rFonts w:ascii="Arial" w:cs="Arial" w:eastAsia="Arial" w:hAnsi="Arial"/>
                <w:sz w:val="16"/>
                <w:szCs w:val="16"/>
                <w:color w:val="auto"/>
              </w:rPr>
              <w:t>Costs and operating expenses:</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3"/>
                <w:szCs w:val="13"/>
                <w:color w:val="auto"/>
              </w:rPr>
              <w:t xml:space="preserve">Payment processing services costs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8,258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11,609</w:t>
            </w:r>
          </w:p>
        </w:tc>
        <w:tc>
          <w:tcPr>
            <w:tcW w:w="2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10,868</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11,551</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16,091</w:t>
            </w:r>
          </w:p>
        </w:tc>
        <w:tc>
          <w:tcPr>
            <w:tcW w:w="0" w:type="dxa"/>
            <w:vAlign w:val="bottom"/>
          </w:tcPr>
          <w:p>
            <w:pPr>
              <w:spacing w:after="0"/>
              <w:rPr>
                <w:sz w:val="1"/>
                <w:szCs w:val="1"/>
                <w:color w:val="auto"/>
              </w:rPr>
            </w:pPr>
          </w:p>
        </w:tc>
      </w:tr>
      <w:tr>
        <w:trPr>
          <w:trHeight w:val="189"/>
        </w:trPr>
        <w:tc>
          <w:tcPr>
            <w:tcW w:w="3720" w:type="dxa"/>
            <w:vAlign w:val="bottom"/>
            <w:gridSpan w:val="2"/>
          </w:tcPr>
          <w:p>
            <w:pPr>
              <w:ind w:left="320"/>
              <w:spacing w:after="0" w:line="189" w:lineRule="exact"/>
              <w:rPr>
                <w:sz w:val="20"/>
                <w:szCs w:val="20"/>
                <w:color w:val="auto"/>
              </w:rPr>
            </w:pPr>
            <w:r>
              <w:rPr>
                <w:rFonts w:ascii="Arial" w:cs="Arial" w:eastAsia="Arial" w:hAnsi="Arial"/>
                <w:sz w:val="13"/>
                <w:szCs w:val="13"/>
                <w:color w:val="auto"/>
              </w:rPr>
              <w:t xml:space="preserve">Technology and development </w:t>
            </w:r>
            <w:r>
              <w:rPr>
                <w:rFonts w:ascii="Arial" w:cs="Arial" w:eastAsia="Arial" w:hAnsi="Arial"/>
                <w:sz w:val="21"/>
                <w:szCs w:val="21"/>
                <w:color w:val="auto"/>
                <w:vertAlign w:val="superscript"/>
              </w:rPr>
              <w:t>(1)</w:t>
            </w:r>
          </w:p>
        </w:tc>
        <w:tc>
          <w:tcPr>
            <w:tcW w:w="2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4,007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5,348</w:t>
            </w:r>
          </w:p>
        </w:tc>
        <w:tc>
          <w:tcPr>
            <w:tcW w:w="1160" w:type="dxa"/>
            <w:vAlign w:val="bottom"/>
            <w:gridSpan w:val="3"/>
          </w:tcPr>
          <w:p>
            <w:pPr>
              <w:jc w:val="right"/>
              <w:ind w:right="360"/>
              <w:spacing w:after="0"/>
              <w:rPr>
                <w:sz w:val="20"/>
                <w:szCs w:val="20"/>
                <w:color w:val="auto"/>
              </w:rPr>
            </w:pPr>
            <w:r>
              <w:rPr>
                <w:rFonts w:ascii="Arial" w:cs="Arial" w:eastAsia="Arial" w:hAnsi="Arial"/>
                <w:sz w:val="16"/>
                <w:szCs w:val="16"/>
                <w:color w:val="auto"/>
              </w:rPr>
              <w:t>6,378</w:t>
            </w: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6,079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6,696</w:t>
            </w:r>
          </w:p>
        </w:tc>
        <w:tc>
          <w:tcPr>
            <w:tcW w:w="1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7,522</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3"/>
                <w:szCs w:val="13"/>
                <w:color w:val="auto"/>
              </w:rPr>
              <w:t xml:space="preserve">Selling and marketing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6,998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8,577</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8,125</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7,640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8,270</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11,931</w:t>
            </w:r>
          </w:p>
        </w:tc>
        <w:tc>
          <w:tcPr>
            <w:tcW w:w="0" w:type="dxa"/>
            <w:vAlign w:val="bottom"/>
          </w:tcPr>
          <w:p>
            <w:pPr>
              <w:spacing w:after="0"/>
              <w:rPr>
                <w:sz w:val="1"/>
                <w:szCs w:val="1"/>
                <w:color w:val="auto"/>
              </w:rPr>
            </w:pPr>
          </w:p>
        </w:tc>
      </w:tr>
      <w:tr>
        <w:trPr>
          <w:trHeight w:val="189"/>
        </w:trPr>
        <w:tc>
          <w:tcPr>
            <w:tcW w:w="3720" w:type="dxa"/>
            <w:vAlign w:val="bottom"/>
            <w:gridSpan w:val="2"/>
          </w:tcPr>
          <w:p>
            <w:pPr>
              <w:ind w:left="320"/>
              <w:spacing w:after="0" w:line="189" w:lineRule="exact"/>
              <w:rPr>
                <w:sz w:val="20"/>
                <w:szCs w:val="20"/>
                <w:color w:val="auto"/>
              </w:rPr>
            </w:pPr>
            <w:r>
              <w:rPr>
                <w:rFonts w:ascii="Arial" w:cs="Arial" w:eastAsia="Arial" w:hAnsi="Arial"/>
                <w:sz w:val="13"/>
                <w:szCs w:val="13"/>
                <w:color w:val="auto"/>
              </w:rPr>
              <w:t xml:space="preserve">General and administrative </w:t>
            </w:r>
            <w:r>
              <w:rPr>
                <w:rFonts w:ascii="Arial" w:cs="Arial" w:eastAsia="Arial" w:hAnsi="Arial"/>
                <w:sz w:val="21"/>
                <w:szCs w:val="21"/>
                <w:color w:val="auto"/>
                <w:vertAlign w:val="superscript"/>
              </w:rPr>
              <w:t>(1)</w:t>
            </w:r>
          </w:p>
        </w:tc>
        <w:tc>
          <w:tcPr>
            <w:tcW w:w="2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9,862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10,265</w:t>
            </w:r>
          </w:p>
        </w:tc>
        <w:tc>
          <w:tcPr>
            <w:tcW w:w="200" w:type="dxa"/>
            <w:vAlign w:val="bottom"/>
          </w:tcPr>
          <w:p>
            <w:pPr>
              <w:spacing w:after="0"/>
              <w:rPr>
                <w:sz w:val="16"/>
                <w:szCs w:val="16"/>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6"/>
                <w:szCs w:val="16"/>
                <w:color w:val="auto"/>
              </w:rPr>
              <w:t>13,548</w:t>
            </w: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9,172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9,695</w:t>
            </w:r>
          </w:p>
        </w:tc>
        <w:tc>
          <w:tcPr>
            <w:tcW w:w="1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15,914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7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Total costs and operating expenses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29,125</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35,799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38,919</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36,668</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36,212</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51,458</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(7,041)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(3,090)</w:t>
            </w:r>
          </w:p>
        </w:tc>
        <w:tc>
          <w:tcPr>
            <w:tcW w:w="1160" w:type="dxa"/>
            <w:vAlign w:val="bottom"/>
            <w:gridSpan w:val="3"/>
          </w:tcPr>
          <w:p>
            <w:pPr>
              <w:jc w:val="right"/>
              <w:ind w:right="300"/>
              <w:spacing w:after="0"/>
              <w:rPr>
                <w:sz w:val="20"/>
                <w:szCs w:val="20"/>
                <w:color w:val="auto"/>
              </w:rPr>
            </w:pPr>
            <w:r>
              <w:rPr>
                <w:rFonts w:ascii="Arial" w:cs="Arial" w:eastAsia="Arial" w:hAnsi="Arial"/>
                <w:sz w:val="16"/>
                <w:szCs w:val="16"/>
                <w:color w:val="auto"/>
              </w:rPr>
              <w:t>(15,162)</w:t>
            </w: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5,418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(2,981)</w:t>
            </w: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(6,497)</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gridSpan w:val="2"/>
          </w:tcPr>
          <w:p>
            <w:pPr>
              <w:ind w:left="3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(925)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(597)</w:t>
            </w:r>
          </w:p>
        </w:tc>
        <w:tc>
          <w:tcPr>
            <w:tcW w:w="1160" w:type="dxa"/>
            <w:vAlign w:val="bottom"/>
            <w:gridSpan w:val="3"/>
          </w:tcPr>
          <w:p>
            <w:pPr>
              <w:jc w:val="right"/>
              <w:ind w:right="300"/>
              <w:spacing w:after="0"/>
              <w:rPr>
                <w:sz w:val="20"/>
                <w:szCs w:val="20"/>
                <w:color w:val="auto"/>
              </w:rPr>
            </w:pPr>
            <w:r>
              <w:rPr>
                <w:rFonts w:ascii="Arial" w:cs="Arial" w:eastAsia="Arial" w:hAnsi="Arial"/>
                <w:sz w:val="16"/>
                <w:szCs w:val="16"/>
                <w:color w:val="auto"/>
              </w:rPr>
              <w:t>(679)</w:t>
            </w:r>
          </w:p>
        </w:tc>
        <w:tc>
          <w:tcPr>
            <w:tcW w:w="2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(584)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(673)</w:t>
            </w:r>
          </w:p>
        </w:tc>
        <w:tc>
          <w:tcPr>
            <w:tcW w:w="1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191"/>
        </w:trPr>
        <w:tc>
          <w:tcPr>
            <w:tcW w:w="37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Change in fair value of preferred stock</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warrant liability</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(263)</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9</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(380)</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189"/>
        </w:trPr>
        <w:tc>
          <w:tcPr>
            <w:tcW w:w="3720" w:type="dxa"/>
            <w:vAlign w:val="bottom"/>
            <w:gridSpan w:val="2"/>
          </w:tcPr>
          <w:p>
            <w:pPr>
              <w:ind w:left="32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220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(31)</w:t>
            </w:r>
          </w:p>
        </w:tc>
        <w:tc>
          <w:tcPr>
            <w:tcW w:w="1160" w:type="dxa"/>
            <w:vAlign w:val="bottom"/>
            <w:gridSpan w:val="3"/>
          </w:tcPr>
          <w:p>
            <w:pPr>
              <w:jc w:val="right"/>
              <w:ind w:right="360"/>
              <w:spacing w:after="0"/>
              <w:rPr>
                <w:sz w:val="20"/>
                <w:szCs w:val="20"/>
                <w:color w:val="auto"/>
              </w:rPr>
            </w:pPr>
            <w:r>
              <w:rPr>
                <w:rFonts w:ascii="Arial" w:cs="Arial" w:eastAsia="Arial" w:hAnsi="Arial"/>
                <w:sz w:val="16"/>
                <w:szCs w:val="16"/>
                <w:color w:val="auto"/>
              </w:rPr>
              <w:t>107</w:t>
            </w:r>
          </w:p>
        </w:tc>
        <w:tc>
          <w:tcPr>
            <w:tcW w:w="2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625</w:t>
            </w:r>
          </w:p>
        </w:tc>
        <w:tc>
          <w:tcPr>
            <w:tcW w:w="1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7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Total other expenses, net</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(891)</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(563)</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(428)</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(1,986)</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spacing w:after="0"/>
              <w:rPr>
                <w:sz w:val="20"/>
                <w:szCs w:val="20"/>
                <w:color w:val="auto"/>
              </w:rPr>
            </w:pPr>
            <w:r>
              <w:rPr>
                <w:rFonts w:ascii="Arial" w:cs="Arial" w:eastAsia="Arial" w:hAnsi="Arial"/>
                <w:sz w:val="16"/>
                <w:szCs w:val="16"/>
                <w:color w:val="auto"/>
              </w:rPr>
              <w:t>Income (loss) before provision for income taxes</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(7,800)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(3,981)</w:t>
            </w:r>
          </w:p>
        </w:tc>
        <w:tc>
          <w:tcPr>
            <w:tcW w:w="1160" w:type="dxa"/>
            <w:vAlign w:val="bottom"/>
            <w:gridSpan w:val="3"/>
          </w:tcPr>
          <w:p>
            <w:pPr>
              <w:jc w:val="right"/>
              <w:ind w:right="300"/>
              <w:spacing w:after="0"/>
              <w:rPr>
                <w:sz w:val="20"/>
                <w:szCs w:val="20"/>
                <w:color w:val="auto"/>
              </w:rPr>
            </w:pPr>
            <w:r>
              <w:rPr>
                <w:rFonts w:ascii="Arial" w:cs="Arial" w:eastAsia="Arial" w:hAnsi="Arial"/>
                <w:sz w:val="16"/>
                <w:szCs w:val="16"/>
                <w:color w:val="auto"/>
              </w:rPr>
              <w:t>(15,725)</w:t>
            </w: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4,839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(3,409)</w:t>
            </w: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(8,453)</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for (benefit from) income taxes</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(7,681)</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272</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(382)</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622</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(7,994)</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3,700</w:t>
            </w:r>
          </w:p>
        </w:tc>
        <w:tc>
          <w:tcPr>
            <w:tcW w:w="1160" w:type="dxa"/>
            <w:vAlign w:val="bottom"/>
            <w:gridSpan w:val="3"/>
          </w:tcPr>
          <w:p>
            <w:pPr>
              <w:jc w:val="right"/>
              <w:ind w:right="300"/>
              <w:spacing w:after="0"/>
              <w:rPr>
                <w:sz w:val="20"/>
                <w:szCs w:val="20"/>
                <w:color w:val="auto"/>
              </w:rPr>
            </w:pPr>
            <w:r>
              <w:rPr>
                <w:rFonts w:ascii="Arial" w:cs="Arial" w:eastAsia="Arial" w:hAnsi="Arial"/>
                <w:sz w:val="16"/>
                <w:szCs w:val="16"/>
                <w:color w:val="auto"/>
              </w:rPr>
              <w:t>$ (15,997)</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5,221</w:t>
            </w: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(4,031)</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(8,652)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stock-based compensation as follows: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40" w:type="dxa"/>
            <w:vAlign w:val="bottom"/>
            <w:vMerge w:val="restart"/>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86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2"/>
                <w:szCs w:val="12"/>
                <w:color w:val="auto"/>
              </w:rPr>
            </w:pPr>
          </w:p>
        </w:tc>
        <w:tc>
          <w:tcPr>
            <w:tcW w:w="9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June 30,</w:t>
            </w:r>
          </w:p>
        </w:tc>
        <w:tc>
          <w:tcPr>
            <w:tcW w:w="11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1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6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tcBorders>
              <w:bottom w:val="single" w:sz="8" w:color="auto"/>
            </w:tcBorders>
            <w:vMerge w:val="continue"/>
          </w:tcPr>
          <w:p>
            <w:pPr>
              <w:spacing w:after="0"/>
              <w:rPr>
                <w:sz w:val="14"/>
                <w:szCs w:val="14"/>
                <w:color w:val="auto"/>
              </w:rPr>
            </w:pPr>
          </w:p>
        </w:tc>
        <w:tc>
          <w:tcPr>
            <w:tcW w:w="244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Payment processing services costs</w:t>
            </w:r>
          </w:p>
        </w:tc>
        <w:tc>
          <w:tcPr>
            <w:tcW w:w="9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480" w:type="dxa"/>
            <w:vAlign w:val="bottom"/>
            <w:gridSpan w:val="2"/>
            <w:vMerge w:val="continue"/>
            <w:shd w:val="clear" w:color="auto" w:fill="CCEEFF"/>
          </w:tcPr>
          <w:p>
            <w:pPr>
              <w:spacing w:after="0"/>
              <w:rPr>
                <w:sz w:val="12"/>
                <w:szCs w:val="12"/>
                <w:color w:val="auto"/>
              </w:rPr>
            </w:pPr>
          </w:p>
        </w:tc>
        <w:tc>
          <w:tcPr>
            <w:tcW w:w="1120" w:type="dxa"/>
            <w:vAlign w:val="bottom"/>
            <w:gridSpan w:val="2"/>
            <w:shd w:val="clear" w:color="auto" w:fill="CCEEFF"/>
          </w:tcPr>
          <w:p>
            <w:pPr>
              <w:ind w:left="9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80" w:type="dxa"/>
            <w:vAlign w:val="bottom"/>
            <w:gridSpan w:val="2"/>
          </w:tcPr>
          <w:p>
            <w:pPr>
              <w:ind w:left="280"/>
              <w:spacing w:after="0"/>
              <w:rPr>
                <w:sz w:val="20"/>
                <w:szCs w:val="20"/>
                <w:color w:val="auto"/>
              </w:rPr>
            </w:pPr>
            <w:r>
              <w:rPr>
                <w:rFonts w:ascii="Arial" w:cs="Arial" w:eastAsia="Arial" w:hAnsi="Arial"/>
                <w:sz w:val="14"/>
                <w:szCs w:val="14"/>
                <w:color w:val="auto"/>
              </w:rPr>
              <w:t>Technology and development</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170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163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170</w:t>
            </w:r>
          </w:p>
        </w:tc>
        <w:tc>
          <w:tcPr>
            <w:tcW w:w="2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252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180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Selling and marketing</w:t>
            </w: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348</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301</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375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2,644</w:t>
            </w:r>
          </w:p>
        </w:tc>
        <w:tc>
          <w:tcPr>
            <w:tcW w:w="0" w:type="dxa"/>
            <w:vAlign w:val="bottom"/>
          </w:tcPr>
          <w:p>
            <w:pPr>
              <w:spacing w:after="0"/>
              <w:rPr>
                <w:sz w:val="1"/>
                <w:szCs w:val="1"/>
                <w:color w:val="auto"/>
              </w:rPr>
            </w:pPr>
          </w:p>
        </w:tc>
      </w:tr>
      <w:tr>
        <w:trPr>
          <w:trHeight w:val="162"/>
        </w:trPr>
        <w:tc>
          <w:tcPr>
            <w:tcW w:w="3480" w:type="dxa"/>
            <w:vAlign w:val="bottom"/>
            <w:gridSpan w:val="2"/>
          </w:tcPr>
          <w:p>
            <w:pPr>
              <w:ind w:left="280"/>
              <w:spacing w:after="0"/>
              <w:rPr>
                <w:sz w:val="20"/>
                <w:szCs w:val="20"/>
                <w:color w:val="auto"/>
              </w:rPr>
            </w:pPr>
            <w:r>
              <w:rPr>
                <w:rFonts w:ascii="Arial" w:cs="Arial" w:eastAsia="Arial" w:hAnsi="Arial"/>
                <w:sz w:val="14"/>
                <w:szCs w:val="14"/>
                <w:color w:val="auto"/>
              </w:rPr>
              <w:t>General and administrative</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421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471</w:t>
            </w:r>
          </w:p>
        </w:tc>
        <w:tc>
          <w:tcPr>
            <w:tcW w:w="2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483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429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6,635</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835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989</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1,036</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984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10,364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7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6"/>
                <w:szCs w:val="16"/>
                <w:b w:val="1"/>
                <w:bCs w:val="1"/>
                <w:color w:val="auto"/>
              </w:rPr>
              <w:t>Three Months Ended</w:t>
            </w: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164"/>
        </w:trPr>
        <w:tc>
          <w:tcPr>
            <w:tcW w:w="2720" w:type="dxa"/>
            <w:vAlign w:val="bottom"/>
          </w:tcPr>
          <w:p>
            <w:pPr>
              <w:spacing w:after="0"/>
              <w:rPr>
                <w:sz w:val="14"/>
                <w:szCs w:val="14"/>
                <w:color w:val="auto"/>
              </w:rPr>
            </w:pPr>
          </w:p>
        </w:tc>
        <w:tc>
          <w:tcPr>
            <w:tcW w:w="1600" w:type="dxa"/>
            <w:vAlign w:val="bottom"/>
            <w:gridSpan w:val="2"/>
          </w:tcPr>
          <w:p>
            <w:pPr>
              <w:jc w:val="center"/>
              <w:ind w:right="540"/>
              <w:spacing w:after="0" w:line="165" w:lineRule="exact"/>
              <w:rPr>
                <w:sz w:val="20"/>
                <w:szCs w:val="20"/>
                <w:color w:val="auto"/>
              </w:rPr>
            </w:pPr>
            <w:r>
              <w:rPr>
                <w:rFonts w:ascii="Arial" w:cs="Arial" w:eastAsia="Arial" w:hAnsi="Arial"/>
                <w:sz w:val="16"/>
                <w:szCs w:val="16"/>
                <w:b w:val="1"/>
                <w:bCs w:val="1"/>
                <w:color w:val="auto"/>
              </w:rPr>
              <w:t>December 31,</w:t>
            </w:r>
          </w:p>
        </w:tc>
        <w:tc>
          <w:tcPr>
            <w:tcW w:w="1260" w:type="dxa"/>
            <w:vAlign w:val="bottom"/>
            <w:gridSpan w:val="2"/>
          </w:tcPr>
          <w:p>
            <w:pPr>
              <w:jc w:val="center"/>
              <w:ind w:right="480"/>
              <w:spacing w:after="0" w:line="165" w:lineRule="exact"/>
              <w:rPr>
                <w:sz w:val="20"/>
                <w:szCs w:val="20"/>
                <w:color w:val="auto"/>
              </w:rPr>
            </w:pPr>
            <w:r>
              <w:rPr>
                <w:rFonts w:ascii="Arial" w:cs="Arial" w:eastAsia="Arial" w:hAnsi="Arial"/>
                <w:sz w:val="16"/>
                <w:szCs w:val="16"/>
                <w:b w:val="1"/>
                <w:bCs w:val="1"/>
                <w:color w:val="auto"/>
              </w:rPr>
              <w:t>March 31,</w:t>
            </w:r>
          </w:p>
        </w:tc>
        <w:tc>
          <w:tcPr>
            <w:tcW w:w="1200" w:type="dxa"/>
            <w:vAlign w:val="bottom"/>
            <w:gridSpan w:val="2"/>
          </w:tcPr>
          <w:p>
            <w:pPr>
              <w:jc w:val="center"/>
              <w:ind w:right="520"/>
              <w:spacing w:after="0" w:line="165" w:lineRule="exact"/>
              <w:rPr>
                <w:sz w:val="20"/>
                <w:szCs w:val="20"/>
                <w:color w:val="auto"/>
              </w:rPr>
            </w:pPr>
            <w:r>
              <w:rPr>
                <w:rFonts w:ascii="Arial" w:cs="Arial" w:eastAsia="Arial" w:hAnsi="Arial"/>
                <w:sz w:val="16"/>
                <w:szCs w:val="16"/>
                <w:b w:val="1"/>
                <w:bCs w:val="1"/>
                <w:color w:val="auto"/>
                <w:w w:val="99"/>
              </w:rPr>
              <w:t>June 30,</w:t>
            </w:r>
          </w:p>
        </w:tc>
        <w:tc>
          <w:tcPr>
            <w:tcW w:w="1620" w:type="dxa"/>
            <w:vAlign w:val="bottom"/>
            <w:gridSpan w:val="2"/>
          </w:tcPr>
          <w:p>
            <w:pPr>
              <w:jc w:val="right"/>
              <w:ind w:right="500"/>
              <w:spacing w:after="0" w:line="165" w:lineRule="exact"/>
              <w:rPr>
                <w:sz w:val="20"/>
                <w:szCs w:val="20"/>
                <w:color w:val="auto"/>
              </w:rPr>
            </w:pPr>
            <w:r>
              <w:rPr>
                <w:rFonts w:ascii="Arial" w:cs="Arial" w:eastAsia="Arial" w:hAnsi="Arial"/>
                <w:sz w:val="16"/>
                <w:szCs w:val="16"/>
                <w:b w:val="1"/>
                <w:bCs w:val="1"/>
                <w:color w:val="auto"/>
              </w:rPr>
              <w:t>September 30,</w:t>
            </w:r>
          </w:p>
        </w:tc>
        <w:tc>
          <w:tcPr>
            <w:tcW w:w="1620" w:type="dxa"/>
            <w:vAlign w:val="bottom"/>
            <w:gridSpan w:val="2"/>
          </w:tcPr>
          <w:p>
            <w:pPr>
              <w:jc w:val="right"/>
              <w:ind w:right="560"/>
              <w:spacing w:after="0" w:line="165" w:lineRule="exact"/>
              <w:rPr>
                <w:sz w:val="20"/>
                <w:szCs w:val="20"/>
                <w:color w:val="auto"/>
              </w:rPr>
            </w:pPr>
            <w:r>
              <w:rPr>
                <w:rFonts w:ascii="Arial" w:cs="Arial" w:eastAsia="Arial" w:hAnsi="Arial"/>
                <w:sz w:val="16"/>
                <w:szCs w:val="16"/>
                <w:b w:val="1"/>
                <w:bCs w:val="1"/>
                <w:color w:val="auto"/>
                <w:w w:val="99"/>
              </w:rPr>
              <w:t>December 31,</w:t>
            </w:r>
          </w:p>
        </w:tc>
        <w:tc>
          <w:tcPr>
            <w:tcW w:w="7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4"/>
                <w:szCs w:val="14"/>
                <w:color w:val="auto"/>
              </w:rPr>
            </w:pPr>
          </w:p>
        </w:tc>
      </w:tr>
      <w:tr>
        <w:trPr>
          <w:trHeight w:val="207"/>
        </w:trPr>
        <w:tc>
          <w:tcPr>
            <w:tcW w:w="27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r>
      <w:tr>
        <w:trPr>
          <w:trHeight w:val="183"/>
        </w:trPr>
        <w:tc>
          <w:tcPr>
            <w:tcW w:w="272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Revenue</w:t>
            </w:r>
          </w:p>
        </w:tc>
        <w:tc>
          <w:tcPr>
            <w:tcW w:w="1600" w:type="dxa"/>
            <w:vAlign w:val="bottom"/>
            <w:gridSpan w:val="2"/>
            <w:shd w:val="clear" w:color="auto" w:fill="CCEEFF"/>
          </w:tcPr>
          <w:p>
            <w:pPr>
              <w:jc w:val="right"/>
              <w:ind w:right="380"/>
              <w:spacing w:after="0" w:line="183" w:lineRule="exact"/>
              <w:rPr>
                <w:sz w:val="20"/>
                <w:szCs w:val="20"/>
                <w:color w:val="auto"/>
              </w:rPr>
            </w:pPr>
            <w:r>
              <w:rPr>
                <w:rFonts w:ascii="Arial" w:cs="Arial" w:eastAsia="Arial" w:hAnsi="Arial"/>
                <w:sz w:val="16"/>
                <w:szCs w:val="16"/>
                <w:color w:val="auto"/>
              </w:rPr>
              <w:t>100%</w:t>
            </w:r>
          </w:p>
        </w:tc>
        <w:tc>
          <w:tcPr>
            <w:tcW w:w="1260" w:type="dxa"/>
            <w:vAlign w:val="bottom"/>
            <w:gridSpan w:val="2"/>
            <w:shd w:val="clear" w:color="auto" w:fill="CCEEFF"/>
          </w:tcPr>
          <w:p>
            <w:pPr>
              <w:jc w:val="right"/>
              <w:ind w:right="360"/>
              <w:spacing w:after="0" w:line="183" w:lineRule="exact"/>
              <w:rPr>
                <w:sz w:val="20"/>
                <w:szCs w:val="20"/>
                <w:color w:val="auto"/>
              </w:rPr>
            </w:pPr>
            <w:r>
              <w:rPr>
                <w:rFonts w:ascii="Arial" w:cs="Arial" w:eastAsia="Arial" w:hAnsi="Arial"/>
                <w:sz w:val="16"/>
                <w:szCs w:val="16"/>
                <w:color w:val="auto"/>
              </w:rPr>
              <w:t>100%</w:t>
            </w:r>
          </w:p>
        </w:tc>
        <w:tc>
          <w:tcPr>
            <w:tcW w:w="1200" w:type="dxa"/>
            <w:vAlign w:val="bottom"/>
            <w:gridSpan w:val="2"/>
            <w:shd w:val="clear" w:color="auto" w:fill="CCEEFF"/>
          </w:tcPr>
          <w:p>
            <w:pPr>
              <w:jc w:val="right"/>
              <w:ind w:right="380"/>
              <w:spacing w:after="0" w:line="183" w:lineRule="exact"/>
              <w:rPr>
                <w:sz w:val="20"/>
                <w:szCs w:val="20"/>
                <w:color w:val="auto"/>
              </w:rPr>
            </w:pPr>
            <w:r>
              <w:rPr>
                <w:rFonts w:ascii="Arial" w:cs="Arial" w:eastAsia="Arial" w:hAnsi="Arial"/>
                <w:sz w:val="16"/>
                <w:szCs w:val="16"/>
                <w:color w:val="auto"/>
              </w:rPr>
              <w:t>100%</w:t>
            </w:r>
          </w:p>
        </w:tc>
        <w:tc>
          <w:tcPr>
            <w:tcW w:w="1620" w:type="dxa"/>
            <w:vAlign w:val="bottom"/>
            <w:gridSpan w:val="2"/>
            <w:shd w:val="clear" w:color="auto" w:fill="CCEEFF"/>
          </w:tcPr>
          <w:p>
            <w:pPr>
              <w:jc w:val="right"/>
              <w:ind w:right="340"/>
              <w:spacing w:after="0" w:line="183" w:lineRule="exact"/>
              <w:rPr>
                <w:sz w:val="20"/>
                <w:szCs w:val="20"/>
                <w:color w:val="auto"/>
              </w:rPr>
            </w:pPr>
            <w:r>
              <w:rPr>
                <w:rFonts w:ascii="Arial" w:cs="Arial" w:eastAsia="Arial" w:hAnsi="Arial"/>
                <w:sz w:val="16"/>
                <w:szCs w:val="16"/>
                <w:color w:val="auto"/>
              </w:rPr>
              <w:t>100%</w:t>
            </w:r>
          </w:p>
        </w:tc>
        <w:tc>
          <w:tcPr>
            <w:tcW w:w="1620" w:type="dxa"/>
            <w:vAlign w:val="bottom"/>
            <w:gridSpan w:val="2"/>
            <w:shd w:val="clear" w:color="auto" w:fill="CCEEFF"/>
          </w:tcPr>
          <w:p>
            <w:pPr>
              <w:jc w:val="right"/>
              <w:ind w:right="400"/>
              <w:spacing w:after="0" w:line="183" w:lineRule="exact"/>
              <w:rPr>
                <w:sz w:val="20"/>
                <w:szCs w:val="20"/>
                <w:color w:val="auto"/>
              </w:rPr>
            </w:pPr>
            <w:r>
              <w:rPr>
                <w:rFonts w:ascii="Arial" w:cs="Arial" w:eastAsia="Arial" w:hAnsi="Arial"/>
                <w:sz w:val="16"/>
                <w:szCs w:val="16"/>
                <w:color w:val="auto"/>
              </w:rPr>
              <w:t>100%</w:t>
            </w:r>
          </w:p>
        </w:tc>
        <w:tc>
          <w:tcPr>
            <w:tcW w:w="100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100%</w:t>
            </w: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auto"/>
              </w:rPr>
              <w:t>Costs and operating expenses: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1"/>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 processing</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7"/>
        </w:trPr>
        <w:tc>
          <w:tcPr>
            <w:tcW w:w="2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services costs</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37</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35</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46</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33</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36</w:t>
            </w:r>
          </w:p>
        </w:tc>
      </w:tr>
      <w:tr>
        <w:trPr>
          <w:trHeight w:val="191"/>
        </w:trPr>
        <w:tc>
          <w:tcPr>
            <w:tcW w:w="2720" w:type="dxa"/>
            <w:vAlign w:val="bottom"/>
          </w:tcPr>
          <w:p>
            <w:pPr>
              <w:ind w:left="320"/>
              <w:spacing w:after="0"/>
              <w:rPr>
                <w:sz w:val="20"/>
                <w:szCs w:val="20"/>
                <w:color w:val="auto"/>
              </w:rPr>
            </w:pPr>
            <w:r>
              <w:rPr>
                <w:rFonts w:ascii="Arial" w:cs="Arial" w:eastAsia="Arial" w:hAnsi="Arial"/>
                <w:sz w:val="16"/>
                <w:szCs w:val="16"/>
                <w:color w:val="auto"/>
              </w:rPr>
              <w:t>Technology and</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7"/>
        </w:trPr>
        <w:tc>
          <w:tcPr>
            <w:tcW w:w="2720" w:type="dxa"/>
            <w:vAlign w:val="bottom"/>
          </w:tcPr>
          <w:p>
            <w:pPr>
              <w:ind w:left="480"/>
              <w:spacing w:after="0"/>
              <w:rPr>
                <w:sz w:val="20"/>
                <w:szCs w:val="20"/>
                <w:color w:val="auto"/>
              </w:rPr>
            </w:pPr>
            <w:r>
              <w:rPr>
                <w:rFonts w:ascii="Arial" w:cs="Arial" w:eastAsia="Arial" w:hAnsi="Arial"/>
                <w:sz w:val="16"/>
                <w:szCs w:val="16"/>
                <w:color w:val="auto"/>
              </w:rPr>
              <w:t>development</w:t>
            </w:r>
          </w:p>
        </w:tc>
        <w:tc>
          <w:tcPr>
            <w:tcW w:w="1600" w:type="dxa"/>
            <w:vAlign w:val="bottom"/>
            <w:gridSpan w:val="2"/>
          </w:tcPr>
          <w:p>
            <w:pPr>
              <w:jc w:val="right"/>
              <w:ind w:right="540"/>
              <w:spacing w:after="0"/>
              <w:rPr>
                <w:sz w:val="20"/>
                <w:szCs w:val="20"/>
                <w:color w:val="auto"/>
              </w:rPr>
            </w:pPr>
            <w:r>
              <w:rPr>
                <w:rFonts w:ascii="Arial" w:cs="Arial" w:eastAsia="Arial" w:hAnsi="Arial"/>
                <w:sz w:val="16"/>
                <w:szCs w:val="16"/>
                <w:color w:val="auto"/>
              </w:rPr>
              <w:t>18</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color w:val="auto"/>
              </w:rPr>
              <w:t>17</w:t>
            </w:r>
          </w:p>
        </w:tc>
        <w:tc>
          <w:tcPr>
            <w:tcW w:w="1200" w:type="dxa"/>
            <w:vAlign w:val="bottom"/>
            <w:gridSpan w:val="2"/>
          </w:tcPr>
          <w:p>
            <w:pPr>
              <w:jc w:val="right"/>
              <w:ind w:right="540"/>
              <w:spacing w:after="0"/>
              <w:rPr>
                <w:sz w:val="20"/>
                <w:szCs w:val="20"/>
                <w:color w:val="auto"/>
              </w:rPr>
            </w:pPr>
            <w:r>
              <w:rPr>
                <w:rFonts w:ascii="Arial" w:cs="Arial" w:eastAsia="Arial" w:hAnsi="Arial"/>
                <w:sz w:val="16"/>
                <w:szCs w:val="16"/>
                <w:color w:val="auto"/>
              </w:rPr>
              <w:t>27</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14</w:t>
            </w: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20</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17</w:t>
            </w:r>
          </w:p>
        </w:tc>
      </w:tr>
      <w:tr>
        <w:trPr>
          <w:trHeight w:val="189"/>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Selling and marketing</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32</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26</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34</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18</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27</w:t>
            </w:r>
          </w:p>
        </w:tc>
      </w:tr>
      <w:tr>
        <w:trPr>
          <w:trHeight w:val="196"/>
        </w:trPr>
        <w:tc>
          <w:tcPr>
            <w:tcW w:w="272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1600" w:type="dxa"/>
            <w:vAlign w:val="bottom"/>
            <w:gridSpan w:val="2"/>
          </w:tcPr>
          <w:p>
            <w:pPr>
              <w:jc w:val="right"/>
              <w:ind w:right="540"/>
              <w:spacing w:after="0"/>
              <w:rPr>
                <w:sz w:val="20"/>
                <w:szCs w:val="20"/>
                <w:color w:val="auto"/>
              </w:rPr>
            </w:pPr>
            <w:r>
              <w:rPr>
                <w:rFonts w:ascii="Arial" w:cs="Arial" w:eastAsia="Arial" w:hAnsi="Arial"/>
                <w:sz w:val="16"/>
                <w:szCs w:val="16"/>
                <w:color w:val="auto"/>
              </w:rPr>
              <w:t>45</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color w:val="auto"/>
              </w:rPr>
              <w:t>31</w:t>
            </w:r>
          </w:p>
        </w:tc>
        <w:tc>
          <w:tcPr>
            <w:tcW w:w="1200" w:type="dxa"/>
            <w:vAlign w:val="bottom"/>
            <w:gridSpan w:val="2"/>
          </w:tcPr>
          <w:p>
            <w:pPr>
              <w:jc w:val="right"/>
              <w:ind w:right="540"/>
              <w:spacing w:after="0"/>
              <w:rPr>
                <w:sz w:val="20"/>
                <w:szCs w:val="20"/>
                <w:color w:val="auto"/>
              </w:rPr>
            </w:pPr>
            <w:r>
              <w:rPr>
                <w:rFonts w:ascii="Arial" w:cs="Arial" w:eastAsia="Arial" w:hAnsi="Arial"/>
                <w:sz w:val="16"/>
                <w:szCs w:val="16"/>
                <w:color w:val="auto"/>
              </w:rPr>
              <w:t>57</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22</w:t>
            </w: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29</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35</w:t>
            </w:r>
          </w:p>
        </w:tc>
      </w:tr>
      <w:tr>
        <w:trPr>
          <w:trHeight w:val="191"/>
        </w:trPr>
        <w:tc>
          <w:tcPr>
            <w:tcW w:w="27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costs and</w:t>
            </w:r>
          </w:p>
        </w:tc>
        <w:tc>
          <w:tcPr>
            <w:tcW w:w="106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7"/>
        </w:trPr>
        <w:tc>
          <w:tcPr>
            <w:tcW w:w="27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operating expenses</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132</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109</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164</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87</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109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114</w:t>
            </w:r>
          </w:p>
        </w:tc>
      </w:tr>
      <w:tr>
        <w:trPr>
          <w:trHeight w:val="20"/>
        </w:trPr>
        <w:tc>
          <w:tcPr>
            <w:tcW w:w="2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720" w:type="dxa"/>
            <w:vAlign w:val="bottom"/>
          </w:tcPr>
          <w:p>
            <w:pPr>
              <w:spacing w:after="0"/>
              <w:rPr>
                <w:sz w:val="20"/>
                <w:szCs w:val="20"/>
                <w:color w:val="auto"/>
              </w:rPr>
            </w:pPr>
            <w:r>
              <w:rPr>
                <w:rFonts w:ascii="Arial" w:cs="Arial" w:eastAsia="Arial" w:hAnsi="Arial"/>
                <w:sz w:val="16"/>
                <w:szCs w:val="16"/>
                <w:color w:val="auto"/>
              </w:rPr>
              <w:t>Income (loss) from operations</w:t>
            </w:r>
          </w:p>
        </w:tc>
        <w:tc>
          <w:tcPr>
            <w:tcW w:w="1600" w:type="dxa"/>
            <w:vAlign w:val="bottom"/>
            <w:gridSpan w:val="2"/>
          </w:tcPr>
          <w:p>
            <w:pPr>
              <w:jc w:val="right"/>
              <w:ind w:right="480"/>
              <w:spacing w:after="0"/>
              <w:rPr>
                <w:sz w:val="20"/>
                <w:szCs w:val="20"/>
                <w:color w:val="auto"/>
              </w:rPr>
            </w:pPr>
            <w:r>
              <w:rPr>
                <w:rFonts w:ascii="Arial" w:cs="Arial" w:eastAsia="Arial" w:hAnsi="Arial"/>
                <w:sz w:val="16"/>
                <w:szCs w:val="16"/>
                <w:color w:val="auto"/>
              </w:rPr>
              <w:t>(32)</w:t>
            </w:r>
          </w:p>
        </w:tc>
        <w:tc>
          <w:tcPr>
            <w:tcW w:w="1260" w:type="dxa"/>
            <w:vAlign w:val="bottom"/>
            <w:gridSpan w:val="2"/>
          </w:tcPr>
          <w:p>
            <w:pPr>
              <w:jc w:val="right"/>
              <w:ind w:right="440"/>
              <w:spacing w:after="0"/>
              <w:rPr>
                <w:sz w:val="20"/>
                <w:szCs w:val="20"/>
                <w:color w:val="auto"/>
              </w:rPr>
            </w:pPr>
            <w:r>
              <w:rPr>
                <w:rFonts w:ascii="Arial" w:cs="Arial" w:eastAsia="Arial" w:hAnsi="Arial"/>
                <w:sz w:val="16"/>
                <w:szCs w:val="16"/>
                <w:color w:val="auto"/>
              </w:rPr>
              <w:t>(9)</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(64)</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13</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(9)</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(14)</w:t>
            </w:r>
          </w:p>
        </w:tc>
      </w:tr>
      <w:tr>
        <w:trPr>
          <w:trHeight w:val="189"/>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2720" w:type="dxa"/>
            <w:vAlign w:val="bottom"/>
          </w:tcPr>
          <w:p>
            <w:pPr>
              <w:ind w:left="320"/>
              <w:spacing w:after="0"/>
              <w:rPr>
                <w:sz w:val="20"/>
                <w:szCs w:val="20"/>
                <w:color w:val="auto"/>
              </w:rPr>
            </w:pPr>
            <w:r>
              <w:rPr>
                <w:rFonts w:ascii="Arial" w:cs="Arial" w:eastAsia="Arial" w:hAnsi="Arial"/>
                <w:sz w:val="16"/>
                <w:szCs w:val="16"/>
                <w:color w:val="auto"/>
              </w:rPr>
              <w:t>Interest expense</w:t>
            </w:r>
          </w:p>
        </w:tc>
        <w:tc>
          <w:tcPr>
            <w:tcW w:w="1600" w:type="dxa"/>
            <w:vAlign w:val="bottom"/>
            <w:gridSpan w:val="2"/>
          </w:tcPr>
          <w:p>
            <w:pPr>
              <w:jc w:val="right"/>
              <w:ind w:right="480"/>
              <w:spacing w:after="0"/>
              <w:rPr>
                <w:sz w:val="20"/>
                <w:szCs w:val="20"/>
                <w:color w:val="auto"/>
              </w:rPr>
            </w:pPr>
            <w:r>
              <w:rPr>
                <w:rFonts w:ascii="Arial" w:cs="Arial" w:eastAsia="Arial" w:hAnsi="Arial"/>
                <w:sz w:val="16"/>
                <w:szCs w:val="16"/>
                <w:color w:val="auto"/>
              </w:rPr>
              <w:t>(4)</w:t>
            </w:r>
          </w:p>
        </w:tc>
        <w:tc>
          <w:tcPr>
            <w:tcW w:w="1260" w:type="dxa"/>
            <w:vAlign w:val="bottom"/>
            <w:gridSpan w:val="2"/>
          </w:tcPr>
          <w:p>
            <w:pPr>
              <w:jc w:val="right"/>
              <w:ind w:right="440"/>
              <w:spacing w:after="0"/>
              <w:rPr>
                <w:sz w:val="20"/>
                <w:szCs w:val="20"/>
                <w:color w:val="auto"/>
              </w:rPr>
            </w:pPr>
            <w:r>
              <w:rPr>
                <w:rFonts w:ascii="Arial" w:cs="Arial" w:eastAsia="Arial" w:hAnsi="Arial"/>
                <w:sz w:val="16"/>
                <w:szCs w:val="16"/>
                <w:color w:val="auto"/>
              </w:rPr>
              <w:t>(2)</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(3)</w:t>
            </w: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(1)</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(2)</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r>
      <w:tr>
        <w:trPr>
          <w:trHeight w:val="191"/>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fair value of</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2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preferred stock warrant</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7"/>
        </w:trPr>
        <w:tc>
          <w:tcPr>
            <w:tcW w:w="2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liability</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0</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0</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0</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w:t>
            </w:r>
          </w:p>
        </w:tc>
      </w:tr>
      <w:tr>
        <w:trPr>
          <w:trHeight w:val="196"/>
        </w:trPr>
        <w:tc>
          <w:tcPr>
            <w:tcW w:w="2720" w:type="dxa"/>
            <w:vAlign w:val="bottom"/>
          </w:tcPr>
          <w:p>
            <w:pPr>
              <w:ind w:left="320"/>
              <w:spacing w:after="0"/>
              <w:rPr>
                <w:sz w:val="20"/>
                <w:szCs w:val="20"/>
                <w:color w:val="auto"/>
              </w:rPr>
            </w:pPr>
            <w:r>
              <w:rPr>
                <w:rFonts w:ascii="Arial" w:cs="Arial" w:eastAsia="Arial" w:hAnsi="Arial"/>
                <w:sz w:val="16"/>
                <w:szCs w:val="16"/>
                <w:color w:val="auto"/>
              </w:rPr>
              <w:t>Other income (expense), net</w:t>
            </w:r>
          </w:p>
        </w:tc>
        <w:tc>
          <w:tcPr>
            <w:tcW w:w="1600" w:type="dxa"/>
            <w:vAlign w:val="bottom"/>
            <w:gridSpan w:val="2"/>
          </w:tcPr>
          <w:p>
            <w:pPr>
              <w:jc w:val="right"/>
              <w:ind w:right="540"/>
              <w:spacing w:after="0"/>
              <w:rPr>
                <w:sz w:val="20"/>
                <w:szCs w:val="20"/>
                <w:color w:val="auto"/>
              </w:rPr>
            </w:pPr>
            <w:r>
              <w:rPr>
                <w:rFonts w:ascii="Arial" w:cs="Arial" w:eastAsia="Arial" w:hAnsi="Arial"/>
                <w:sz w:val="16"/>
                <w:szCs w:val="16"/>
                <w:color w:val="auto"/>
              </w:rPr>
              <w:t>1</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color w:val="auto"/>
              </w:rPr>
              <w:t>0</w:t>
            </w:r>
          </w:p>
        </w:tc>
        <w:tc>
          <w:tcPr>
            <w:tcW w:w="1200" w:type="dxa"/>
            <w:vAlign w:val="bottom"/>
            <w:gridSpan w:val="2"/>
          </w:tcPr>
          <w:p>
            <w:pPr>
              <w:jc w:val="right"/>
              <w:ind w:right="540"/>
              <w:spacing w:after="0"/>
              <w:rPr>
                <w:sz w:val="20"/>
                <w:szCs w:val="20"/>
                <w:color w:val="auto"/>
              </w:rPr>
            </w:pPr>
            <w:r>
              <w:rPr>
                <w:rFonts w:ascii="Arial" w:cs="Arial" w:eastAsia="Arial" w:hAnsi="Arial"/>
                <w:sz w:val="16"/>
                <w:szCs w:val="16"/>
                <w:color w:val="auto"/>
              </w:rPr>
              <w:t>0</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0</w:t>
            </w:r>
          </w:p>
        </w:tc>
        <w:tc>
          <w:tcPr>
            <w:tcW w:w="1620" w:type="dxa"/>
            <w:vAlign w:val="bottom"/>
            <w:gridSpan w:val="2"/>
          </w:tcPr>
          <w:p>
            <w:pPr>
              <w:jc w:val="right"/>
              <w:ind w:right="540"/>
              <w:spacing w:after="0"/>
              <w:rPr>
                <w:sz w:val="20"/>
                <w:szCs w:val="20"/>
                <w:color w:val="auto"/>
              </w:rPr>
            </w:pPr>
            <w:r>
              <w:rPr>
                <w:rFonts w:ascii="Arial" w:cs="Arial" w:eastAsia="Arial" w:hAnsi="Arial"/>
                <w:sz w:val="16"/>
                <w:szCs w:val="16"/>
                <w:color w:val="auto"/>
              </w:rPr>
              <w:t>2</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r>
      <w:tr>
        <w:trPr>
          <w:trHeight w:val="191"/>
        </w:trPr>
        <w:tc>
          <w:tcPr>
            <w:tcW w:w="27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other expenses,</w:t>
            </w:r>
          </w:p>
        </w:tc>
        <w:tc>
          <w:tcPr>
            <w:tcW w:w="106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7"/>
        </w:trPr>
        <w:tc>
          <w:tcPr>
            <w:tcW w:w="27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w:t>
            </w: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w:t>
            </w: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w:t>
            </w:r>
          </w:p>
        </w:tc>
      </w:tr>
      <w:tr>
        <w:trPr>
          <w:trHeight w:val="198"/>
        </w:trPr>
        <w:tc>
          <w:tcPr>
            <w:tcW w:w="2720" w:type="dxa"/>
            <w:vAlign w:val="bottom"/>
          </w:tcPr>
          <w:p>
            <w:pPr>
              <w:spacing w:after="0"/>
              <w:rPr>
                <w:sz w:val="20"/>
                <w:szCs w:val="20"/>
                <w:color w:val="auto"/>
              </w:rPr>
            </w:pPr>
            <w:r>
              <w:rPr>
                <w:rFonts w:ascii="Arial" w:cs="Arial" w:eastAsia="Arial" w:hAnsi="Arial"/>
                <w:sz w:val="16"/>
                <w:szCs w:val="16"/>
                <w:color w:val="auto"/>
              </w:rPr>
              <w:t>Income (loss) before provision for</w:t>
            </w:r>
          </w:p>
        </w:tc>
        <w:tc>
          <w:tcPr>
            <w:tcW w:w="106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187"/>
        </w:trPr>
        <w:tc>
          <w:tcPr>
            <w:tcW w:w="2720" w:type="dxa"/>
            <w:vAlign w:val="bottom"/>
          </w:tcPr>
          <w:p>
            <w:pPr>
              <w:ind w:left="160"/>
              <w:spacing w:after="0"/>
              <w:rPr>
                <w:sz w:val="20"/>
                <w:szCs w:val="20"/>
                <w:color w:val="auto"/>
              </w:rPr>
            </w:pPr>
            <w:r>
              <w:rPr>
                <w:rFonts w:ascii="Arial" w:cs="Arial" w:eastAsia="Arial" w:hAnsi="Arial"/>
                <w:sz w:val="16"/>
                <w:szCs w:val="16"/>
                <w:color w:val="auto"/>
              </w:rPr>
              <w:t>income taxes</w:t>
            </w:r>
          </w:p>
        </w:tc>
        <w:tc>
          <w:tcPr>
            <w:tcW w:w="1600" w:type="dxa"/>
            <w:vAlign w:val="bottom"/>
            <w:gridSpan w:val="2"/>
          </w:tcPr>
          <w:p>
            <w:pPr>
              <w:jc w:val="right"/>
              <w:ind w:right="480"/>
              <w:spacing w:after="0"/>
              <w:rPr>
                <w:sz w:val="20"/>
                <w:szCs w:val="20"/>
                <w:color w:val="auto"/>
              </w:rPr>
            </w:pPr>
            <w:r>
              <w:rPr>
                <w:rFonts w:ascii="Arial" w:cs="Arial" w:eastAsia="Arial" w:hAnsi="Arial"/>
                <w:sz w:val="16"/>
                <w:szCs w:val="16"/>
                <w:color w:val="auto"/>
              </w:rPr>
              <w:t>(35)</w:t>
            </w:r>
          </w:p>
        </w:tc>
        <w:tc>
          <w:tcPr>
            <w:tcW w:w="1260" w:type="dxa"/>
            <w:vAlign w:val="bottom"/>
            <w:gridSpan w:val="2"/>
          </w:tcPr>
          <w:p>
            <w:pPr>
              <w:jc w:val="right"/>
              <w:ind w:right="440"/>
              <w:spacing w:after="0"/>
              <w:rPr>
                <w:sz w:val="20"/>
                <w:szCs w:val="20"/>
                <w:color w:val="auto"/>
              </w:rPr>
            </w:pPr>
            <w:r>
              <w:rPr>
                <w:rFonts w:ascii="Arial" w:cs="Arial" w:eastAsia="Arial" w:hAnsi="Arial"/>
                <w:sz w:val="16"/>
                <w:szCs w:val="16"/>
                <w:color w:val="auto"/>
              </w:rPr>
              <w:t>(12)</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(66)</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11</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color w:val="auto"/>
              </w:rPr>
              <w:t>(10)</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(19)</w:t>
            </w:r>
          </w:p>
        </w:tc>
      </w:tr>
      <w:tr>
        <w:trPr>
          <w:trHeight w:val="191"/>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(benefit from)</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7"/>
        </w:trPr>
        <w:tc>
          <w:tcPr>
            <w:tcW w:w="2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taxes</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(23)</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w:t>
            </w:r>
          </w:p>
        </w:tc>
      </w:tr>
      <w:tr>
        <w:trPr>
          <w:trHeight w:val="20"/>
        </w:trPr>
        <w:tc>
          <w:tcPr>
            <w:tcW w:w="2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720" w:type="dxa"/>
            <w:vAlign w:val="bottom"/>
          </w:tcPr>
          <w:p>
            <w:pPr>
              <w:spacing w:after="0"/>
              <w:rPr>
                <w:sz w:val="20"/>
                <w:szCs w:val="20"/>
                <w:color w:val="auto"/>
              </w:rPr>
            </w:pPr>
            <w:r>
              <w:rPr>
                <w:rFonts w:ascii="Arial" w:cs="Arial" w:eastAsia="Arial" w:hAnsi="Arial"/>
                <w:sz w:val="16"/>
                <w:szCs w:val="16"/>
                <w:color w:val="auto"/>
              </w:rPr>
              <w:t>Net income (loss)</w:t>
            </w:r>
          </w:p>
        </w:tc>
        <w:tc>
          <w:tcPr>
            <w:tcW w:w="1600" w:type="dxa"/>
            <w:vAlign w:val="bottom"/>
            <w:gridSpan w:val="2"/>
          </w:tcPr>
          <w:p>
            <w:pPr>
              <w:jc w:val="right"/>
              <w:ind w:right="340"/>
              <w:spacing w:after="0"/>
              <w:rPr>
                <w:sz w:val="20"/>
                <w:szCs w:val="20"/>
                <w:color w:val="auto"/>
              </w:rPr>
            </w:pPr>
            <w:r>
              <w:rPr>
                <w:rFonts w:ascii="Arial" w:cs="Arial" w:eastAsia="Arial" w:hAnsi="Arial"/>
                <w:sz w:val="16"/>
                <w:szCs w:val="16"/>
                <w:color w:val="auto"/>
              </w:rPr>
              <w:t>(36)%</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11%</w:t>
            </w:r>
          </w:p>
        </w:tc>
        <w:tc>
          <w:tcPr>
            <w:tcW w:w="1200" w:type="dxa"/>
            <w:vAlign w:val="bottom"/>
            <w:gridSpan w:val="2"/>
          </w:tcPr>
          <w:p>
            <w:pPr>
              <w:jc w:val="right"/>
              <w:ind w:right="340"/>
              <w:spacing w:after="0"/>
              <w:rPr>
                <w:sz w:val="20"/>
                <w:szCs w:val="20"/>
                <w:color w:val="auto"/>
              </w:rPr>
            </w:pPr>
            <w:r>
              <w:rPr>
                <w:rFonts w:ascii="Arial" w:cs="Arial" w:eastAsia="Arial" w:hAnsi="Arial"/>
                <w:sz w:val="16"/>
                <w:szCs w:val="16"/>
                <w:color w:val="auto"/>
              </w:rPr>
              <w:t>(67)%</w:t>
            </w:r>
          </w:p>
        </w:tc>
        <w:tc>
          <w:tcPr>
            <w:tcW w:w="1620" w:type="dxa"/>
            <w:vAlign w:val="bottom"/>
            <w:gridSpan w:val="2"/>
          </w:tcPr>
          <w:p>
            <w:pPr>
              <w:jc w:val="right"/>
              <w:ind w:right="340"/>
              <w:spacing w:after="0"/>
              <w:rPr>
                <w:sz w:val="20"/>
                <w:szCs w:val="20"/>
                <w:color w:val="auto"/>
              </w:rPr>
            </w:pPr>
            <w:r>
              <w:rPr>
                <w:rFonts w:ascii="Arial" w:cs="Arial" w:eastAsia="Arial" w:hAnsi="Arial"/>
                <w:sz w:val="16"/>
                <w:szCs w:val="16"/>
                <w:color w:val="auto"/>
              </w:rPr>
              <w:t>12%</w:t>
            </w:r>
          </w:p>
        </w:tc>
        <w:tc>
          <w:tcPr>
            <w:tcW w:w="1620" w:type="dxa"/>
            <w:vAlign w:val="bottom"/>
            <w:gridSpan w:val="2"/>
          </w:tcPr>
          <w:p>
            <w:pPr>
              <w:jc w:val="right"/>
              <w:ind w:right="340"/>
              <w:spacing w:after="0"/>
              <w:rPr>
                <w:sz w:val="20"/>
                <w:szCs w:val="20"/>
                <w:color w:val="auto"/>
              </w:rPr>
            </w:pPr>
            <w:r>
              <w:rPr>
                <w:rFonts w:ascii="Arial" w:cs="Arial" w:eastAsia="Arial" w:hAnsi="Arial"/>
                <w:sz w:val="16"/>
                <w:szCs w:val="16"/>
                <w:color w:val="auto"/>
              </w:rPr>
              <w:t>(12)%</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(19)%</w:t>
            </w:r>
          </w:p>
        </w:tc>
      </w:tr>
      <w:tr>
        <w:trPr>
          <w:trHeight w:val="20"/>
        </w:trPr>
        <w:tc>
          <w:tcPr>
            <w:tcW w:w="2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Quarterly Revenue Trends</w:t>
      </w:r>
    </w:p>
    <w:p>
      <w:pPr>
        <w:spacing w:after="0" w:line="189"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Our revenue is subject to seasonality due to the timing our clients customers payments. Our total revenue, adjusting for seasonality, has increased on a quarter over quarter basis primarily due to the increase in customers and the increase in transactions processed per customer. Additionally, revenue has increased in part due to the acquisition of Simplee in February 2020.</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Quarterly Operating Expenses Trends</w:t>
      </w:r>
    </w:p>
    <w:p>
      <w:pPr>
        <w:spacing w:after="0" w:line="20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For the period from December 31, 2019 through March 31, 2020 our operating expenses increased consecutively due primarily to the increase in personnel-related costs, including stock-based compensation expense and retention costs for acquired employees, as we invested in additional headcount quarter-over-quarter to support the growth of our business. During the quarter ended March 31, 2020, due to the COVID-19 pandemic, we took action to reduce headcount costs, professional fees, and other costs. From September 30, 2020 through March 31, 2021 our operating expenses in each subsequent quarter presented increased primarily due to increase in personnel-related costs, including stock-based compensation expense and retention costs for acquired employees, as we invested in additional headcount quarter-over-quarter. We also continued to experience an increase in our operating expenses related to the change in fair value of the contingent consideration liability related to the acquisition of Simplee.</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Quarterly Other Income Trends</w:t>
      </w:r>
    </w:p>
    <w:p>
      <w:pPr>
        <w:spacing w:after="0" w:line="20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Our other expense (net) fluctuated on a quarter-over-quarter primarily due to the changes in fair value of the preferred stock warrant liability, and due to changes in foreign exchange rates versus the U.S. dollar in the respective periods.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Liquidity and Capital Resources</w:t>
      </w:r>
    </w:p>
    <w:p>
      <w:pPr>
        <w:spacing w:after="0" w:line="189"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have historically sourced our liquidity requirements primarily through the issuance and sale of our preferred stock and borrowings under our debt agreements. To date, we have received net cash proceeds of $332.2 million from sales of our preferred stock and net cash proceeds of $24.3 million from our credit facilities. As of March 31, 2021, we had cash and cash equivalents of $146.3 million. The principal uses for liquidity have been to operate our business and to finance acquisitions and capital expenditures. We believe we have sufficient liquidity to satisfy our operating and capital expenditure needs for at least the next 12 months, however, we continue to evaluate and take action, as necessary, to preserve adequate liquidity and ensure that our business can continue to operate during these uncertain times.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The following table sets forth summary cash flow information for the periods presented.</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100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9"/>
              </w:rPr>
              <w:t>Three Months</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4"/>
          </w:tcPr>
          <w:p>
            <w:pPr>
              <w:jc w:val="right"/>
              <w:ind w:right="420"/>
              <w:spacing w:after="0" w:line="202" w:lineRule="exact"/>
              <w:rPr>
                <w:sz w:val="20"/>
                <w:szCs w:val="20"/>
                <w:color w:val="auto"/>
              </w:rPr>
            </w:pPr>
            <w:r>
              <w:rPr>
                <w:rFonts w:ascii="Arial" w:cs="Arial" w:eastAsia="Arial" w:hAnsi="Arial"/>
                <w:sz w:val="18"/>
                <w:szCs w:val="18"/>
                <w:b w:val="1"/>
                <w:bCs w:val="1"/>
                <w:color w:val="auto"/>
              </w:rPr>
              <w:t>Year Ended</w:t>
            </w:r>
          </w:p>
        </w:tc>
        <w:tc>
          <w:tcPr>
            <w:tcW w:w="140" w:type="dxa"/>
            <w:vAlign w:val="bottom"/>
          </w:tcPr>
          <w:p>
            <w:pPr>
              <w:spacing w:after="0"/>
              <w:rPr>
                <w:sz w:val="17"/>
                <w:szCs w:val="17"/>
                <w:color w:val="auto"/>
              </w:rPr>
            </w:pPr>
          </w:p>
        </w:tc>
        <w:tc>
          <w:tcPr>
            <w:tcW w:w="1560" w:type="dxa"/>
            <w:vAlign w:val="bottom"/>
            <w:gridSpan w:val="4"/>
          </w:tcPr>
          <w:p>
            <w:pPr>
              <w:jc w:val="center"/>
              <w:ind w:right="120"/>
              <w:spacing w:after="0" w:line="202" w:lineRule="exact"/>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25"/>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w w:val="97"/>
              </w:rPr>
              <w:t>(In Millions)</w:t>
            </w:r>
          </w:p>
        </w:tc>
        <w:tc>
          <w:tcPr>
            <w:tcW w:w="670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9"/>
                <w:szCs w:val="19"/>
                <w:color w:val="auto"/>
              </w:rPr>
            </w:pPr>
          </w:p>
        </w:tc>
        <w:tc>
          <w:tcPr>
            <w:tcW w:w="1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03"/>
        </w:trPr>
        <w:tc>
          <w:tcPr>
            <w:tcW w:w="1000" w:type="dxa"/>
            <w:vAlign w:val="bottom"/>
            <w:tcBorders>
              <w:bottom w:val="single" w:sz="8" w:color="auto"/>
            </w:tcBorders>
            <w:vMerge w:val="continue"/>
          </w:tcPr>
          <w:p>
            <w:pPr>
              <w:spacing w:after="0"/>
              <w:rPr>
                <w:sz w:val="17"/>
                <w:szCs w:val="17"/>
                <w:color w:val="auto"/>
              </w:rPr>
            </w:pPr>
          </w:p>
        </w:tc>
        <w:tc>
          <w:tcPr>
            <w:tcW w:w="6700" w:type="dxa"/>
            <w:vAlign w:val="bottom"/>
            <w:vMerge w:val="continue"/>
          </w:tcPr>
          <w:p>
            <w:pPr>
              <w:spacing w:after="0"/>
              <w:rPr>
                <w:sz w:val="17"/>
                <w:szCs w:val="17"/>
                <w:color w:val="auto"/>
              </w:rPr>
            </w:pPr>
          </w:p>
        </w:tc>
        <w:tc>
          <w:tcPr>
            <w:tcW w:w="52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w:t>
            </w:r>
          </w:p>
        </w:tc>
        <w:tc>
          <w:tcPr>
            <w:tcW w:w="3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 (14.2)</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 (47.1)</w:t>
            </w:r>
          </w:p>
        </w:tc>
        <w:tc>
          <w:tcPr>
            <w:tcW w:w="3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1"/>
              </w:rPr>
              <w:t>$(14.8)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7"/>
                <w:szCs w:val="17"/>
                <w:color w:val="auto"/>
              </w:rPr>
            </w:pP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(3.7)</w:t>
            </w: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(81.5)</w:t>
            </w:r>
          </w:p>
        </w:tc>
        <w:tc>
          <w:tcPr>
            <w:tcW w:w="10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(80.0)</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7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(3.9)</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119.0</w:t>
            </w:r>
          </w:p>
        </w:tc>
        <w:tc>
          <w:tcPr>
            <w:tcW w:w="10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116.9</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3"/>
        </w:trPr>
        <w:tc>
          <w:tcPr>
            <w:tcW w:w="7700" w:type="dxa"/>
            <w:vAlign w:val="bottom"/>
            <w:gridSpan w:val="2"/>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(0.3)</w:t>
            </w:r>
          </w:p>
        </w:tc>
        <w:tc>
          <w:tcPr>
            <w:tcW w:w="10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(0.3)</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Net (decrease) increase in cash, cash equivalents and restricted cash.</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(3.50)</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23.00</w:t>
            </w:r>
          </w:p>
        </w:tc>
        <w:tc>
          <w:tcPr>
            <w:tcW w:w="10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(10.5)</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$ 42.3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89"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Net cash used in operating activities consists of net loss adjusted for certain non-cash items and changes in other assets and liabilities.</w:t>
      </w:r>
    </w:p>
    <w:p>
      <w:pPr>
        <w:spacing w:after="0" w:line="170"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During the three months ended March 31, 2021, cash used in operating activities of $14.8 million was primarily the result of net loss of $8.7 million adjusted for non-cash expenses of $13.8 million, which primarily include depreciation and amortization of $2.1 million, stock-based compensation expenses of $ 10.4 million, and the change in fair value of preferred stock warrant liability of $1.0 million, offset by $19.6 million related to changes in our operating assets and liabilities. Net cash used by changes in operating assets and liabilities consisted primarily of a $ 28.1 million decrease in funds payable to customers due to the timing of when we settle the amounts we owe to our clients, a $3.2 million decrease in contingent consideration, and a $1.7 million decrease in prepaid expenses and other assets, offset by a 13.3 million decrease in funds receivables from payment partners due to the timing of when our payment partners settle the amounts they owe to us, and a $1.1 million decrease in unbilled receivables.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40" w:firstLine="440"/>
        <w:spacing w:after="0" w:line="236" w:lineRule="auto"/>
        <w:rPr>
          <w:sz w:val="20"/>
          <w:szCs w:val="20"/>
          <w:color w:val="auto"/>
        </w:rPr>
      </w:pPr>
      <w:r>
        <w:rPr>
          <w:rFonts w:ascii="Arial" w:cs="Arial" w:eastAsia="Arial" w:hAnsi="Arial"/>
          <w:sz w:val="18"/>
          <w:szCs w:val="18"/>
          <w:color w:val="auto"/>
        </w:rPr>
        <w:t>During the three months ended March 31, 2020, cash used in operating activities of $47.1 million was primarily the result of net income of $3.7 million adjusted for non-cash expenses of $6.0 million, which primarily include a tax benefit related to the change in deferred taxes of $8.6 million due to the release of the valuation allowance, depreciation and amortization of $1.5 million, stock-based compensation expenses of $0.8 million, revaluation of contingent consideration of $0.3 million, change in fair value of preferred stock warrant liability of $0.3 million and by changes in operating assets and liabilities of $44.7 million. Net cash provided by changes in operating assets and liabilities consisted primarily of a $51.2 million decrease in funds payable to customers, a $1.2 million increase in prepaid expenses and other assets, a $2.1 million increase in accounts receivables, a $0.1 million decrease in accounts payable and accrued expenses and a $0.7 million decrease in contingent consideration, offset by a $10.1 million decrease in funds receivable from payment partners and a $1.0 million decrease in unbilled receivables.</w:t>
      </w:r>
    </w:p>
    <w:p>
      <w:pPr>
        <w:spacing w:after="0" w:line="180"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During 2020, cash used in operating activities of $14.2 million was primarily the result of net loss of $11.1 million adjusted for non-cash expenses of $9.0 million, which primarily include depreciation and amortization of $6.8 million, stock-based compensation expenses of $3.8 million, revaluation of contingent consideration of $ 5.4 million and the change in fair value of preferred stock warrant liability of $0.7 million, offset by $8.5 million related to deferred taxes and $12.1 million related to changes in our operating assets and liabilities. Net cash used by changes in operating assets and liabilities consisted primarily of a $6.0 million increase in funds receivable from payment partners, a $5.3 million decrease in funds payable to customers, a $3.8 million increase in prepaid expenses and other assets, a $1.6 million increase in accounts receivable, a $0.7 decrease in contingent consideration and a $0.4 million increase in unbilled receivables, offset by a $5.7 million increase in accounts payable and accrued expenses.</w:t>
      </w:r>
    </w:p>
    <w:p>
      <w:pPr>
        <w:spacing w:after="0" w:line="16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During 2019, cash provided by operating activities of $4.1 million was primarily the result of net loss of $20.1 million adjusted for non-cash expenses of $8.0 million, which primarily include depreciation and amortization of $3.7 million, stock-based compensation expenses of $2.9 million, revaluation of contingent consideration of $0.7 million, change in fair value of preferred stock warrant liability of $0.1 million and benefited by changes in operating assets and liabilities of $16.2 million. Net cash provided by changes in operating assets and liabilities consisted primarily of a $13.3 million increase in funds payable to customers, a $2.3 million increase in accounts payable and accrued expenses, a $ 1.2 million decrease in funds receivable from payment partners, a $0.8 million increase in deferred revenue and a $0.4 million increase in other liabilities, offset by a $1.1 million increase in unbilled receivables, a $0.4 million increase in accounts receivable and a $0.4 million increase in prepaid expenses and other assets.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203"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During the three months ended March 31, 2021, cash used in investing activities of $1.5 million was primarily the result of the capitalization of internally-developed software costs.</w:t>
      </w:r>
    </w:p>
    <w:p>
      <w:pPr>
        <w:spacing w:after="0" w:line="156" w:lineRule="exact"/>
        <w:rPr>
          <w:sz w:val="20"/>
          <w:szCs w:val="20"/>
          <w:color w:val="auto"/>
        </w:rPr>
      </w:pPr>
    </w:p>
    <w:p>
      <w:pPr>
        <w:ind w:left="120" w:right="380" w:firstLine="440"/>
        <w:spacing w:after="0"/>
        <w:rPr>
          <w:sz w:val="20"/>
          <w:szCs w:val="20"/>
          <w:color w:val="auto"/>
        </w:rPr>
      </w:pPr>
      <w:r>
        <w:rPr>
          <w:rFonts w:ascii="Arial" w:cs="Arial" w:eastAsia="Arial" w:hAnsi="Arial"/>
          <w:sz w:val="18"/>
          <w:szCs w:val="18"/>
          <w:color w:val="auto"/>
        </w:rPr>
        <w:t>During the three months ended March 31, 2020, cash used in investing activities of $ 79.9 million was primarily the result of our acquisition of Simplee for a purchase price of $79.4 million in cash and $0.5 million related to the capitalization of internally-developed software costs.</w:t>
      </w:r>
    </w:p>
    <w:p>
      <w:pPr>
        <w:spacing w:after="0" w:line="162"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During 2020, cash used in investing activities of $81.5 million was the result of our acquisition of Simplee for a purchase price of $79.4 million in cash, and $2.1 million related to purchases of computer equipment and software.</w:t>
      </w:r>
    </w:p>
    <w:p>
      <w:pPr>
        <w:spacing w:after="0" w:line="170"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During 2019, cash used in investing activities of $3.7 million was the result of leasehold improvements and purchases of computer equipment and software costs.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230"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During the three months ended March 31, 2021, cash provided by financing activities of $58.2 million was the result of our sale of preferred stock for aggregate proceeds of $59.7 million and proceeds from the exercise of stock options of $2.4 million, partially offset by payments for contingent consideration of $3.8 million related to our acquisition of Simplee and $0.2 million related to offering costs associated with our initial public offering.</w:t>
      </w:r>
    </w:p>
    <w:p>
      <w:pPr>
        <w:spacing w:after="0" w:line="20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During the three months ended March 31, 2020, cash used in financing activities of $116.9 million was the result of our sale of preferred stock for aggregate proceeds of $119.8 million and $0.5 million from the proceeds of the exercise of stock options. The increase was offset by $2.1 million related to payments on our long-term debt and $1.3 million related to contingent consideration paid during the period.</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As of March 31, 2021, we had $25.0 million of outstanding indebtedness under the LSA. The proceeds of the Term Loan were used to purchase OnPlan Holdings, LLC. On April 25, 2020, we entered into a Joinder and Second Amendment to the LSA to refinance the LSA. As part of the refinancing, the lender institution re-advanced $4.2 million of principal paid on the loan through May 1, 2020. The LSA is interest only until May 2023 and bears annual interest at a rate equal to the greater of (i) 5.25% above the prime rate of (ii) 8.50%. Beginning on June 1, 2023, we will make 24 equal principal payments. Refer to Note 11 in our unaudited condensed consolidated financial statements included elsewhere in this prospectus for additional details related to our LSA.</w:t>
      </w:r>
    </w:p>
    <w:p>
      <w:pPr>
        <w:spacing w:after="0" w:line="178" w:lineRule="exact"/>
        <w:rPr>
          <w:sz w:val="20"/>
          <w:szCs w:val="20"/>
          <w:color w:val="auto"/>
        </w:rPr>
      </w:pPr>
    </w:p>
    <w:p>
      <w:pPr>
        <w:ind w:left="120" w:right="420" w:firstLine="440"/>
        <w:spacing w:after="0"/>
        <w:rPr>
          <w:sz w:val="20"/>
          <w:szCs w:val="20"/>
          <w:color w:val="auto"/>
        </w:rPr>
      </w:pPr>
      <w:r>
        <w:rPr>
          <w:rFonts w:ascii="Arial" w:cs="Arial" w:eastAsia="Arial" w:hAnsi="Arial"/>
          <w:sz w:val="18"/>
          <w:szCs w:val="18"/>
          <w:color w:val="auto"/>
        </w:rPr>
        <w:t>During 2020, cash provided by financing activities of $119.0 million was the result of our sale of preferred stock for aggregate proceeds of $ 119.8 million and proceeds from the exercise of stock options of $ 0.8 million, primarily offset by payments for contingent consideration of $1.3 million related to our acquisition of OnPlan Holdings, LLC during 2018.</w:t>
      </w:r>
    </w:p>
    <w:p>
      <w:pPr>
        <w:spacing w:after="0" w:line="15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During 2019, cash used in financing activities of $3.9 million was the result of proceeds from issuance of long-term debt of</w:t>
      </w:r>
    </w:p>
    <w:p>
      <w:pPr>
        <w:ind w:left="120" w:right="440"/>
        <w:spacing w:after="0" w:line="246" w:lineRule="auto"/>
        <w:rPr>
          <w:sz w:val="20"/>
          <w:szCs w:val="20"/>
          <w:color w:val="auto"/>
        </w:rPr>
      </w:pPr>
      <w:r>
        <w:rPr>
          <w:rFonts w:ascii="Arial" w:cs="Arial" w:eastAsia="Arial" w:hAnsi="Arial"/>
          <w:sz w:val="18"/>
          <w:szCs w:val="18"/>
          <w:color w:val="auto"/>
        </w:rPr>
        <w:t>$10.0 million and proceeds from the exercise of stock options of $ 0.5 million, primarily offset by payments for contingent and deferred consideration of $14.1 million related to our acquisition of OnPlan Holdings, LLC during 2018.</w:t>
      </w:r>
    </w:p>
    <w:p>
      <w:pPr>
        <w:spacing w:after="0" w:line="15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As of December 31, 2020 and March 31, 2021, we had $25.0 million of outstanding indebtedness under the LSA. The proceeds of the Term Loan were used to purchase OnPlan Holdings, LLC. On April 25, 2020, we entered into a Joinder and Second Amendment to the LSA to refinance the LSA. As part of the refinancing, the lender institution re-advanced $ 4.2 million of principal paid on the loan through May 1, 2020. The LSA is interest only until May 2023 and bears annual interest at a rate equal to the greater of (i) 5.25% above the prime rate of (ii) 8.50%. Beginning on June 1, 2023, we will make 24 equal principal payments. Refer to Note 11 in our unaudited condensed consolidated financial statements included elsewhere in this prospectus for additional details related to our LSA.</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Contractual Obligations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13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8"/>
                <w:szCs w:val="18"/>
                <w:b w:val="1"/>
                <w:bCs w:val="1"/>
                <w:color w:val="auto"/>
                <w:w w:val="98"/>
              </w:rPr>
              <w:t>Payments Due by Year</w:t>
            </w: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gridSpan w:val="2"/>
          </w:tcPr>
          <w:p>
            <w:pPr>
              <w:jc w:val="center"/>
              <w:ind w:right="420"/>
              <w:spacing w:after="0" w:line="173" w:lineRule="exact"/>
              <w:rPr>
                <w:sz w:val="20"/>
                <w:szCs w:val="20"/>
                <w:color w:val="auto"/>
              </w:rPr>
            </w:pPr>
            <w:r>
              <w:rPr>
                <w:rFonts w:ascii="Arial" w:cs="Arial" w:eastAsia="Arial" w:hAnsi="Arial"/>
                <w:sz w:val="18"/>
                <w:szCs w:val="18"/>
                <w:b w:val="1"/>
                <w:bCs w:val="1"/>
                <w:color w:val="auto"/>
              </w:rPr>
              <w:t>Less Than</w:t>
            </w:r>
          </w:p>
        </w:tc>
        <w:tc>
          <w:tcPr>
            <w:tcW w:w="1040" w:type="dxa"/>
            <w:vAlign w:val="bottom"/>
            <w:gridSpan w:val="2"/>
          </w:tcPr>
          <w:p>
            <w:pPr>
              <w:jc w:val="center"/>
              <w:ind w:right="420"/>
              <w:spacing w:after="0" w:line="173" w:lineRule="exact"/>
              <w:rPr>
                <w:sz w:val="20"/>
                <w:szCs w:val="20"/>
                <w:color w:val="auto"/>
              </w:rPr>
            </w:pPr>
            <w:r>
              <w:rPr>
                <w:rFonts w:ascii="Arial" w:cs="Arial" w:eastAsia="Arial" w:hAnsi="Arial"/>
                <w:sz w:val="18"/>
                <w:szCs w:val="18"/>
                <w:b w:val="1"/>
                <w:bCs w:val="1"/>
                <w:color w:val="auto"/>
                <w:w w:val="97"/>
              </w:rPr>
              <w:t>1 to 3</w:t>
            </w:r>
          </w:p>
        </w:tc>
        <w:tc>
          <w:tcPr>
            <w:tcW w:w="1060" w:type="dxa"/>
            <w:vAlign w:val="bottom"/>
            <w:gridSpan w:val="2"/>
          </w:tcPr>
          <w:p>
            <w:pPr>
              <w:ind w:left="80"/>
              <w:spacing w:after="0" w:line="173" w:lineRule="exact"/>
              <w:rPr>
                <w:sz w:val="20"/>
                <w:szCs w:val="20"/>
                <w:color w:val="auto"/>
              </w:rPr>
            </w:pPr>
            <w:r>
              <w:rPr>
                <w:rFonts w:ascii="Arial" w:cs="Arial" w:eastAsia="Arial" w:hAnsi="Arial"/>
                <w:sz w:val="18"/>
                <w:szCs w:val="18"/>
                <w:b w:val="1"/>
                <w:bCs w:val="1"/>
                <w:color w:val="auto"/>
              </w:rPr>
              <w:t>4 to 5</w:t>
            </w:r>
          </w:p>
        </w:tc>
        <w:tc>
          <w:tcPr>
            <w:tcW w:w="920" w:type="dxa"/>
            <w:vAlign w:val="bottom"/>
          </w:tcPr>
          <w:p>
            <w:pPr>
              <w:jc w:val="right"/>
              <w:spacing w:after="0" w:line="173" w:lineRule="exact"/>
              <w:rPr>
                <w:sz w:val="20"/>
                <w:szCs w:val="20"/>
                <w:color w:val="auto"/>
              </w:rPr>
            </w:pPr>
            <w:r>
              <w:rPr>
                <w:rFonts w:ascii="Arial" w:cs="Arial" w:eastAsia="Arial" w:hAnsi="Arial"/>
                <w:sz w:val="18"/>
                <w:szCs w:val="18"/>
                <w:b w:val="1"/>
                <w:bCs w:val="1"/>
                <w:color w:val="auto"/>
                <w:w w:val="98"/>
              </w:rPr>
              <w:t>More Than</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w w:val="99"/>
              </w:rPr>
              <w:t>(In Thousands)</w:t>
            </w:r>
          </w:p>
        </w:tc>
        <w:tc>
          <w:tcPr>
            <w:tcW w:w="2460" w:type="dxa"/>
            <w:vAlign w:val="bottom"/>
            <w:vMerge w:val="restart"/>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1 Year</w:t>
            </w: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Years</w:t>
            </w: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Years</w:t>
            </w: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188"/>
        </w:trPr>
        <w:tc>
          <w:tcPr>
            <w:tcW w:w="130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lease obligations</w:t>
            </w:r>
          </w:p>
        </w:tc>
        <w:tc>
          <w:tcPr>
            <w:tcW w:w="1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4,471</w:t>
            </w:r>
          </w:p>
        </w:tc>
        <w:tc>
          <w:tcPr>
            <w:tcW w:w="132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1,308</w:t>
            </w:r>
          </w:p>
        </w:tc>
        <w:tc>
          <w:tcPr>
            <w:tcW w:w="104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2,719</w:t>
            </w:r>
          </w:p>
        </w:tc>
        <w:tc>
          <w:tcPr>
            <w:tcW w:w="106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444</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Debt obligations</w:t>
            </w:r>
          </w:p>
        </w:tc>
        <w:tc>
          <w:tcPr>
            <w:tcW w:w="1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25,000</w:t>
            </w:r>
          </w:p>
        </w:tc>
        <w:tc>
          <w:tcPr>
            <w:tcW w:w="420" w:type="dxa"/>
            <w:vAlign w:val="bottom"/>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7,292</w:t>
            </w:r>
          </w:p>
        </w:tc>
        <w:tc>
          <w:tcPr>
            <w:tcW w:w="42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17,708</w:t>
            </w:r>
          </w:p>
        </w:tc>
        <w:tc>
          <w:tcPr>
            <w:tcW w:w="440" w:type="dxa"/>
            <w:vAlign w:val="bottom"/>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8"/>
              </w:rPr>
              <w:t>29,471</w:t>
            </w:r>
          </w:p>
        </w:tc>
        <w:tc>
          <w:tcPr>
            <w:tcW w:w="13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1,308</w:t>
            </w: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10,011</w:t>
            </w: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18,152</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40" w:type="dxa"/>
            <w:vAlign w:val="bottom"/>
            <w:gridSpan w:val="3"/>
          </w:tcPr>
          <w:p>
            <w:pPr>
              <w:jc w:val="right"/>
              <w:ind w:right="450"/>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207"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Our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2" w:lineRule="exact"/>
        <w:rPr>
          <w:sz w:val="20"/>
          <w:szCs w:val="20"/>
          <w:color w:val="auto"/>
        </w:rPr>
      </w:pPr>
    </w:p>
    <w:p>
      <w:pPr>
        <w:jc w:val="both"/>
        <w:ind w:left="120" w:right="200" w:firstLine="440"/>
        <w:spacing w:after="0"/>
        <w:rPr>
          <w:sz w:val="20"/>
          <w:szCs w:val="20"/>
          <w:color w:val="auto"/>
        </w:rPr>
      </w:pPr>
      <w:r>
        <w:rPr>
          <w:rFonts w:ascii="Arial" w:cs="Arial" w:eastAsia="Arial" w:hAnsi="Arial"/>
          <w:sz w:val="18"/>
          <w:szCs w:val="18"/>
          <w:color w:val="auto"/>
        </w:rPr>
        <w:t>While our significant accounting policies are described in greater detail in Note 2, “Summary of Significant Accounting Policies,” to our consolidated financial statements included elsewhere in this prospectus, we believe that the following critical accounting policies are most important to the judgments and estimates used in the preparation of our consolidated financial statements.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07"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Intangible assets consist of acquired developed technology, customer relationships, trade names and associated trademarks and noncompete agreements. Intangible assets are recognized at fair value using generally accepted valuation methods deemed appropriate for the type of intangible asset acquired, and reported net of accumulated amortization, separately from goodwill.</w:t>
      </w:r>
    </w:p>
    <w:p>
      <w:pPr>
        <w:spacing w:after="0" w:line="162"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estimate the fair value of acquired developed technology using the relief-from-royalty method, a form of the income approach, which estimates the cost savings that accrue to the owner of an intangible asset who would otherwise have to pay royalties or license fees on revenues earned through the use of the asset. The royalty rate used is based on an analysis of empirical, market-derived royalty rates for similar technology. The fair value of customer relationships is estimated using the multi-period excess earnings method under the income approach, which represents the total income to be generated by the asset. Under this method, the value of an intangible asset is equal to the present value of the incremental after-tax cash flows attributable solely to the intangible asset. We value noncompete agreements using the with and without method. This method compares our projected discounted cash flows in two distinct scenarios: first, we assume that the covenant not-to-compete is in-place and, second, we assume that the covenant not-to-compete is not in-place. A probability adjustment factor is then applied to the difference between the two scenarios to determine the fair value of the noncompete agreement. We value trade names and trademarks using the relief from royalty method. The relief-from-royalty method determines the present value of the economic royalty savings associated with the ownership or possession of the trade name or trademark based on an estimated royalty rate applied to the cash flows to be generated by the business. The estimated royalty rate is determined based on the assessment of a reasonable royalty rate that a third party would negotiate in an arm’s-length license agreement for the use of the trade name or trademark.</w:t>
      </w:r>
    </w:p>
    <w:p>
      <w:pPr>
        <w:spacing w:after="0" w:line="17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useful lives for developed technology are determined based on expectations regarding the evolution of existing technology and future investments. The useful lives for customer-related intangible assets are determined based primarily on forecasted cash flows, which include estimates for the revenues, expenses and customer attrition associated with the assets. The useful lives of definite-lived trademarks and trade names are based on our plans to phase out the trademarks and trade names in the applicable markets. The useful lives for noncompete agreements are determined based on the term of the related agreements.</w:t>
      </w:r>
    </w:p>
    <w:p>
      <w:pPr>
        <w:spacing w:after="0" w:line="175" w:lineRule="exact"/>
        <w:rPr>
          <w:sz w:val="20"/>
          <w:szCs w:val="20"/>
          <w:color w:val="auto"/>
        </w:rPr>
      </w:pPr>
    </w:p>
    <w:p>
      <w:pPr>
        <w:jc w:val="both"/>
        <w:ind w:left="120" w:right="260" w:firstLine="440"/>
        <w:spacing w:after="0"/>
        <w:rPr>
          <w:sz w:val="20"/>
          <w:szCs w:val="20"/>
          <w:color w:val="auto"/>
        </w:rPr>
      </w:pPr>
      <w:r>
        <w:rPr>
          <w:rFonts w:ascii="Arial" w:cs="Arial" w:eastAsia="Arial" w:hAnsi="Arial"/>
          <w:sz w:val="18"/>
          <w:szCs w:val="18"/>
          <w:color w:val="auto"/>
        </w:rPr>
        <w:t>Intangible assets are amortized using a method that reflects the pattern in which the economic benefits of the intangible asset are expected to be realized over their estimated useful lives ranging from one to twelve years. No significant residual value is estimated for intangible assets.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The estimated fair values of these intangible assets reflect various assumptions including discount rates, revenue growth rates, operating margins, terminal values, useful lives and other prospective financial information.</w:t>
      </w:r>
    </w:p>
    <w:p>
      <w:pPr>
        <w:spacing w:after="0" w:line="170"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The judgments made in determining the estimated fair value of intangibles as well as the estimated lives, can materially impact net income or loss in periods subsequent to the acquisition through depreciation and amortization, and in certain instances through impairment charges, if the assets become impaired in the future.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9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Contingent consideration in business combinations is recognized at fair value on the acquisition date. In connection with the acquisition of Simplee, we entered into an agreement to make certain earn-out payments based on the achievement of applicable objectives as well as the achievement of certain revenue targets established for the years ended December 31, 2020 and 2021, which qualified as contingent consideration that is required to be recognized at fair value on the acquisition date. The earn-outs are payable at the one-year and two-year acquisition anniversary dates based on the prior year calendar revenue results.</w:t>
      </w:r>
    </w:p>
    <w:p>
      <w:pPr>
        <w:spacing w:after="0" w:line="17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fair value of the contingent consideration was determined using an option pricing model that reflects our expectation about the probability of payment based on facts and circumstances that existed at the acquisition closing date. The option pricing model includes significant unobservable inputs such as a discount rate that equals risk-free rate plus a spread to reflect the credit risk as estimated by our cost of debt, the probability of achieving established revenue targets and the probability of retaining key customers. Subsequent to the acquisition date, at each reporting date, the contingent consideration is remeasured and changes in the fair value resulting from a change in the underlying inputs are recognized in general and administrative expense in the consolidated statements of operations and comprehensive loss until the contingent consideration is settled. Increases or decreases in any of the probabilities of success in which revenue targets are expected to be achieved would result in a higher or lower liability, respectively. Increases or decreases in the discount rate would result in a lower or higher liability, respectively. The maximum amount we would be required to pay, related to Simplee acquisition, is $20.0 million. The fair value of the contingent consideration at December 31, 2019 and 2020 and March 31, 2021 was $0, $12.5 million and $5.5 million, respectively.</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Developed for Internal Use</w:t>
      </w:r>
    </w:p>
    <w:p>
      <w:pPr>
        <w:spacing w:after="0" w:line="193"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capitalize certain costs related to internal-use software during the application development stage, including third-party consulting costs and compensation expenses related to employees who devote time to the development of the projects. We record software development costs in property and equipment. Costs incurred in the preliminary stages of development activities and post implementation activities are expensed in the period incurred and they are included in technology and development expense in the consolidated statements of operations and comprehensive loss. We also capitalize costs related to specific upgrades and enhancements when it is probable the expenditures will result in additional functionality. Once the additional functionality is available for general use, capitalization ceases and the asset begins being amortized. We periodically assess whether triggering events are present to review internal-use software for impairment. Changes in our estimates related to internal-use software would increase or decrease operating expenses or amortization recorded during the period. Currently unforeseen circumstances in software development, such as a significant change in the manner in which the software is intended to be used, obsolescence or a significant reduction in revenues due to attrition, could require us to implement alternative plans with respect to a particular effort, which could result in the impairment of previously capitalized software development costs. We capitalized $1.8 million, $1.4 million and $0.4 million of costs related to internal-use software during the year ended December 31, 2020 and three months ended March 31, 2021 and 2020, respectively. Software developed for internal use is amortized straight-line over its estimated useful life of five years.</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80"/>
          </w:cols>
          <w:pgMar w:left="320" w:top="459"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Warrants to Purchase Preferred Stock</w:t>
      </w:r>
    </w:p>
    <w:p>
      <w:pPr>
        <w:spacing w:after="0" w:line="207" w:lineRule="exact"/>
        <w:rPr>
          <w:sz w:val="20"/>
          <w:szCs w:val="20"/>
          <w:color w:val="auto"/>
        </w:rPr>
      </w:pPr>
    </w:p>
    <w:p>
      <w:pPr>
        <w:ind w:left="120" w:right="100" w:firstLine="440"/>
        <w:spacing w:after="0" w:line="251" w:lineRule="auto"/>
        <w:rPr>
          <w:sz w:val="20"/>
          <w:szCs w:val="20"/>
          <w:color w:val="auto"/>
        </w:rPr>
      </w:pPr>
      <w:r>
        <w:rPr>
          <w:rFonts w:ascii="Arial" w:cs="Arial" w:eastAsia="Arial" w:hAnsi="Arial"/>
          <w:sz w:val="17"/>
          <w:szCs w:val="17"/>
          <w:color w:val="auto"/>
        </w:rPr>
        <w:t>We classify warrants to purchase shares of our convertible preferred stock as liabilities on our balance sheets as these are free standing instruments that may be required us to transfer assets upon exercise. The warrant liability associated with these warrants was recorded at fair value on the issuance date of each warrant and is subsequently marked to market each reporting period based on changes in the warrants’ fair value calculated using the Black-Scholes model. Inputs used in the fair value calculation include exercise price, risk-free interest rate, expected dividend yield, remaining contractual term and expected volatility. We determine the fair value per share of the underlying preferred stock by taking into consideration the most recent sales of our convertible preferred stock, results obtained from third-party valuations and additional factors that we deem relevant. Historically, we have been a private company and lack company-specific historical and implied volatility information of our stock. Therefore, we estimate expected stock volatility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We have estimated a 0% dividend yield based on the fact that we have never paid or declared dividends.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quantifies the weighted average of the most significant inputs used for the warrants valuation:</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250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Year Ended</w:t>
            </w:r>
          </w:p>
        </w:tc>
        <w:tc>
          <w:tcPr>
            <w:tcW w:w="23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6180" w:type="dxa"/>
            <w:vAlign w:val="bottom"/>
          </w:tcPr>
          <w:p>
            <w:pPr>
              <w:spacing w:after="0"/>
              <w:rPr>
                <w:sz w:val="19"/>
                <w:szCs w:val="19"/>
                <w:color w:val="auto"/>
              </w:rPr>
            </w:pPr>
          </w:p>
        </w:tc>
        <w:tc>
          <w:tcPr>
            <w:tcW w:w="25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1500" w:type="dxa"/>
            <w:vAlign w:val="bottom"/>
            <w:gridSpan w:val="3"/>
          </w:tcPr>
          <w:p>
            <w:pPr>
              <w:ind w:left="640"/>
              <w:spacing w:after="0"/>
              <w:rPr>
                <w:sz w:val="20"/>
                <w:szCs w:val="20"/>
                <w:color w:val="auto"/>
              </w:rPr>
            </w:pPr>
            <w:r>
              <w:rPr>
                <w:rFonts w:ascii="Arial" w:cs="Arial" w:eastAsia="Arial" w:hAnsi="Arial"/>
                <w:sz w:val="18"/>
                <w:szCs w:val="18"/>
                <w:b w:val="1"/>
                <w:bCs w:val="1"/>
                <w:color w:val="auto"/>
              </w:rPr>
              <w:t>March 31,</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96"/>
        </w:trPr>
        <w:tc>
          <w:tcPr>
            <w:tcW w:w="6180" w:type="dxa"/>
            <w:vAlign w:val="bottom"/>
          </w:tcPr>
          <w:p>
            <w:pPr>
              <w:spacing w:after="0"/>
              <w:rPr>
                <w:sz w:val="17"/>
                <w:szCs w:val="17"/>
                <w:color w:val="auto"/>
              </w:rPr>
            </w:pPr>
          </w:p>
        </w:tc>
        <w:tc>
          <w:tcPr>
            <w:tcW w:w="660" w:type="dxa"/>
            <w:vAlign w:val="bottom"/>
            <w:tcBorders>
              <w:top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2019</w:t>
            </w: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17"/>
                <w:szCs w:val="17"/>
                <w:color w:val="auto"/>
              </w:rPr>
            </w:pPr>
          </w:p>
        </w:tc>
        <w:tc>
          <w:tcPr>
            <w:tcW w:w="740" w:type="dxa"/>
            <w:vAlign w:val="bottom"/>
            <w:tcBorders>
              <w:top w:val="single" w:sz="8" w:color="auto"/>
            </w:tcBorders>
          </w:tcPr>
          <w:p>
            <w:pPr>
              <w:ind w:left="180"/>
              <w:spacing w:after="0" w:line="196" w:lineRule="exact"/>
              <w:rPr>
                <w:sz w:val="20"/>
                <w:szCs w:val="20"/>
                <w:color w:val="auto"/>
              </w:rPr>
            </w:pPr>
            <w:r>
              <w:rPr>
                <w:rFonts w:ascii="Arial" w:cs="Arial" w:eastAsia="Arial" w:hAnsi="Arial"/>
                <w:sz w:val="18"/>
                <w:szCs w:val="18"/>
                <w:b w:val="1"/>
                <w:bCs w:val="1"/>
                <w:color w:val="auto"/>
              </w:rPr>
              <w:t>2020</w:t>
            </w:r>
          </w:p>
        </w:tc>
        <w:tc>
          <w:tcPr>
            <w:tcW w:w="6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Fair value of preferred stock</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$ 13.99</w:t>
            </w: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$ 19.42</w:t>
            </w:r>
          </w:p>
        </w:tc>
        <w:tc>
          <w:tcPr>
            <w:tcW w:w="5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17.25</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26.88</w:t>
            </w: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w:t>
            </w:r>
          </w:p>
        </w:tc>
        <w:tc>
          <w:tcPr>
            <w:tcW w:w="146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0.7%</w:t>
            </w:r>
          </w:p>
        </w:tc>
        <w:tc>
          <w:tcPr>
            <w:tcW w:w="13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0.6%</w:t>
            </w:r>
          </w:p>
        </w:tc>
        <w:tc>
          <w:tcPr>
            <w:tcW w:w="14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44.0%</w:t>
            </w:r>
          </w:p>
        </w:tc>
        <w:tc>
          <w:tcPr>
            <w:tcW w:w="146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42.5%</w:t>
            </w:r>
          </w:p>
        </w:tc>
        <w:tc>
          <w:tcPr>
            <w:tcW w:w="13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45.0%</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146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contractual term (in years)</w:t>
            </w: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w:t>
            </w:r>
          </w:p>
        </w:tc>
        <w:tc>
          <w:tcPr>
            <w:tcW w:w="146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w:t>
            </w:r>
          </w:p>
        </w:tc>
        <w:tc>
          <w:tcPr>
            <w:tcW w:w="13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w:t>
            </w:r>
          </w:p>
        </w:tc>
      </w:tr>
    </w:tbl>
    <w:p>
      <w:pPr>
        <w:spacing w:after="0" w:line="17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Changes in fair value of the warrants are recognized on the consolidated statements of operations and comprehensive loss. We will continue to adjust the warrant liability for changes in fair value until the earlier of the expiration or exercise of the warrants, or upon their automatic conversion into warrants to purchase common stock in connection with a qualified IPO such that they qualify for equity classification and no further remeasurement is required. There were no warrants to purchase preferred stock issued during the years ended on December 31, 2019 or 2020 or for the three months ended March 31, 2021.</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Revenue</w:t>
      </w:r>
    </w:p>
    <w:p>
      <w:pPr>
        <w:spacing w:after="0" w:line="207"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Our transaction revenue is derived from fees charged for payment processing services provided to educational institutions, healthcare entities and other commercial entities. Our services relate to facilitating payments from individuals, such as students and patients, and organizations to clients. Fees charged for payment processing services consists of a rate applied to the monetary value of the payment and can vary based on the payment method,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We do not recognize the underlying amount of the transaction being settled between client and client’s customer, as revenue or cost of</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80"/>
        <w:spacing w:after="0"/>
        <w:rPr>
          <w:sz w:val="20"/>
          <w:szCs w:val="20"/>
          <w:color w:val="auto"/>
        </w:rPr>
      </w:pPr>
      <w:r>
        <w:rPr>
          <w:rFonts w:ascii="Arial" w:cs="Arial" w:eastAsia="Arial" w:hAnsi="Arial"/>
          <w:sz w:val="18"/>
          <w:szCs w:val="18"/>
          <w:color w:val="auto"/>
        </w:rPr>
        <w:t>revenue in the consolidated statements of operations and comprehensive loss, as we are not the responsible party for fulfilling the obligation between the client and client’s customer. Therefore, revenue is only recognized for the fee for which we are entitled for processing the payment.</w:t>
      </w:r>
    </w:p>
    <w:p>
      <w:pPr>
        <w:spacing w:after="0" w:line="176"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We also earn revenue from fees charged to credit card service providers for marketing arrangements in which we perform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w:t>
      </w:r>
    </w:p>
    <w:p>
      <w:pPr>
        <w:spacing w:after="0" w:line="16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money can be wired directly from the client’s customer to us, however, in certain situations when the client’s customer lives in a country where we do not have an active bank account, we use third-party service providers to collect wired funds before remitting the funds to us. The third-party service provider invoices us on a recurring basis with a fee for each payment processed and deposited into our bank account. The fee paid to third-party service providers as well as any foreign exchange banking fees paid by us are reflected in the payment processing service costs line in the consolidated statements of operations and comprehensive loss.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Platform and Usage-Based Fee Revenue</w:t>
      </w:r>
    </w:p>
    <w:p>
      <w:pPr>
        <w:spacing w:after="0" w:line="207"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Our platform and usage-based fee revenue is derived from fees earned for utilizing our platform to collect accounts receivables on behalf of our clients from their customers, fees collected on payment plans established by a client for obligations due by a client’s customer, subscription fees and fees related to printing and mailing statements. Fees charged consist of a fixed fee and a variable fee determined based on volume of transaction processed through our platform.</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9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use significant judgement on determining the performance obligations in the arrangement based on considerations such as whether the client can benefit from each service on its own or together with other resources that are readily available from third parties or from us and whether each service is distinct in the context of the arrangement, whereby the transfer of the service is separately identifiable from other promises in the contract. In addition, we consider whether the arrangements contain a series of distinct services that are substantially the same and whether they have the same pattern of transfer.</w:t>
      </w:r>
    </w:p>
    <w:p>
      <w:pPr>
        <w:spacing w:after="0" w:line="175"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Substantially all of our arrangements represent a single promise to provide continuous access to our platform to perform a series of activities such as payment processing services, cash collection optimization services, marketing, printing and mailing services, on an as-needed basis. As each day of providing these services is substantially the same and the client simultaneously receives and consumes the benefits as services are provided, these services are viewed as a single performance obligation comprised of a series of distinct daily services. We satisfy the performance obligation as these services are provided. Revenue is recognized in the month the service is complete.</w:t>
      </w:r>
    </w:p>
    <w:p>
      <w:pPr>
        <w:spacing w:after="0" w:line="164"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For those arrangements that include fixed consideration, the fixed component is recognized ratably over the service period while variable consideration is recognized in the period earned.</w:t>
      </w:r>
    </w:p>
    <w:p>
      <w:pPr>
        <w:spacing w:after="0" w:line="156"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We consider implementation service an activity to fulfill a contract, rather than a distinct performance obligation as the client does not obtain benefits from the implementation service alone. We charge an immaterial amount for implementation services.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207"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Our contracts contain variable consideration as the amount we expect to receive in a contract is based on the occurrence or non-occurrence of future events, such as processing services performed as a transaction-based pricing arrangement. The variable consideration relates specifically to our effort to transfer each distinct daily service, as such we allocate the variable consideration earned to the distinct day in which those activities are performed and we recognize these fees as revenue in period earned, at which point the variable amount is known and it does not require estimation.</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Revenue Recognition Policies</w:t>
      </w:r>
    </w:p>
    <w:p>
      <w:pPr>
        <w:spacing w:after="0" w:line="19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incur costs in processing payments which may include banking, credit card processing, foreign currency translation and partner fees. These fees are direct costs incurred in providing payment processing services. The determination of whether we are a principal to a transaction (gross revenue) or an agent (net revenue) can require considerable judgment. Changes in judgments with respect to these assumptions and estimates could impact the amount of revenue recognized. Since we control the payment processing service, we are responsible for completing the payment, bear primary responsibility for the fulfillment of the payment service, and have full discretion in determining the fee charged, we act as a principal. As such, we recognize payment processing fee charged on a gross basis.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3"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We determine stock-based compensation expense associated with stock options based on the estimated grant date fair value method using the Black-Scholes option-pricing model. We recognize these compensation costs on a straight-line basis over the requisite service period of the award, which is generally the option vesting term of four years. We account for forfeitures as they occur.</w:t>
      </w:r>
    </w:p>
    <w:p>
      <w:pPr>
        <w:spacing w:after="0" w:line="162"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The Black-Scholes option-pricing model requires the use of highly subjective assumptions which determine the fair value of stock-based awards. These assumptions include:</w:t>
      </w:r>
    </w:p>
    <w:p>
      <w:pPr>
        <w:spacing w:after="0" w:line="152" w:lineRule="exact"/>
        <w:rPr>
          <w:sz w:val="20"/>
          <w:szCs w:val="20"/>
          <w:color w:val="auto"/>
        </w:rPr>
      </w:pPr>
    </w:p>
    <w:p>
      <w:pPr>
        <w:ind w:left="120" w:right="200" w:firstLine="440"/>
        <w:spacing w:after="0" w:line="250"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stock-based awards are expected to be outstanding.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for option grants is determined using the simplified method. The simplified method deems the term to be the average of the time-to-vesting and the contractual life of the stock-based awards.</w:t>
      </w:r>
    </w:p>
    <w:p>
      <w:pPr>
        <w:spacing w:after="0" w:line="136" w:lineRule="exact"/>
        <w:rPr>
          <w:sz w:val="20"/>
          <w:szCs w:val="20"/>
          <w:color w:val="auto"/>
        </w:rPr>
      </w:pPr>
    </w:p>
    <w:p>
      <w:pPr>
        <w:jc w:val="both"/>
        <w:ind w:left="120" w:firstLine="440"/>
        <w:spacing w:after="0" w:line="245"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are privately held and do not have any trading history for our common stock and non-voting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companies over a period equal to the expected term of the stock option grants. The comparable companies were chosen based on their similar size, stage in the lifecycle or area of specialty.</w:t>
      </w:r>
    </w:p>
    <w:p>
      <w:pPr>
        <w:spacing w:after="0" w:line="140" w:lineRule="exact"/>
        <w:rPr>
          <w:sz w:val="20"/>
          <w:szCs w:val="20"/>
          <w:color w:val="auto"/>
        </w:rPr>
      </w:pPr>
    </w:p>
    <w:p>
      <w:pPr>
        <w:ind w:left="120" w:right="80" w:firstLine="440"/>
        <w:spacing w:after="0" w:line="26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133" w:lineRule="exact"/>
        <w:rPr>
          <w:sz w:val="20"/>
          <w:szCs w:val="20"/>
          <w:color w:val="auto"/>
        </w:rPr>
      </w:pPr>
    </w:p>
    <w:p>
      <w:pPr>
        <w:ind w:left="120" w:right="80" w:firstLine="440"/>
        <w:spacing w:after="0" w:line="26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have never paid dividends on our common stock and non-voting common stock and have no plans to</w:t>
      </w:r>
      <w:r>
        <w:rPr>
          <w:rFonts w:ascii="Arial" w:cs="Arial" w:eastAsia="Arial" w:hAnsi="Arial"/>
          <w:sz w:val="18"/>
          <w:szCs w:val="18"/>
          <w:i w:val="1"/>
          <w:iCs w:val="1"/>
          <w:color w:val="auto"/>
        </w:rPr>
        <w:t xml:space="preserve"> </w:t>
      </w:r>
      <w:r>
        <w:rPr>
          <w:rFonts w:ascii="Arial" w:cs="Arial" w:eastAsia="Arial" w:hAnsi="Arial"/>
          <w:sz w:val="18"/>
          <w:szCs w:val="18"/>
          <w:color w:val="auto"/>
        </w:rPr>
        <w:t>pay dividends on our common stock.</w:t>
      </w:r>
    </w:p>
    <w:p>
      <w:pPr>
        <w:spacing w:after="0" w:line="120"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i w:val="1"/>
          <w:iCs w:val="1"/>
          <w:color w:val="auto"/>
        </w:rPr>
        <w:t>Common Stock Valuation</w:t>
      </w:r>
      <w:r>
        <w:rPr>
          <w:rFonts w:ascii="Arial" w:cs="Arial" w:eastAsia="Arial" w:hAnsi="Arial"/>
          <w:sz w:val="18"/>
          <w:szCs w:val="18"/>
          <w:color w:val="auto"/>
        </w:rPr>
        <w:t>—Given the absence of an active market for our common stock and non-voting common stock prior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 the fair value of the shares of common stock underlying our share-based awards was estimated on each grant date by our board of directors with input from management and contemporaneous third-party valuations. These third-party valuations were performed in accordance with the guidance outlined by the American Institute of Certified Public Accountants 2013 Practice Aid, Valuation of Privately-Held-Company Equity Securities Issued as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60"/>
          </w:cols>
          <w:pgMar w:left="320" w:top="459" w:right="5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Compensation using either an option-pricing method, or OPM, or a hybrid method, both of which used market approaches and income approaches to estimate our enterprise value. The hybrid method is a probability-weighted expected return method, or PWERM, where the equity value in one or more of the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OPM treats common stock and redeemable convertible preferred stock as call options on an equity value, with exercise prices based on the liquidation preference of our redeemable convertible preferred stock. Under this method, our common stock has value only if the funds available for distribution to stockholders exceed the value of the liquidation preference at the time of a liquidity event, such as a merger or sale, assuming we have funds available to make a liquidation preference meaningful and collectible by the stockholders. The common stock is considered to be a call option with a claim at an exercise price equal to the remaining value immediately after the redeemable convertible preferred stock is liquidated.</w:t>
      </w:r>
    </w:p>
    <w:p>
      <w:pPr>
        <w:spacing w:after="0" w:line="187" w:lineRule="exact"/>
        <w:rPr>
          <w:sz w:val="20"/>
          <w:szCs w:val="20"/>
          <w:color w:val="auto"/>
        </w:rPr>
      </w:pPr>
    </w:p>
    <w:p>
      <w:pPr>
        <w:ind w:left="120" w:right="100" w:firstLine="440"/>
        <w:spacing w:after="0" w:line="274" w:lineRule="auto"/>
        <w:rPr>
          <w:sz w:val="20"/>
          <w:szCs w:val="20"/>
          <w:color w:val="auto"/>
        </w:rPr>
      </w:pPr>
      <w:r>
        <w:rPr>
          <w:rFonts w:ascii="Arial" w:cs="Arial" w:eastAsia="Arial" w:hAnsi="Arial"/>
          <w:sz w:val="17"/>
          <w:szCs w:val="17"/>
          <w:color w:val="auto"/>
        </w:rPr>
        <w:t>In addition to considering the results of third-party valuations, our board of directors exercised reasonable judgment and considered various objective and subjective factors to determine the fair value of our common stock as of the date of each grant, including:</w:t>
      </w:r>
    </w:p>
    <w:p>
      <w:pPr>
        <w:spacing w:after="0" w:line="175" w:lineRule="exact"/>
        <w:rPr>
          <w:sz w:val="20"/>
          <w:szCs w:val="20"/>
          <w:color w:val="auto"/>
        </w:rPr>
      </w:pPr>
    </w:p>
    <w:p>
      <w:pPr>
        <w:ind w:left="88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actual operating results and financial performance;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conditions in the industry and economy in general;</w:t>
      </w:r>
    </w:p>
    <w:p>
      <w:pPr>
        <w:spacing w:after="0" w:line="211"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and convertible preferred stock relative to those of our common stock;</w:t>
      </w:r>
    </w:p>
    <w:p>
      <w:pPr>
        <w:spacing w:after="0" w:line="196"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a sale of our company, given prevailing market conditions;</w:t>
      </w:r>
    </w:p>
    <w:p>
      <w:pPr>
        <w:spacing w:after="0" w:line="196" w:lineRule="exact"/>
        <w:rPr>
          <w:rFonts w:ascii="Arial" w:cs="Arial" w:eastAsia="Arial" w:hAnsi="Arial"/>
          <w:sz w:val="18"/>
          <w:szCs w:val="18"/>
          <w:color w:val="auto"/>
        </w:rPr>
      </w:pPr>
    </w:p>
    <w:p>
      <w:pPr>
        <w:ind w:left="880" w:right="420" w:hanging="224"/>
        <w:spacing w:after="0" w:line="246"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and the market performance of comparable publicly traded companies;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U.S. and global capital market conditions;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lack of marketability of our common stock and the results of independent third-party valuations.</w:t>
      </w:r>
    </w:p>
    <w:p>
      <w:pPr>
        <w:spacing w:after="0" w:line="171"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preparing for the issuance of our consolidated financial statements for the year ended December 31, 2020, we performed a retrospective fair value assessment and concluded that the fair value of our common stock underlying stock options that we granted on November 17, 2020 was $14.42 per share for accounting purposes. We applied the fair value of our common stock from our retrospective fair value assessment to determine the fair value of these awards and calculate stock-based compensation expense for accounting purposes. This reassessed value was based, in part, upon a third-party valuation of our common stock prepared as of November 17, 2020 on a retrospective basis. The third-party valuation was prepared using the hybrid method and used market and income approaches to determine our enterprise value.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7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nonpublic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nonpublic companies.</w:t>
      </w:r>
    </w:p>
    <w:p>
      <w:pPr>
        <w:spacing w:after="0" w:line="180"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revenues of $1.07 billion or more, (ii) the last day of our fiscal year following the fifth anniversary of the date of the closing of this offering, (iii) the date on which we have issued more than $1.0 billion in nonconvertible debt during the previous three years or (iv) the date on which we are deemed to be a large accelerated filer under the rules of the SEC.</w:t>
      </w:r>
    </w:p>
    <w:p>
      <w:pPr>
        <w:spacing w:after="0" w:line="164"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See “Risk Factors—Risks Related to this Offering and Ownership of Our Common Stock—We are an ‘emerging growth company,” and we cannot be certain if the reduced disclosure requirements applicable to emerging growth companies will make our common stock less attractive to investors.”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207"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unaudited condensed consolidated financial statements appearing elsewhere in this prospectus, such standards will not have a material impact on our consolidated financial statements or do not otherwise apply to our operations.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mission is to deliver the most important and complex payments. In an increasingly digital world, getting paid means Flywire.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Company</w:t>
      </w:r>
    </w:p>
    <w:p>
      <w:pPr>
        <w:spacing w:after="0" w:line="207" w:lineRule="exact"/>
        <w:rPr>
          <w:sz w:val="20"/>
          <w:szCs w:val="20"/>
          <w:color w:val="auto"/>
        </w:rPr>
      </w:pPr>
    </w:p>
    <w:p>
      <w:pPr>
        <w:ind w:left="120" w:right="220" w:firstLine="440"/>
        <w:spacing w:after="0" w:line="237"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our integrated solutions that are both global and local, combine tailored invoicing with flexible payment options, and deliver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64"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There have been substantial strides made in payments technology in the retail and e-commerce industries, however, massive sectors of our global economy—including education, healthcare, travel, and B2B payments—are still in the early stages of digital transformation. We estimate the annual addressable volume for these sectors alone to be approximately $11.7 trillion, as more fully described in “Our Market Opportunity”. We believe Flywire is well-positioned to capture a meaningful share of this global payment volume given our ability to provide deeply-integrated digital solutions that address both domestic and cross-border payments.</w:t>
      </w:r>
    </w:p>
    <w:p>
      <w:pPr>
        <w:spacing w:after="0" w:line="162"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Our clients, and the types of organizations we serve in education, healthcare, travel, and B2B, require payment processes and experiences that can deliver high-stakes, high-value payments and are specifically tailored to their industry, their business, and their customers. Often, payment solutions have a “one size fits all” approach, without regard for the particular nuances and detailed operations of specific verticals. Without Flywire, organizations often invest substantial resources in building their own payment offerings or rely on disparate legacy systems, which not only fail to meet their or their customers’ needs but also divert meaningful resources away from revenue-generating work. When core payment capabilities like invoicing, diverse payment offerings and reconciliation are inefficient, organizations miss the opportunity to use payments to scale and grow their business.</w:t>
      </w:r>
    </w:p>
    <w:p>
      <w:pPr>
        <w:spacing w:after="0" w:line="17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Flywire was founded to solve these challenges. We aim to power the transformation of our clients’ accounts receivable functions by automating paper and check-based business processes in addition to creating interactive, digital payment experiences for their customers. As a result, clients who implement our cross-border and in-country domestic payments and software solutions can experience improved accounts receivable, higher enrollment in payment plans, and a reduction in customer support inquiries. We help our clients turn their accounts receivable functions into strategic, value-enhancing areas of their organizations.</w:t>
      </w:r>
    </w:p>
    <w:p>
      <w:pPr>
        <w:spacing w:after="0" w:line="16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sms, chat, email, text, or phone) to enhance our clients’ ability to engage with their customers through a digital-first user experience. The result of these investments is our </w:t>
      </w:r>
      <w:r>
        <w:rPr>
          <w:rFonts w:ascii="Arial" w:cs="Arial" w:eastAsia="Arial" w:hAnsi="Arial"/>
          <w:sz w:val="18"/>
          <w:szCs w:val="18"/>
          <w:i w:val="1"/>
          <w:iCs w:val="1"/>
          <w:color w:val="auto"/>
        </w:rPr>
        <w:t>Flywire Advantage</w:t>
      </w:r>
      <w:r>
        <w:rPr>
          <w:rFonts w:ascii="Arial" w:cs="Arial" w:eastAsia="Arial" w:hAnsi="Arial"/>
          <w:sz w:val="18"/>
          <w:szCs w:val="18"/>
          <w:color w:val="auto"/>
        </w:rPr>
        <w:t>.</w:t>
      </w:r>
    </w:p>
    <w:p>
      <w:pPr>
        <w:spacing w:after="0" w:line="146" w:lineRule="exact"/>
        <w:rPr>
          <w:sz w:val="20"/>
          <w:szCs w:val="20"/>
          <w:color w:val="auto"/>
        </w:rPr>
      </w:pPr>
    </w:p>
    <w:p>
      <w:pPr>
        <w:ind w:left="120" w:right="220" w:firstLine="440"/>
        <w:spacing w:after="0" w:line="26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205740</wp:posOffset>
            </wp:positionV>
            <wp:extent cx="3634740" cy="36772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634740" cy="367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Next-Gen Payments Platform</w:t>
      </w:r>
      <w:r>
        <w:rPr>
          <w:rFonts w:ascii="Arial" w:cs="Arial" w:eastAsia="Arial" w:hAnsi="Arial"/>
          <w:sz w:val="18"/>
          <w:szCs w:val="18"/>
          <w:color w:val="auto"/>
        </w:rPr>
        <w:t>. Our platform improves the legacy accounts receivable value chain by facilitating global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flows across multiple currencies, payment types, and payment options. We do not simply collect payments and track money flows. Rather, our clients integrate our platform into their existing apps and workflows once and have access to a full suite of solutions, including tailored invoicing, settlement and reconciliation tools, single sign-on and checkout, recurring payments, and split payouts. Our platform automates and manages the process from initial invoice delivery through payment settlement and core system reconciliation. In addition, we leverage deep data and analytics to help our clients understand their customers’ historic payment behavior, facilitate transaction matching to optimize costs and offer flexible domestic and international payment plans.</w:t>
      </w:r>
    </w:p>
    <w:p>
      <w:pPr>
        <w:spacing w:after="0" w:line="180" w:lineRule="exact"/>
        <w:rPr>
          <w:rFonts w:ascii="Arial" w:cs="Arial" w:eastAsia="Arial" w:hAnsi="Arial"/>
          <w:sz w:val="18"/>
          <w:szCs w:val="18"/>
          <w:color w:val="auto"/>
        </w:rPr>
      </w:pPr>
    </w:p>
    <w:p>
      <w:pPr>
        <w:ind w:left="880" w:right="2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Proprietary Global Payment Network. </w:t>
      </w:r>
      <w:r>
        <w:rPr>
          <w:rFonts w:ascii="Arial" w:cs="Arial" w:eastAsia="Arial" w:hAnsi="Arial"/>
          <w:sz w:val="18"/>
          <w:szCs w:val="18"/>
          <w:color w:val="auto"/>
        </w:rPr>
        <w:t>At the core of our business is our network of global, regional and local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which we have been strategically expanding for over a decade. With a single connection to Flywire, our clients have access to a unique set of payment methods including banks, third-party payment providers, payment networks and digital wallets —making it possible to accept and settle payments in over 240 countries and territories and in over 130 currencies. Our global payment network also provides direct connections to alternative payment methods such as Alipay, Boleto, PayPal / Venmo, and Trustly. Regardless of the currency on the invoice received, our clients’ customers can pay in their local currency with their preferred payment method. Additionally, our global payment network is optimized for country-specific regulatory and compliance standards which often require vertical-specific functionality and processes to serve our clients and their customers.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right="20" w:hanging="224"/>
        <w:spacing w:after="0" w:line="256" w:lineRule="auto"/>
        <w:tabs>
          <w:tab w:leader="none" w:pos="88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Vertical-Specific Software Backed by Deep Industry Expertise</w:t>
      </w:r>
      <w:r>
        <w:rPr>
          <w:rFonts w:ascii="Arial" w:cs="Arial" w:eastAsia="Arial" w:hAnsi="Arial"/>
          <w:sz w:val="17"/>
          <w:szCs w:val="17"/>
          <w:color w:val="auto"/>
        </w:rPr>
        <w:t>. We go beyond payments by offering seamless integration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our software within our clients’ existing operating workflows and IT infrastructure. Our team, with decades of industry and domain expertise, designed our cloud-based software to be highly scalable across the types of clients we serve, aiming to solve unique payments and accounts receivable challenges of education, healthcare, travel, and B2B. For example, we have launched over 6,000 client payment portals, each built on our shared payments platform and global payment network but tailored to our clients’ brands and needs. In addition, our software solutions include interactive dashboards to manage payments, reporting tools to streamline reconciliation and customer communication tools to personalize and digitize engagement. This enables us to be a hub of omni-channel connectivity, augmenting the relationship between our clients and their customers.</w:t>
      </w:r>
    </w:p>
    <w:p>
      <w:pPr>
        <w:spacing w:after="0" w:line="16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These three core elements of our business fuel a powerful and accelerating flywheel. When we started Flywire, we built a robust payments platform that solved pain points for cross-border payments and delivered simplicity, transparency, and cost-effective solutions. Continued adoption of our payments platform has enabled us to enhance engagement with our clients, create more personalized connections for our clients’ customers and extend our reach. Adding new clients and their customers builds our global scale and deepens our knowledge and expertise, enabling us to streamline and automate complex accounts receivable functions. As shown in the illustration below, as the number of clients using our next-gen payments platform grows, we are able to continue to enhance our end-to-end solutions, tailor our vertical-specific software and expand our global payment network to support more local payment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129540</wp:posOffset>
            </wp:positionV>
            <wp:extent cx="4277360" cy="38576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7736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benefits of our flywheel are visible in the significant scale we have achieved to date. Today, we serve over 2,250 clients around the world. In education alone, we serve more than 1,900 institutions and 1.6 million students globally. In healthcare, we serve more than 80 healthcare systems, including four of the top 10 healthcare systems in the United States ranked by hospital size. In our newer verticals of travel and B2B payments, we have a growing portfolio of more than 200 clients.</w:t>
      </w:r>
    </w:p>
    <w:p>
      <w:pPr>
        <w:spacing w:after="0" w:line="178"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7"/>
          <w:szCs w:val="17"/>
          <w:color w:val="auto"/>
        </w:rPr>
        <w:t>Our business model is designed to encourage rapid, widespread utilization of our solutions. We enable our clients to scale the use of Flywire to an unlimited number of customers with favorable unit economics. In 2020, we enabled over $7.5 billion of total payment volume across more than 130 currencies. In the quarter ended March 31, 2021, we enabled approximately $2.9 billion in total payment volume.</w:t>
      </w:r>
    </w:p>
    <w:p>
      <w:pPr>
        <w:spacing w:after="0" w:line="127"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 xml:space="preserve">The value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has been recognized, with global financial institutions and technology providers choosing to form channel partnerships with us. Our channel partners include financial institutions such as Bank of America Corporation; payment providers such as China UnionPay Co. Ltd. and Adyen N.V.; and software companies that serve as the core systems in our verticals such as Ellucian Company, L.P. in education and Cerner Corporation in healthcare. These partnerships promote organic referral and lead generation opportunities and enhance our indirect sales strategy.</w:t>
      </w:r>
    </w:p>
    <w:p>
      <w:pPr>
        <w:spacing w:after="0" w:line="162"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We also reach clients through our direct channel. Our domain-experienced sales and relationship management teams bring vertical expertise and regional and local reach that drives high dollar-based net retention. In 2018 and 2019, our annual dollar-based net retention rate was approximately 126% and 128%, respectively. In 2020, despite the impact of the COVID-19 pandemic on our clients and the industries we serve, we had an annual dollar-based net retention rate of 100%, added over 400 new clients, and maintained strong client retention of approximately 97%. In addition, our client and customer service combines high-tech and high-touch functions backed by 24x7 multilingual customer support, resulting in high client and customer satisfaction. For the year ended December 31, 2020, we had an NPS of 64, which exceeds the average NPS of traditional financial institutions.</w:t>
      </w:r>
    </w:p>
    <w:p>
      <w:pPr>
        <w:spacing w:after="0" w:line="17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chart below illustrates the year-over-year increases in aggregate revenue less ancillary services from our clients by cohorts that consist of (1) all clients as of December 31, 2017, which we refer to as the pre-2018 cohort, and (2) new clients that we added during the particular year ended December 31 for each year thereafter, which comprise the cohort for that particular year. We believe that this analysis illustrates that our services can continue to provide value to our clients on an ongoing basis and also demonstrates our ability to grow our business with clients over time. A client is included in a particular cohort based on the year in which a client first receives a payment from their customer using our services. We expect cohort revenue less ancillary services will fluctuate from one period to another depending on, among other factors, our ability to increase revenue less ancillary services from our clients within a given cohort and other changes to products and services we offer to such clients. While we believe these cohorts are a fair representation of our overall client base, there is no assurance that they will be representative of any future group of clients or periods.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205740</wp:posOffset>
            </wp:positionV>
            <wp:extent cx="2614295" cy="2820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1429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have grown rapidly since our founding. We generated revenue of $94.9 million and of $131.8 million for the years ended December 31, 2019 and 2020, respectively, and incurred net losses of $20.1 million and $ 11.1 million, respectively for those same years. In February 2020, we acquired Simplee, a provider of healthcare payment and collections software. Pro forma revenue and pro forma net loss for the year ended December 31, 2020, as if our acquisition of Simplee had occurred on January 1, 2020, was $136.3 million and $14.8 million, respectively.</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Benefits of the Flywire Advantage to Our Clients and Their Customers</w:t>
      </w:r>
    </w:p>
    <w:p>
      <w:pPr>
        <w:spacing w:after="0" w:line="193"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Flywire sits in between our clients, which include educational institutions, hospitals, travel providers, businesses, and their customers: students, patients, travelers, and businesses. We believe this two-sided relationship makes us strategically important for our clients–who rely on us for their complex accounts receivable needs, and for our clients’ customers–who rely on us to deliver their most important payments.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Benefits of the Flywire Advantage to Our Clients</w:t>
      </w:r>
    </w:p>
    <w:p>
      <w:pPr>
        <w:spacing w:after="0" w:line="193"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We continuously apply our knowledge and domain expertise in education, healthcare, travel, and B2B payments to expand upon our solutions and meet the specific needs of our clients, while freeing them from cumbersome and legacy financial processes. For our clients, key benefits of our solutions include:</w:t>
      </w:r>
    </w:p>
    <w:p>
      <w:pPr>
        <w:spacing w:after="0" w:line="181" w:lineRule="exact"/>
        <w:rPr>
          <w:sz w:val="20"/>
          <w:szCs w:val="20"/>
          <w:color w:val="auto"/>
        </w:rPr>
      </w:pPr>
    </w:p>
    <w:p>
      <w:pPr>
        <w:ind w:left="880" w:hanging="224"/>
        <w:spacing w:after="0" w:line="244"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Modern customer-focused payment experience. </w:t>
      </w:r>
      <w:r>
        <w:rPr>
          <w:rFonts w:ascii="Arial" w:cs="Arial" w:eastAsia="Arial" w:hAnsi="Arial"/>
          <w:sz w:val="18"/>
          <w:szCs w:val="18"/>
          <w:color w:val="auto"/>
        </w:rPr>
        <w:t>We enable a convenient and secure online payment experience which can</w:t>
      </w:r>
      <w:r>
        <w:rPr>
          <w:rFonts w:ascii="Arial" w:cs="Arial" w:eastAsia="Arial" w:hAnsi="Arial"/>
          <w:sz w:val="18"/>
          <w:szCs w:val="18"/>
          <w:b w:val="1"/>
          <w:bCs w:val="1"/>
          <w:color w:val="auto"/>
        </w:rPr>
        <w:t xml:space="preserve"> </w:t>
      </w:r>
      <w:r>
        <w:rPr>
          <w:rFonts w:ascii="Arial" w:cs="Arial" w:eastAsia="Arial" w:hAnsi="Arial"/>
          <w:sz w:val="18"/>
          <w:szCs w:val="18"/>
          <w:color w:val="auto"/>
        </w:rPr>
        <w:t>be configured by country, currency, client, and vertical. Our personalization engine leverages our data and applies artificial intelligence and machine learning to match the payment preferences of our clients’ customers with the right payment options. By streamlining a previously cumbersome and highly-manual process, our clients have the ability to extend transparency to their customers and proactively engage them through their preferred communication methods.</w:t>
      </w:r>
    </w:p>
    <w:p>
      <w:pPr>
        <w:spacing w:after="0" w:line="176" w:lineRule="exact"/>
        <w:rPr>
          <w:rFonts w:ascii="Arial" w:cs="Arial" w:eastAsia="Arial" w:hAnsi="Arial"/>
          <w:sz w:val="18"/>
          <w:szCs w:val="18"/>
          <w:color w:val="auto"/>
        </w:rPr>
      </w:pPr>
    </w:p>
    <w:p>
      <w:pPr>
        <w:ind w:left="880" w:right="100" w:hanging="224"/>
        <w:spacing w:after="0" w:line="271"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Simplify payments complexity. </w:t>
      </w:r>
      <w:r>
        <w:rPr>
          <w:rFonts w:ascii="Arial" w:cs="Arial" w:eastAsia="Arial" w:hAnsi="Arial"/>
          <w:sz w:val="18"/>
          <w:szCs w:val="18"/>
          <w:color w:val="auto"/>
        </w:rPr>
        <w:t>We address complexity in payments by providing our clients with a “one-stop shop”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reducing the need to work with and manage</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320" w:top="459"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880" w:right="300"/>
        <w:spacing w:after="0"/>
        <w:rPr>
          <w:sz w:val="20"/>
          <w:szCs w:val="20"/>
          <w:color w:val="auto"/>
        </w:rPr>
      </w:pPr>
      <w:r>
        <w:rPr>
          <w:rFonts w:ascii="Arial" w:cs="Arial" w:eastAsia="Arial" w:hAnsi="Arial"/>
          <w:sz w:val="18"/>
          <w:szCs w:val="18"/>
          <w:color w:val="auto"/>
        </w:rPr>
        <w:t>multiple disparate vendors and systems. Our clients can experience a seamless workflow from start to finish with end-to-end visibility, from invoice to payment to receipt and reconciliation. This helps accelerate funds flow while streamlining operational expenses.</w:t>
      </w:r>
    </w:p>
    <w:p>
      <w:pPr>
        <w:spacing w:after="0" w:line="181" w:lineRule="exact"/>
        <w:rPr>
          <w:sz w:val="20"/>
          <w:szCs w:val="20"/>
          <w:color w:val="auto"/>
        </w:rPr>
      </w:pPr>
    </w:p>
    <w:p>
      <w:pPr>
        <w:ind w:left="880" w:right="60" w:hanging="224"/>
        <w:spacing w:after="0" w:line="242"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Processing cost savings and enhanced payments yield. </w:t>
      </w:r>
      <w:r>
        <w:rPr>
          <w:rFonts w:ascii="Arial" w:cs="Arial" w:eastAsia="Arial" w:hAnsi="Arial"/>
          <w:sz w:val="18"/>
          <w:szCs w:val="18"/>
          <w:color w:val="auto"/>
        </w:rPr>
        <w:t>We leverage our significant global volume and in-house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algorithms to mitigate our clients’ risk from currency fluctuation and reduce incremental payment fees, which we believe results in significant cost savings to our clients’ bottom line. Additionally, to optimize affordability for our clients’ customers, we design personalized payment plan offers. By providing a better customer experience, our clients can eliminate time-consuming customer calls and make their operations more efficient. We believe this results in our clients getting paid more quickly and consistently.</w:t>
      </w:r>
    </w:p>
    <w:p>
      <w:pPr>
        <w:spacing w:after="0" w:line="178" w:lineRule="exact"/>
        <w:rPr>
          <w:rFonts w:ascii="Arial" w:cs="Arial" w:eastAsia="Arial" w:hAnsi="Arial"/>
          <w:sz w:val="18"/>
          <w:szCs w:val="18"/>
          <w:color w:val="auto"/>
        </w:rPr>
      </w:pPr>
    </w:p>
    <w:p>
      <w:pPr>
        <w:ind w:left="880" w:right="320" w:hanging="224"/>
        <w:spacing w:after="0" w:line="247"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Ease of integration. </w:t>
      </w:r>
      <w:r>
        <w:rPr>
          <w:rFonts w:ascii="Arial" w:cs="Arial" w:eastAsia="Arial" w:hAnsi="Arial"/>
          <w:sz w:val="18"/>
          <w:szCs w:val="18"/>
          <w:color w:val="auto"/>
        </w:rPr>
        <w:t>Built on open architecture, Flywire integrates with existing systems and technology, allowing clients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 transactions and accounts, automate payment plans and cash management, and optimize processing through aligned billing-related tools. This ease of integration enables our clients to serve their customers better and faster, increasing satisfaction while reducing costs.</w:t>
      </w:r>
    </w:p>
    <w:p>
      <w:pPr>
        <w:spacing w:after="0" w:line="173" w:lineRule="exact"/>
        <w:rPr>
          <w:rFonts w:ascii="Arial" w:cs="Arial" w:eastAsia="Arial" w:hAnsi="Arial"/>
          <w:sz w:val="18"/>
          <w:szCs w:val="18"/>
          <w:color w:val="auto"/>
        </w:rPr>
      </w:pPr>
    </w:p>
    <w:p>
      <w:pPr>
        <w:ind w:left="880" w:right="140" w:hanging="224"/>
        <w:spacing w:after="0" w:line="242"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Trusted expertise and a trusted brand. </w:t>
      </w:r>
      <w:r>
        <w:rPr>
          <w:rFonts w:ascii="Arial" w:cs="Arial" w:eastAsia="Arial" w:hAnsi="Arial"/>
          <w:sz w:val="18"/>
          <w:szCs w:val="18"/>
          <w:color w:val="auto"/>
        </w:rPr>
        <w:t>Our clients and their customers view Flywire as a trusted technology partner. With</w:t>
      </w:r>
      <w:r>
        <w:rPr>
          <w:rFonts w:ascii="Arial" w:cs="Arial" w:eastAsia="Arial" w:hAnsi="Arial"/>
          <w:sz w:val="18"/>
          <w:szCs w:val="18"/>
          <w:b w:val="1"/>
          <w:bCs w:val="1"/>
          <w:color w:val="auto"/>
        </w:rPr>
        <w:t xml:space="preserve"> </w:t>
      </w:r>
      <w:r>
        <w:rPr>
          <w:rFonts w:ascii="Arial" w:cs="Arial" w:eastAsia="Arial" w:hAnsi="Arial"/>
          <w:sz w:val="18"/>
          <w:szCs w:val="18"/>
          <w:color w:val="auto"/>
        </w:rPr>
        <w:t>deep roots in each industry we serve, our thought leadership, guidance, and innovation in our solutions, have built confidence and advocacy in Flywire throughout our clients and their customers around the world. We believe we bring a new level of transparency, efficiency, and value to industries that are traditionally characterized by complex operations and held back by services of legacy providers. Additionally, we believe the strength of our information security and compliance that underpins our solutions is a core differentiator that drives client trust.</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Benefits of the Flywire Advantage to Our Clients’ Customers</w:t>
      </w:r>
    </w:p>
    <w:p>
      <w:pPr>
        <w:spacing w:after="0" w:line="193"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Our digital-first customer experience is designed to make the process of paying invoices simple. For our clients’ customers, key benefits of our solutions include:</w:t>
      </w:r>
    </w:p>
    <w:p>
      <w:pPr>
        <w:spacing w:after="0" w:line="175" w:lineRule="exact"/>
        <w:rPr>
          <w:sz w:val="20"/>
          <w:szCs w:val="20"/>
          <w:color w:val="auto"/>
        </w:rPr>
      </w:pPr>
    </w:p>
    <w:p>
      <w:pPr>
        <w:ind w:left="880" w:right="240" w:hanging="224"/>
        <w:spacing w:after="0" w:line="244"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Superior and simple payment experiences. </w:t>
      </w:r>
      <w:r>
        <w:rPr>
          <w:rFonts w:ascii="Arial" w:cs="Arial" w:eastAsia="Arial" w:hAnsi="Arial"/>
          <w:sz w:val="18"/>
          <w:szCs w:val="18"/>
          <w:color w:val="auto"/>
        </w:rPr>
        <w:t>Our customer value proposition is simple: we provide a fast and nearly</w:t>
      </w:r>
      <w:r>
        <w:rPr>
          <w:rFonts w:ascii="Arial" w:cs="Arial" w:eastAsia="Arial" w:hAnsi="Arial"/>
          <w:sz w:val="18"/>
          <w:szCs w:val="18"/>
          <w:b w:val="1"/>
          <w:bCs w:val="1"/>
          <w:color w:val="auto"/>
        </w:rPr>
        <w:t xml:space="preserve"> </w:t>
      </w:r>
      <w:r>
        <w:rPr>
          <w:rFonts w:ascii="Arial" w:cs="Arial" w:eastAsia="Arial" w:hAnsi="Arial"/>
          <w:sz w:val="18"/>
          <w:szCs w:val="18"/>
          <w:color w:val="auto"/>
        </w:rPr>
        <w:t>frictionless experience for our clients’ customers’ most important payments. Providing an integrated experience that leverages single sign-on, our clients’ customers can very quickly view real-time account balance updates, receive personalized communication and complete their payments – all as part of a streamlined digital self-service experience. These features can lead to an increase in self-service digital payments and optimized conversion of completed payments.</w:t>
      </w:r>
    </w:p>
    <w:p>
      <w:pPr>
        <w:spacing w:after="0" w:line="176" w:lineRule="exact"/>
        <w:rPr>
          <w:rFonts w:ascii="Arial" w:cs="Arial" w:eastAsia="Arial" w:hAnsi="Arial"/>
          <w:sz w:val="18"/>
          <w:szCs w:val="18"/>
          <w:color w:val="auto"/>
        </w:rPr>
      </w:pPr>
    </w:p>
    <w:p>
      <w:pPr>
        <w:ind w:left="880" w:hanging="224"/>
        <w:spacing w:after="0" w:line="247"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Customer preference. </w:t>
      </w:r>
      <w:r>
        <w:rPr>
          <w:rFonts w:ascii="Arial" w:cs="Arial" w:eastAsia="Arial" w:hAnsi="Arial"/>
          <w:sz w:val="18"/>
          <w:szCs w:val="18"/>
          <w:color w:val="auto"/>
        </w:rPr>
        <w:t>Using Flywire, our clients’ customers can choose their preferred payment method, currency,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channel, such as sms, chat, email, text, or phone. We make it possible to accept and settle payments in over 240 countries and territories and in more than 130 currencies, so our clients’ customers can choose the way they pay using local payment methods that they are most comfortable using.</w:t>
      </w:r>
    </w:p>
    <w:p>
      <w:pPr>
        <w:spacing w:after="0" w:line="173" w:lineRule="exact"/>
        <w:rPr>
          <w:rFonts w:ascii="Arial" w:cs="Arial" w:eastAsia="Arial" w:hAnsi="Arial"/>
          <w:sz w:val="18"/>
          <w:szCs w:val="18"/>
          <w:color w:val="auto"/>
        </w:rPr>
      </w:pPr>
    </w:p>
    <w:p>
      <w:pPr>
        <w:ind w:left="880" w:right="20" w:hanging="224"/>
        <w:spacing w:after="0" w:line="247"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Flexible on-demand payment options. </w:t>
      </w:r>
      <w:r>
        <w:rPr>
          <w:rFonts w:ascii="Arial" w:cs="Arial" w:eastAsia="Arial" w:hAnsi="Arial"/>
          <w:sz w:val="18"/>
          <w:szCs w:val="18"/>
          <w:color w:val="auto"/>
        </w:rPr>
        <w:t>We believe we provide favorable and transparent payment plans that can lead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engagement and enrollment by our clients’ customers. As a result, our clients’ customers can spread expenses across smaller, easier-to-manage payments. Our payments platform also enables our clients to offer their customers the choice to either front-load payment plans or provide extension options beyond service delivery.</w:t>
      </w:r>
    </w:p>
    <w:p>
      <w:pPr>
        <w:spacing w:after="0" w:line="173" w:lineRule="exact"/>
        <w:rPr>
          <w:rFonts w:ascii="Arial" w:cs="Arial" w:eastAsia="Arial" w:hAnsi="Arial"/>
          <w:sz w:val="18"/>
          <w:szCs w:val="18"/>
          <w:color w:val="auto"/>
        </w:rPr>
      </w:pPr>
    </w:p>
    <w:p>
      <w:pPr>
        <w:ind w:left="880" w:right="800" w:hanging="224"/>
        <w:spacing w:after="0" w:line="271"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Customer confidence. </w:t>
      </w:r>
      <w:r>
        <w:rPr>
          <w:rFonts w:ascii="Arial" w:cs="Arial" w:eastAsia="Arial" w:hAnsi="Arial"/>
          <w:sz w:val="18"/>
          <w:szCs w:val="18"/>
          <w:color w:val="auto"/>
        </w:rPr>
        <w:t>Navigating the world of complex cross-border payments can be overwhelming for our clients’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With our superior customer experience including</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560"/>
        <w:spacing w:after="0" w:line="246" w:lineRule="auto"/>
        <w:rPr>
          <w:sz w:val="20"/>
          <w:szCs w:val="20"/>
          <w:color w:val="auto"/>
        </w:rPr>
      </w:pPr>
      <w:r>
        <w:rPr>
          <w:rFonts w:ascii="Arial" w:cs="Arial" w:eastAsia="Arial" w:hAnsi="Arial"/>
          <w:sz w:val="18"/>
          <w:szCs w:val="18"/>
          <w:color w:val="auto"/>
        </w:rPr>
        <w:t>around the clock multilingual support, we believe that we give customers the confidence that their payments are delivered securely, accurately, and on time.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Our Flywire Advantage Works</w:t>
      </w:r>
    </w:p>
    <w:p>
      <w:pPr>
        <w:spacing w:after="0" w:line="193" w:lineRule="exact"/>
        <w:rPr>
          <w:sz w:val="20"/>
          <w:szCs w:val="20"/>
          <w:color w:val="auto"/>
        </w:rPr>
      </w:pPr>
    </w:p>
    <w:p>
      <w:pPr>
        <w:ind w:left="120" w:right="220" w:firstLine="440"/>
        <w:spacing w:after="0" w:line="261" w:lineRule="auto"/>
        <w:rPr>
          <w:sz w:val="20"/>
          <w:szCs w:val="20"/>
          <w:color w:val="auto"/>
        </w:rPr>
      </w:pPr>
      <w:r>
        <w:rPr>
          <w:rFonts w:ascii="Arial" w:cs="Arial" w:eastAsia="Arial" w:hAnsi="Arial"/>
          <w:sz w:val="17"/>
          <w:szCs w:val="17"/>
          <w:color w:val="auto"/>
        </w:rPr>
        <w:t>Our clients’ needs extend beyond simple payment processing. Enabling our clients to use enhanced payment functionality to drive business value as well as streamlining and automating their domestic and cross-border payment operations, requires a specialized approach that combines a secure, reliable, and robust suite of payments and software solutions with a seamless customer experience.</w:t>
      </w:r>
    </w:p>
    <w:p>
      <w:pPr>
        <w:spacing w:after="0" w:line="127" w:lineRule="exact"/>
        <w:rPr>
          <w:sz w:val="20"/>
          <w:szCs w:val="20"/>
          <w:color w:val="auto"/>
        </w:rPr>
      </w:pPr>
    </w:p>
    <w:p>
      <w:pPr>
        <w:ind w:left="120" w:right="760" w:firstLine="440"/>
        <w:spacing w:after="0" w:line="267" w:lineRule="auto"/>
        <w:rPr>
          <w:sz w:val="20"/>
          <w:szCs w:val="20"/>
          <w:color w:val="auto"/>
        </w:rPr>
      </w:pPr>
      <w:r>
        <w:rPr>
          <w:rFonts w:ascii="Arial" w:cs="Arial" w:eastAsia="Arial" w:hAnsi="Arial"/>
          <w:sz w:val="18"/>
          <w:szCs w:val="18"/>
          <w:color w:val="auto"/>
        </w:rPr>
        <w:t xml:space="preserve">To achieve this, 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and its three core elements: (i) our next-gen payments platform; (ii) our proprietary global payment network; and (iii) our vertical-specific software backed by our deep industry expertise.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Next-Gen Payments Platform</w:t>
      </w:r>
    </w:p>
    <w:p>
      <w:pPr>
        <w:spacing w:after="0" w:line="193"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Our next-gen payments platform is designed for payment processes and experiences that can deliver high-stakes, high-value payments. Through a single connection to our platform, we support the entire lifecycle of a domestic or cross-border transaction across online, mobile or in-person channels. This eliminates the need to work with multiple vendors and payment providers.</w:t>
      </w:r>
    </w:p>
    <w:p>
      <w:pPr>
        <w:spacing w:after="0" w:line="16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2020, we enabled over $7.5 billion in payment volume across multiple payment types, including local bank transfer, credit, debit and other alternative payment methods such as Alipay, Boleto, PayPal / Venmo, and Trustly. In the quarter ended March 31, 2021, we enabled approximately $2.9 billion in total payment volume. The majority of our payment volume is not card related and is completed over our global payment network. This reflects the myriad of payment options enabled by our global payment network that are critical for the larger, more complex payments that we handle.</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designed our next-gen payments platform to be:</w:t>
      </w:r>
    </w:p>
    <w:p>
      <w:pPr>
        <w:spacing w:after="0" w:line="190" w:lineRule="exact"/>
        <w:rPr>
          <w:sz w:val="20"/>
          <w:szCs w:val="20"/>
          <w:color w:val="auto"/>
        </w:rPr>
      </w:pPr>
    </w:p>
    <w:p>
      <w:pPr>
        <w:ind w:left="880" w:right="120" w:hanging="224"/>
        <w:spacing w:after="0" w:line="271"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Integrated</w:t>
      </w:r>
      <w:r>
        <w:rPr>
          <w:rFonts w:ascii="Arial" w:cs="Arial" w:eastAsia="Arial" w:hAnsi="Arial"/>
          <w:sz w:val="18"/>
          <w:szCs w:val="18"/>
          <w:color w:val="auto"/>
        </w:rPr>
        <w:t>. Fully unified and seamlessly connected to a broad range of core operating systems, facilitating easy data capture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compatibility across a broad range of solutions;</w:t>
      </w:r>
    </w:p>
    <w:p>
      <w:pPr>
        <w:spacing w:after="0" w:line="153" w:lineRule="exact"/>
        <w:rPr>
          <w:rFonts w:ascii="Arial" w:cs="Arial" w:eastAsia="Arial" w:hAnsi="Arial"/>
          <w:sz w:val="18"/>
          <w:szCs w:val="18"/>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Flexible</w:t>
      </w:r>
      <w:r>
        <w:rPr>
          <w:rFonts w:ascii="Arial" w:cs="Arial" w:eastAsia="Arial" w:hAnsi="Arial"/>
          <w:sz w:val="18"/>
          <w:szCs w:val="18"/>
          <w:color w:val="auto"/>
        </w:rPr>
        <w:t>.  Supports complex workflows and payment experiences for both in-country domestic and cross-border payments; and</w:t>
      </w:r>
    </w:p>
    <w:p>
      <w:pPr>
        <w:spacing w:after="0" w:line="211" w:lineRule="exact"/>
        <w:rPr>
          <w:rFonts w:ascii="Arial" w:cs="Arial" w:eastAsia="Arial" w:hAnsi="Arial"/>
          <w:sz w:val="18"/>
          <w:szCs w:val="18"/>
          <w:color w:val="auto"/>
        </w:rPr>
      </w:pPr>
    </w:p>
    <w:p>
      <w:pPr>
        <w:ind w:left="880" w:right="600" w:hanging="224"/>
        <w:spacing w:after="0" w:line="271"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Secure</w:t>
      </w:r>
      <w:r>
        <w:rPr>
          <w:rFonts w:ascii="Arial" w:cs="Arial" w:eastAsia="Arial" w:hAnsi="Arial"/>
          <w:sz w:val="18"/>
          <w:szCs w:val="18"/>
          <w:color w:val="auto"/>
        </w:rPr>
        <w:t>. Leverages Payment Card Industry-validated Point-to-Point Encryption tokenization and other best-in-class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regulatory-compliant security measures.</w:t>
      </w:r>
    </w:p>
    <w:p>
      <w:pPr>
        <w:spacing w:after="0" w:line="13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By utilizing predictive analytics, machine learning, and artificial intelligence, we handle the complexities of money movement across borders while providing fast, compliant, and transparent receipt of payments. Our artificial intelligence (AI) and machine learning (ML) enabled fraud detection risk engine has trained against millions of ACH, check, card, and wire transactions. As a result, the enhanced power of our risk engine enables us to mitigate fraud.</w:t>
      </w:r>
    </w:p>
    <w:p>
      <w:pPr>
        <w:spacing w:after="0" w:line="164" w:lineRule="exact"/>
        <w:rPr>
          <w:sz w:val="20"/>
          <w:szCs w:val="20"/>
          <w:color w:val="auto"/>
        </w:rPr>
      </w:pPr>
    </w:p>
    <w:p>
      <w:pPr>
        <w:jc w:val="both"/>
        <w:ind w:left="120" w:right="260" w:firstLine="440"/>
        <w:spacing w:after="0"/>
        <w:rPr>
          <w:sz w:val="20"/>
          <w:szCs w:val="20"/>
          <w:color w:val="auto"/>
        </w:rPr>
      </w:pPr>
      <w:r>
        <w:rPr>
          <w:rFonts w:ascii="Arial" w:cs="Arial" w:eastAsia="Arial" w:hAnsi="Arial"/>
          <w:sz w:val="18"/>
          <w:szCs w:val="18"/>
          <w:color w:val="auto"/>
        </w:rPr>
        <w:t>Our comprehensive payments offering enables our clients to provide their customers a choice of cost-effective payment methods, currencies, and terms while enjoying a seamless digital experience. Our offering, supported by Flywire’s security, risk, and compliance monitoring tools, includes:</w:t>
      </w:r>
    </w:p>
    <w:p>
      <w:pPr>
        <w:spacing w:after="0" w:line="203" w:lineRule="exact"/>
        <w:rPr>
          <w:sz w:val="20"/>
          <w:szCs w:val="20"/>
          <w:color w:val="auto"/>
        </w:rPr>
      </w:pPr>
    </w:p>
    <w:p>
      <w:pPr>
        <w:ind w:left="880" w:right="40" w:hanging="224"/>
        <w:spacing w:after="0" w:line="246"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enhanced invoicing, settlement and reconciliation tools that simplify billing and customer payments and better manage cash flow and revenue;</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end-to-end processing, from authorization to clearing to settlement and reconciliation;</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turnkey solution for enhanced and secure single sign-on and checkout;</w:t>
      </w:r>
    </w:p>
    <w:p>
      <w:pPr>
        <w:spacing w:after="0" w:line="211" w:lineRule="exact"/>
        <w:rPr>
          <w:rFonts w:ascii="Arial" w:cs="Arial" w:eastAsia="Arial" w:hAnsi="Arial"/>
          <w:sz w:val="18"/>
          <w:szCs w:val="18"/>
          <w:color w:val="auto"/>
        </w:rPr>
      </w:pPr>
    </w:p>
    <w:p>
      <w:pPr>
        <w:ind w:left="880" w:right="500" w:hanging="224"/>
        <w:spacing w:after="0" w:line="246"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recurring, split and flexible payment options, including robust payment plan logic that can be tailored in our vertical-specific implementations; and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unified reporting and analytics tools through direct integrations to client back-end infrastructure.</w:t>
      </w:r>
    </w:p>
    <w:p>
      <w:pPr>
        <w:spacing w:after="0" w:line="18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Below is a sample funds flow for a traveler from Australia taking a ski vacation in Japan paying in their local currency and with their preferred method of payment, such as a bank transfer of Australian Dollars to Japanese Yen, without incurring hidden fees, and with exchange rate protection. The illustration shows how our next-gen payments platform can be configured and activated at the client level, and deliver a seamless experience from any country of payment or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130810</wp:posOffset>
            </wp:positionV>
            <wp:extent cx="4972050" cy="22459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7205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addition to international expansion, we are accelerating the growth of our in-country domestic accounts receivable business, both by selling new solutions to existing clients and gaining new clients. Many of our clients who successfully use our payments platform to process cross-border payments require a similar solution for in-country domestic payments, which have similar challenges: they are reliant on home-grown or legacy solutions with limited or inflexible capabilities and often require time consuming manual updates. With our payments platform, clients are able to streamline payment processes and offer their customers flexible payment options, without the expense of building their own systems—for both in-country domestic and cross-border transactions.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Proprietary Global Payment Network</w:t>
      </w:r>
    </w:p>
    <w:p>
      <w:pPr>
        <w:spacing w:after="0" w:line="20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Our proprietary global payment network is comprised of global, regional and local banks and technology and payment partners around the world. We believe the extensive global reach and breadth of our network, serving more than 240 countries and territories, provides a strong competitive advantage. Additionally, we have local market knowledge and expertise to enable funds flow in some of the hardest to reach markets. We have also assembled redundant payment rails, wherever possible.</w:t>
      </w:r>
    </w:p>
    <w:p>
      <w:pPr>
        <w:spacing w:after="0" w:line="164"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With Flywire’s network, our clients can take advantage of our “local-in / local -out strategy”—providing access to pay-in options, such as local bank transfers, card-based payments, and alternative payment methods, while enabling pay-out capabilities in our clients’ preferred local payment methods.</w:t>
      </w:r>
    </w:p>
    <w:p>
      <w:pPr>
        <w:spacing w:after="0" w:line="162"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We believe our receive-side network sets us apart. Flywire clients, no matter the vertical or market they are in, can receive a single daily payment in their preferred currency that aggregates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0"/>
        <w:spacing w:after="0"/>
        <w:rPr>
          <w:sz w:val="20"/>
          <w:szCs w:val="20"/>
          <w:color w:val="auto"/>
        </w:rPr>
      </w:pPr>
      <w:r>
        <w:rPr>
          <w:rFonts w:ascii="Arial" w:cs="Arial" w:eastAsia="Arial" w:hAnsi="Arial"/>
          <w:sz w:val="18"/>
          <w:szCs w:val="18"/>
          <w:color w:val="auto"/>
        </w:rPr>
        <w:t>reconciles all their customer payments made via Flywire from around the globe—across approximately 2,900 geographic corridors representing transaction flows between payers and payees. The illustration below shows our top payment corridors, with a scale of connections denoting the relative payment volume originating from the applicable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094730" cy="3180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94730" cy="318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right="200" w:hanging="424"/>
        <w:spacing w:after="0" w:line="258"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chart above represents relative payment volume based on the country from which our client’s customer’s payment originates. We recognize revenue based on the geographic location of our client. As a result, payment volume by originating geography does not correlate with revenue recognized by client geography.</w:t>
      </w:r>
    </w:p>
    <w:p>
      <w:pPr>
        <w:spacing w:after="0" w:line="188"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Once our clients are connected to our global payment network, they can leverage an extended range of services and capabilities, including:</w:t>
      </w:r>
    </w:p>
    <w:p>
      <w:pPr>
        <w:spacing w:after="0" w:line="175" w:lineRule="exact"/>
        <w:rPr>
          <w:sz w:val="20"/>
          <w:szCs w:val="20"/>
          <w:color w:val="auto"/>
        </w:rPr>
      </w:pPr>
    </w:p>
    <w:p>
      <w:pPr>
        <w:ind w:left="880" w:right="80" w:hanging="224"/>
        <w:spacing w:after="0" w:line="24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Transaction routing optimized for cost, risk and compliance management</w:t>
      </w:r>
      <w:r>
        <w:rPr>
          <w:rFonts w:ascii="Arial" w:cs="Arial" w:eastAsia="Arial" w:hAnsi="Arial"/>
          <w:sz w:val="18"/>
          <w:szCs w:val="18"/>
          <w:color w:val="auto"/>
        </w:rPr>
        <w:t>. We leverage the “plug and play” configuration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our global payment network and our proprietary payment-routing engine to analyze costs, currency exchange rates and payment acceptance data. Based on our analytics, we can configure optimal transaction routing that increases authorization rates in a secure and compliant manner, while reducing our processing costs and the costs to our clients’ customers.</w:t>
      </w:r>
    </w:p>
    <w:p>
      <w:pPr>
        <w:spacing w:after="0" w:line="173" w:lineRule="exact"/>
        <w:rPr>
          <w:rFonts w:ascii="Arial" w:cs="Arial" w:eastAsia="Arial" w:hAnsi="Arial"/>
          <w:sz w:val="18"/>
          <w:szCs w:val="18"/>
          <w:color w:val="auto"/>
        </w:rPr>
      </w:pPr>
    </w:p>
    <w:p>
      <w:pPr>
        <w:ind w:left="880" w:hanging="224"/>
        <w:spacing w:after="0" w:line="244"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Local clearing capabilities</w:t>
      </w:r>
      <w:r>
        <w:rPr>
          <w:rFonts w:ascii="Arial" w:cs="Arial" w:eastAsia="Arial" w:hAnsi="Arial"/>
          <w:sz w:val="18"/>
          <w:szCs w:val="18"/>
          <w:color w:val="auto"/>
        </w:rPr>
        <w:t>. Our clients’ customers have the ability to authorize and clear transactions in over 240 countries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territories through our connectivity to banks and major payment networks. Payments are made through direct connections to global, regional and local banks or through relationships with our payments partners including Citigroup Inc. These connections and relationships help us create local clearing hubs which enable our clients and their customers to have a local payments experience.</w:t>
      </w:r>
    </w:p>
    <w:p>
      <w:pPr>
        <w:spacing w:after="0" w:line="176" w:lineRule="exact"/>
        <w:rPr>
          <w:rFonts w:ascii="Arial" w:cs="Arial" w:eastAsia="Arial" w:hAnsi="Arial"/>
          <w:sz w:val="18"/>
          <w:szCs w:val="18"/>
          <w:color w:val="auto"/>
        </w:rPr>
      </w:pPr>
    </w:p>
    <w:p>
      <w:pPr>
        <w:ind w:left="880" w:right="80" w:hanging="224"/>
        <w:spacing w:after="0" w:line="253"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Ecosystem of alternative payment methods</w:t>
      </w:r>
      <w:r>
        <w:rPr>
          <w:rFonts w:ascii="Arial" w:cs="Arial" w:eastAsia="Arial" w:hAnsi="Arial"/>
          <w:sz w:val="18"/>
          <w:szCs w:val="18"/>
          <w:color w:val="auto"/>
        </w:rPr>
        <w:t>. We offer a myriad of alternative payment methods, such as Alipay, Boleto,</w:t>
      </w:r>
      <w:r>
        <w:rPr>
          <w:rFonts w:ascii="Arial" w:cs="Arial" w:eastAsia="Arial" w:hAnsi="Arial"/>
          <w:sz w:val="18"/>
          <w:szCs w:val="18"/>
          <w:b w:val="1"/>
          <w:bCs w:val="1"/>
          <w:color w:val="auto"/>
        </w:rPr>
        <w:t xml:space="preserve"> </w:t>
      </w:r>
      <w:r>
        <w:rPr>
          <w:rFonts w:ascii="Arial" w:cs="Arial" w:eastAsia="Arial" w:hAnsi="Arial"/>
          <w:sz w:val="18"/>
          <w:szCs w:val="18"/>
          <w:color w:val="auto"/>
        </w:rPr>
        <w:t>PayPal / Venmo, and Trustly, to allow customers to choose how they pay. We believe this helps promote greater adoption of our payments platform, higher levels of engagement and satisfaction, and increased value across our ecosystem.</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right="300" w:hanging="224"/>
        <w:spacing w:after="0" w:line="253"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Global pay-out</w:t>
      </w:r>
      <w:r>
        <w:rPr>
          <w:rFonts w:ascii="Arial" w:cs="Arial" w:eastAsia="Arial" w:hAnsi="Arial"/>
          <w:sz w:val="18"/>
          <w:szCs w:val="18"/>
          <w:color w:val="auto"/>
        </w:rPr>
        <w:t>. We enable our clients to automate disbursements and seamlessly settle in over 130 currencies via pay-out</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including local currency bank deposits. We believe we are able to settle pay-out more quickly given our end-to-end control and visibility of the transaction process.</w:t>
      </w:r>
    </w:p>
    <w:p>
      <w:pPr>
        <w:spacing w:after="0" w:line="168" w:lineRule="exact"/>
        <w:rPr>
          <w:rFonts w:ascii="Arial" w:cs="Arial" w:eastAsia="Arial" w:hAnsi="Arial"/>
          <w:sz w:val="18"/>
          <w:szCs w:val="18"/>
          <w:color w:val="auto"/>
        </w:rPr>
      </w:pPr>
    </w:p>
    <w:p>
      <w:pPr>
        <w:ind w:left="880" w:right="120" w:hanging="224"/>
        <w:spacing w:after="0" w:line="261" w:lineRule="auto"/>
        <w:tabs>
          <w:tab w:leader="none" w:pos="880"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Tailored and scalable regulatory and compliance infrastructure</w:t>
      </w:r>
      <w:r>
        <w:rPr>
          <w:rFonts w:ascii="Arial" w:cs="Arial" w:eastAsia="Arial" w:hAnsi="Arial"/>
          <w:sz w:val="17"/>
          <w:szCs w:val="17"/>
          <w:color w:val="auto"/>
        </w:rPr>
        <w:t>. This foundational element underpins our global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network. We have fraud and transaction monitoring tools designed to accommodate multiple industry verticals. We combine this with the application of know-your customer, or KYC, and anti-money laundering, or AML, standards that are tailored to meet the applicable requirements of the jurisdictions where our clients operate. In addition, we leverage our in-depth knowledge of the markets in which we operate to execute tactically while complying with local licensing and regulatory requirements.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Vertical-Specific Software Backed by Deep Industry Expertise</w:t>
      </w:r>
    </w:p>
    <w:p>
      <w:pPr>
        <w:spacing w:after="0" w:line="193"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We tailor our software to meet the needs of each vertical market we serve. We do so by leveraging our industry expertise and knowledge to develop a comprehensive view of our clients’ complex business challenges. We learn to “speak our clients’ language” and tailor their invoicing processes and payment options to their specific situations.</w:t>
      </w:r>
    </w:p>
    <w:p>
      <w:pPr>
        <w:spacing w:after="0" w:line="16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offer deep integration within our clients’ existing apps and workflows for seamless payment acceptance and reconciliation. Our integrations, supported by our APIs, include some of the largest and most recognized accounting and ERP systems, such as Ellucian Company, L.P. in education, Epic Systems Corporation in healthcare, Rezdy Pty Ltd in travel, and Oracle Corporation in B2B payments. Through these integrations, our clients are able to reduce the number of banks and technology and payment providers on which they rely, while achieving faster settlements and lower wire and transaction fees.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features of our vertical-specific software include:</w:t>
      </w:r>
    </w:p>
    <w:p>
      <w:pPr>
        <w:spacing w:after="0" w:line="190" w:lineRule="exact"/>
        <w:rPr>
          <w:sz w:val="20"/>
          <w:szCs w:val="20"/>
          <w:color w:val="auto"/>
        </w:rPr>
      </w:pPr>
    </w:p>
    <w:p>
      <w:pPr>
        <w:ind w:left="88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Vertical-specific digital workflows</w:t>
      </w:r>
      <w:r>
        <w:rPr>
          <w:rFonts w:ascii="Arial" w:cs="Arial" w:eastAsia="Arial" w:hAnsi="Arial"/>
          <w:sz w:val="18"/>
          <w:szCs w:val="18"/>
          <w:color w:val="auto"/>
        </w:rPr>
        <w:t>. We help our clients automate the accounts receivable process from creation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invoice, to delivery to the customer, to receipt of funds and synchronization back to their ERP system. In these workflows, we provide enhanced capabilities that improve customer satisfaction and may increase the collectability of amounts owed (e.g., offering patients of a health system the option to create a payment plan if they are unwilling or unable to pay their full amount due in a single payment). We provide timely status updates of financial inflows and outflows by indicating when invoices are delivered, opened, and paid. Our robust reporting tools provide our clients with a real time overview of their business’ payments profile.</w:t>
      </w:r>
    </w:p>
    <w:p>
      <w:pPr>
        <w:spacing w:after="0" w:line="391" w:lineRule="exact"/>
        <w:rPr>
          <w:rFonts w:ascii="Arial" w:cs="Arial" w:eastAsia="Arial" w:hAnsi="Arial"/>
          <w:sz w:val="18"/>
          <w:szCs w:val="18"/>
          <w:color w:val="auto"/>
        </w:rPr>
      </w:pPr>
    </w:p>
    <w:p>
      <w:pPr>
        <w:ind w:left="880" w:right="260" w:hanging="224"/>
        <w:spacing w:after="0" w:line="253"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Integration and synchronization to core and industry specific systems</w:t>
      </w:r>
      <w:r>
        <w:rPr>
          <w:rFonts w:ascii="Arial" w:cs="Arial" w:eastAsia="Arial" w:hAnsi="Arial"/>
          <w:sz w:val="18"/>
          <w:szCs w:val="18"/>
          <w:color w:val="auto"/>
        </w:rPr>
        <w:t>. Our software is designed to automate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reconciliation by synchronizing customer transactions with our client’s accounting and ERP systems. Our synchronization capabilities substantially reduce double data-entry and increase efficiency.</w:t>
      </w:r>
    </w:p>
    <w:p>
      <w:pPr>
        <w:spacing w:after="0" w:line="168" w:lineRule="exact"/>
        <w:rPr>
          <w:rFonts w:ascii="Arial" w:cs="Arial" w:eastAsia="Arial" w:hAnsi="Arial"/>
          <w:sz w:val="18"/>
          <w:szCs w:val="18"/>
          <w:color w:val="auto"/>
        </w:rPr>
      </w:pPr>
    </w:p>
    <w:p>
      <w:pPr>
        <w:ind w:left="880" w:right="460" w:hanging="224"/>
        <w:spacing w:after="0" w:line="271"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Real-time access</w:t>
      </w:r>
      <w:r>
        <w:rPr>
          <w:rFonts w:ascii="Arial" w:cs="Arial" w:eastAsia="Arial" w:hAnsi="Arial"/>
          <w:sz w:val="18"/>
          <w:szCs w:val="18"/>
          <w:color w:val="auto"/>
        </w:rPr>
        <w:t>. By leveraging our data, our clients can access real-time invoice and payment status updates, facilitate</w:t>
      </w:r>
      <w:r>
        <w:rPr>
          <w:rFonts w:ascii="Arial" w:cs="Arial" w:eastAsia="Arial" w:hAnsi="Arial"/>
          <w:sz w:val="18"/>
          <w:szCs w:val="18"/>
          <w:b w:val="1"/>
          <w:bCs w:val="1"/>
          <w:color w:val="auto"/>
        </w:rPr>
        <w:t xml:space="preserve"> </w:t>
      </w:r>
      <w:r>
        <w:rPr>
          <w:rFonts w:ascii="Arial" w:cs="Arial" w:eastAsia="Arial" w:hAnsi="Arial"/>
          <w:sz w:val="18"/>
          <w:szCs w:val="18"/>
          <w:color w:val="auto"/>
        </w:rPr>
        <w:t>seamless communication with customers and easily track payments from their customers.</w:t>
      </w:r>
    </w:p>
    <w:p>
      <w:pPr>
        <w:spacing w:after="0" w:line="153" w:lineRule="exact"/>
        <w:rPr>
          <w:rFonts w:ascii="Arial" w:cs="Arial" w:eastAsia="Arial" w:hAnsi="Arial"/>
          <w:sz w:val="18"/>
          <w:szCs w:val="18"/>
          <w:color w:val="auto"/>
        </w:rPr>
      </w:pPr>
    </w:p>
    <w:p>
      <w:pPr>
        <w:ind w:left="880" w:right="200" w:hanging="224"/>
        <w:spacing w:after="0" w:line="247"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Predictive analytics</w:t>
      </w:r>
      <w:r>
        <w:rPr>
          <w:rFonts w:ascii="Arial" w:cs="Arial" w:eastAsia="Arial" w:hAnsi="Arial"/>
          <w:sz w:val="18"/>
          <w:szCs w:val="18"/>
          <w:color w:val="auto"/>
        </w:rPr>
        <w:t>. We have robust predictive analytics capabilities to assess payment transactions across our client base</w:t>
      </w:r>
      <w:r>
        <w:rPr>
          <w:rFonts w:ascii="Arial" w:cs="Arial" w:eastAsia="Arial" w:hAnsi="Arial"/>
          <w:sz w:val="18"/>
          <w:szCs w:val="18"/>
          <w:b w:val="1"/>
          <w:bCs w:val="1"/>
          <w:color w:val="auto"/>
        </w:rPr>
        <w:t xml:space="preserve"> </w:t>
      </w:r>
      <w:r>
        <w:rPr>
          <w:rFonts w:ascii="Arial" w:cs="Arial" w:eastAsia="Arial" w:hAnsi="Arial"/>
          <w:sz w:val="18"/>
          <w:szCs w:val="18"/>
          <w:color w:val="auto"/>
        </w:rPr>
        <w:t>and to intelligently determine the appropriate pricing or payment plans. For example, in healthcare, we have built a personalization engine that enables hospitals and healthcare systems to better predict a patient’s capacity to pay and tailor the payment options they are offered, all in accordance with the hospital’s business rules.</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Below is an illustration of how a large hospital client utilizes our software to personalize patient engagement with payment options and billing conversations. We solve capacity to pay for our clients’ customers (with payment plans or other intelligent promotional financing) and we engage with them through their preferred communication methods (e.g. sms, chat, email, text, or phone). In turn, our clients are able to maximize yield on their accounts receivable potential, resulting in higher net payments, lower call volume, lower debt outstanding and most importantly, lower costs and happier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128905</wp:posOffset>
            </wp:positionV>
            <wp:extent cx="4114800" cy="27686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1148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840"/>
          </w:cols>
          <w:pgMar w:left="320" w:top="459" w:right="739"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220345</wp:posOffset>
            </wp:positionV>
            <wp:extent cx="6574790" cy="85725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74790" cy="85725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28" w:name="page129"/>
    <w:bookmarkEnd w:id="1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220345</wp:posOffset>
            </wp:positionV>
            <wp:extent cx="6574790" cy="85725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74790" cy="85725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29" w:name="page130"/>
    <w:bookmarkEnd w:id="1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220345</wp:posOffset>
            </wp:positionV>
            <wp:extent cx="6574790" cy="85725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74790" cy="85725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30" w:name="page131"/>
    <w:bookmarkEnd w:id="1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220345</wp:posOffset>
            </wp:positionV>
            <wp:extent cx="6574790" cy="85725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74790" cy="85725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207"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believe Flywire plays a critical role in helping digitize transactions in traditionally underserved markets, facilitating in-country domestic and cross-border invoicing and payments, automating reconciliation, and providing a seamless experience for our clients’ customers. Our ability to deliver the most important and complex payments both domestically and internationally has become increasingly valued by our clients due to the following trends:</w:t>
      </w:r>
    </w:p>
    <w:p>
      <w:pPr>
        <w:spacing w:after="0" w:line="183" w:lineRule="exact"/>
        <w:rPr>
          <w:sz w:val="20"/>
          <w:szCs w:val="20"/>
          <w:color w:val="auto"/>
        </w:rPr>
      </w:pPr>
    </w:p>
    <w:p>
      <w:pPr>
        <w:ind w:left="120" w:right="720"/>
        <w:spacing w:after="0" w:line="271" w:lineRule="auto"/>
        <w:rPr>
          <w:sz w:val="20"/>
          <w:szCs w:val="20"/>
          <w:color w:val="auto"/>
        </w:rPr>
      </w:pPr>
      <w:r>
        <w:rPr>
          <w:rFonts w:ascii="Arial" w:cs="Arial" w:eastAsia="Arial" w:hAnsi="Arial"/>
          <w:sz w:val="18"/>
          <w:szCs w:val="18"/>
          <w:b w:val="1"/>
          <w:bCs w:val="1"/>
          <w:i w:val="1"/>
          <w:iCs w:val="1"/>
          <w:color w:val="auto"/>
        </w:rPr>
        <w:t>Globalization—and the rise of a “borderless” economy—requires global, cross-border and local payment and regulatory expertise</w:t>
      </w:r>
    </w:p>
    <w:p>
      <w:pPr>
        <w:spacing w:after="0" w:line="17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As the world becomes more connected, it is both easier and harder to do business. Consumers want to make payments across borders with ease and want to have a personalized experience in their language and in their local currency. Businesses are attempting to satisfy this demand, but we believe they often struggle to deliver truly global capabilities. Providing a solution that meets the needs of our global client base extends beyond simple payment processing. Enabling, streamlining, and automating our clients’ in-country domestic and cross-border payment operations requires a specialized approach that combines a secure, reliable, and robust suite of payments and software solutions with a seamless customer experience. We believe we can deliver extensive global reach and bring local market knowledge and expertise to keep up with the rapidly changing payments landscape.</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Globalization has also increased the complexity of the regulatory landscape that our clients need to navigate. Consumers and businesses are required to understand and adhere to extensive and often incongruous sets of laws and regulations in both local and cross-border regimes. For example, many countries with significant cross-border flows require distinct paperwork to be collected, validated and recorded as part of currency export compliance for high-value payments. Furthermore, we believe that clients often lack the policies, procedures and systems in order to implement and monitor strict compliance. We believe that the result is often costly and manual review processes, which can also increase the client’s risk of penalties and fines. We endeavor to actively manage the global complexities of regulation for our clients’ payments while implementing innovative solutions intended to make the entire process more efficient and user-friendly.</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shift to software-integrated digital payments is accelerating</w:t>
      </w:r>
    </w:p>
    <w:p>
      <w:pPr>
        <w:spacing w:after="0" w:line="207"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As business and consumer transaction expectations shift with digitization, providers of modern payments platforms with industry-specific software have begun to displace legacy systems. Businesses and consumers have come to expect that all payment flows, especially for high-value services, are settled with the same ease as typical e-commerce purchases. Additionally, we believe the COVID-19 pandemic will serve as a catalyst in accelerating digital transaction volumes as customer preferences continue to shift to contactless, online and mobile. We expect these trends will impact all industries and force many businesses to accept new digital payment methods. We believe fully integrated payments and software solutions, including those provided by us, enable businesses to offer seamless payment experiences, minimize friction at the point-of-sale and respond to evolving customer preferences.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Legacy payment and accounts receivable management infrastructure has significant limitations and is ripe for innovation</w:t>
      </w:r>
    </w:p>
    <w:p>
      <w:pPr>
        <w:spacing w:after="0" w:line="193" w:lineRule="exact"/>
        <w:rPr>
          <w:sz w:val="20"/>
          <w:szCs w:val="20"/>
          <w:color w:val="auto"/>
        </w:rPr>
      </w:pPr>
    </w:p>
    <w:p>
      <w:pPr>
        <w:ind w:left="120" w:right="740" w:firstLine="440"/>
        <w:spacing w:after="0" w:line="246" w:lineRule="auto"/>
        <w:rPr>
          <w:sz w:val="20"/>
          <w:szCs w:val="20"/>
          <w:color w:val="auto"/>
        </w:rPr>
      </w:pPr>
      <w:r>
        <w:rPr>
          <w:rFonts w:ascii="Arial" w:cs="Arial" w:eastAsia="Arial" w:hAnsi="Arial"/>
          <w:sz w:val="18"/>
          <w:szCs w:val="18"/>
          <w:color w:val="auto"/>
        </w:rPr>
        <w:t>Even in some of the largest industries in the world, such as education, healthcare, and travel, legacy payment and accounts receivable infrastructure has not evolved to streamline complexities nor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enhance efficiency as demanded by organizations or their customers. This legacy infrastructure has the following limitations:</w:t>
      </w:r>
    </w:p>
    <w:p>
      <w:pPr>
        <w:spacing w:after="0" w:line="190" w:lineRule="exact"/>
        <w:rPr>
          <w:sz w:val="20"/>
          <w:szCs w:val="20"/>
          <w:color w:val="auto"/>
        </w:rPr>
      </w:pPr>
    </w:p>
    <w:p>
      <w:pPr>
        <w:ind w:left="880" w:hanging="224"/>
        <w:spacing w:after="0" w:line="242"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Paper-based. </w:t>
      </w:r>
      <w:r>
        <w:rPr>
          <w:rFonts w:ascii="Arial" w:cs="Arial" w:eastAsia="Arial" w:hAnsi="Arial"/>
          <w:sz w:val="18"/>
          <w:szCs w:val="18"/>
          <w:color w:val="auto"/>
        </w:rPr>
        <w:t>The accounts receivable process, from creation of an invoice to delivery to the customer, is most often still</w:t>
      </w:r>
      <w:r>
        <w:rPr>
          <w:rFonts w:ascii="Arial" w:cs="Arial" w:eastAsia="Arial" w:hAnsi="Arial"/>
          <w:sz w:val="18"/>
          <w:szCs w:val="18"/>
          <w:b w:val="1"/>
          <w:bCs w:val="1"/>
          <w:color w:val="auto"/>
        </w:rPr>
        <w:t xml:space="preserve"> </w:t>
      </w:r>
      <w:r>
        <w:rPr>
          <w:rFonts w:ascii="Arial" w:cs="Arial" w:eastAsia="Arial" w:hAnsi="Arial"/>
          <w:sz w:val="18"/>
          <w:szCs w:val="18"/>
          <w:color w:val="auto"/>
        </w:rPr>
        <w:t>dependent on paper. This paper-based workflow not only results in payment flows that are slow, error-prone, and less secure, but is also costly for businesses. Organizations that process substantially all of their accounts receivable by automated or electronic means report half the accounts receivable processing costs of those that do not, according to survey data from the American Productivity and Quality Center (APQC). We digitize and automate the accounts receivable process from start to finish, allowing clients to rely on our solutions and save on their accounts receivable transaction and processing costs.</w:t>
      </w:r>
    </w:p>
    <w:p>
      <w:pPr>
        <w:spacing w:after="0" w:line="178" w:lineRule="exact"/>
        <w:rPr>
          <w:rFonts w:ascii="Arial" w:cs="Arial" w:eastAsia="Arial" w:hAnsi="Arial"/>
          <w:sz w:val="18"/>
          <w:szCs w:val="18"/>
          <w:color w:val="auto"/>
        </w:rPr>
      </w:pPr>
    </w:p>
    <w:p>
      <w:pPr>
        <w:ind w:left="880" w:hanging="224"/>
        <w:spacing w:after="0" w:line="242"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Manual. </w:t>
      </w:r>
      <w:r>
        <w:rPr>
          <w:rFonts w:ascii="Arial" w:cs="Arial" w:eastAsia="Arial" w:hAnsi="Arial"/>
          <w:sz w:val="18"/>
          <w:szCs w:val="18"/>
          <w:color w:val="auto"/>
        </w:rPr>
        <w:t>Legacy workflows require manual input of employees at every stage of the accounts receivable process: from opening</w:t>
      </w:r>
      <w:r>
        <w:rPr>
          <w:rFonts w:ascii="Arial" w:cs="Arial" w:eastAsia="Arial" w:hAnsi="Arial"/>
          <w:sz w:val="18"/>
          <w:szCs w:val="18"/>
          <w:b w:val="1"/>
          <w:bCs w:val="1"/>
          <w:color w:val="auto"/>
        </w:rPr>
        <w:t xml:space="preserve"> </w:t>
      </w:r>
      <w:r>
        <w:rPr>
          <w:rFonts w:ascii="Arial" w:cs="Arial" w:eastAsia="Arial" w:hAnsi="Arial"/>
          <w:sz w:val="18"/>
          <w:szCs w:val="18"/>
          <w:color w:val="auto"/>
        </w:rPr>
        <w:t>an envelope, logging the receipt, getting approvals, cashing the check, to proper accounting and compliance. This repetitive employee engagement significantly slows down payment flows, increases likelihood of error, and is more expensive for businesses. Organizations that automatically generate the vast majority of their invoices reported processing almost twice as many invoices per invoicing full-time equivalent (FTE) compared to those that do not, according to survey data from the APQC. Our clients can easily leverage our solutions for traditional back-office tasks, with less manual labor involved from start to finish.</w:t>
      </w:r>
    </w:p>
    <w:p>
      <w:pPr>
        <w:spacing w:after="0" w:line="178" w:lineRule="exact"/>
        <w:rPr>
          <w:rFonts w:ascii="Arial" w:cs="Arial" w:eastAsia="Arial" w:hAnsi="Arial"/>
          <w:sz w:val="18"/>
          <w:szCs w:val="18"/>
          <w:color w:val="auto"/>
        </w:rPr>
      </w:pPr>
    </w:p>
    <w:p>
      <w:pPr>
        <w:ind w:left="880" w:right="380" w:hanging="224"/>
        <w:spacing w:after="0" w:line="244"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Disparate. </w:t>
      </w:r>
      <w:r>
        <w:rPr>
          <w:rFonts w:ascii="Arial" w:cs="Arial" w:eastAsia="Arial" w:hAnsi="Arial"/>
          <w:sz w:val="18"/>
          <w:szCs w:val="18"/>
          <w:color w:val="auto"/>
        </w:rPr>
        <w:t>Many businesses deal with multiple accounting and reconciliation systems to process a single transaction flow.</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APQC survey data, inefficient processing of receivables requires almost 2.5 times as many FTE resources compared to top-performing organizations for the same dollar volume. Instead of relying on stacks of disparate technology systems that were not built to work together in the context of a seamless experience, our clients can use our solutions to automatically synchronize customer transactions while leveraging their existing IT infrastructure.</w:t>
      </w:r>
    </w:p>
    <w:p>
      <w:pPr>
        <w:spacing w:after="0" w:line="176"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Lacking functionality and capabilities that drive value. </w:t>
      </w:r>
      <w:r>
        <w:rPr>
          <w:rFonts w:ascii="Arial" w:cs="Arial" w:eastAsia="Arial" w:hAnsi="Arial"/>
          <w:sz w:val="18"/>
          <w:szCs w:val="18"/>
          <w:color w:val="auto"/>
        </w:rPr>
        <w:t>A large number of businesses attempt to use their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or ERP systems for accounts receivable management. These systems often lack functional and analytical capabilities to calibrate and present optimal payment options that could improve customer experience and maximize client yield on their accounts receivable. In contrast, our predictive analytics capabilities provide valuable insights to help drive business decisions and allow our clients to tailor their offerings. For example, our clients can see when a payment plan may be helpful to one of their customers, allowing them or their customers to initiate a payment plan. This insight and functionality can ultimately increase the speed and frequency of collection and improve customer satisfaction.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Accelerating digitization of B2B payments</w:t>
      </w:r>
    </w:p>
    <w:p>
      <w:pPr>
        <w:spacing w:after="0" w:line="19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believe the B2B payments market remains one of the largest untapped opportunities in the payments industry. In 2020, only 51% of invoices were electronic according to Ardent Partners, and more than one-third of B2B / government to business payments were made by cash or check according to Mastercard. Few payments and software companies have end-to-end integrated payments solutions including accounts receivable software, omni-channel offerings, cross-border capabilities and other value-added services. Most often, providers only offer one or two of these capabilities and require clients to employ other piecemeal point solutions. The unique combination of our next-gen payments platform, proprietary global payment network, and vertical-specific software enables us to design and deliver a comprehensive suite of solutions that help our business clients get paid by their customers.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207"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We believe the trend of digitizing payments is inevitable across all industries. When businesses and consumers make payments, they expect a quick and easy process. On the receiving end, businesses expect to accept payments from different sources and countries, and reconcile them from within one system, but without added complexity or additional costs.</w:t>
      </w:r>
    </w:p>
    <w:p>
      <w:pPr>
        <w:spacing w:after="0" w:line="16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Many industries still lack the digital payments infrastructure that is necessary to meet customer demand and solve operational inefficiencies. For example, the majority of healthcare payments are still made by check. Likewise, in education, budget shortfalls and jobs impacted by the COVID-19 pandemic, along with rising tuition costs, have added financial strain and created collections problems.</w:t>
      </w:r>
    </w:p>
    <w:p>
      <w:pPr>
        <w:spacing w:after="0" w:line="162"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These inefficiencies are costly. According to a study by Deloitte, middle-market businesses incur $3.3 trillion in operational costs when reconciling invoices as a result of inadequate legacy solutions, such as disparate file formats and lack of back-office support for automated remittances.</w:t>
      </w:r>
    </w:p>
    <w:p>
      <w:pPr>
        <w:spacing w:after="0" w:line="176" w:lineRule="exact"/>
        <w:rPr>
          <w:sz w:val="20"/>
          <w:szCs w:val="20"/>
          <w:color w:val="auto"/>
        </w:rPr>
      </w:pPr>
    </w:p>
    <w:p>
      <w:pPr>
        <w:jc w:val="both"/>
        <w:ind w:left="120" w:right="40" w:firstLine="440"/>
        <w:spacing w:after="0" w:line="247" w:lineRule="auto"/>
        <w:rPr>
          <w:sz w:val="20"/>
          <w:szCs w:val="20"/>
          <w:color w:val="auto"/>
        </w:rPr>
      </w:pPr>
      <w:r>
        <w:rPr>
          <w:rFonts w:ascii="Arial" w:cs="Arial" w:eastAsia="Arial" w:hAnsi="Arial"/>
          <w:sz w:val="17"/>
          <w:szCs w:val="17"/>
          <w:color w:val="auto"/>
        </w:rPr>
        <w:t>Despite these shortfalls, the demand for domestic and cross-border money movement continues to accelerate and global payments present one of the largest market opportunities. For the primary industries we currently serve, we estimate the current addressable market for our solutions to be approximately $1.7 trillion in global payment volume, including education ($660 billion)</w:t>
      </w:r>
      <w:r>
        <w:rPr>
          <w:rFonts w:ascii="Arial" w:cs="Arial" w:eastAsia="Arial" w:hAnsi="Arial"/>
          <w:sz w:val="14"/>
          <w:szCs w:val="14"/>
          <w:color w:val="auto"/>
        </w:rPr>
        <w:t>(1)</w:t>
      </w:r>
      <w:r>
        <w:rPr>
          <w:rFonts w:ascii="Arial" w:cs="Arial" w:eastAsia="Arial" w:hAnsi="Arial"/>
          <w:sz w:val="17"/>
          <w:szCs w:val="17"/>
          <w:color w:val="auto"/>
        </w:rPr>
        <w:t>, healthcare ($500 billion)</w:t>
      </w:r>
    </w:p>
    <w:p>
      <w:pPr>
        <w:spacing w:after="0" w:line="1" w:lineRule="exact"/>
        <w:rPr>
          <w:sz w:val="20"/>
          <w:szCs w:val="20"/>
          <w:color w:val="auto"/>
        </w:rPr>
      </w:pPr>
    </w:p>
    <w:p>
      <w:pPr>
        <w:ind w:left="360" w:hanging="244"/>
        <w:spacing w:after="0"/>
        <w:tabs>
          <w:tab w:leader="none" w:pos="360" w:val="left"/>
        </w:tabs>
        <w:numPr>
          <w:ilvl w:val="0"/>
          <w:numId w:val="79"/>
        </w:numPr>
        <w:rPr>
          <w:rFonts w:ascii="Arial" w:cs="Arial" w:eastAsia="Arial" w:hAnsi="Arial"/>
          <w:sz w:val="15"/>
          <w:szCs w:val="15"/>
          <w:color w:val="auto"/>
        </w:rPr>
      </w:pPr>
      <w:r>
        <w:rPr>
          <w:rFonts w:ascii="Arial" w:cs="Arial" w:eastAsia="Arial" w:hAnsi="Arial"/>
          <w:sz w:val="18"/>
          <w:szCs w:val="18"/>
          <w:color w:val="auto"/>
        </w:rPr>
        <w:t>and travel (approximately $530 billion).</w:t>
      </w:r>
      <w:r>
        <w:rPr>
          <w:rFonts w:ascii="Arial" w:cs="Arial" w:eastAsia="Arial" w:hAnsi="Arial"/>
          <w:sz w:val="15"/>
          <w:szCs w:val="15"/>
          <w:color w:val="auto"/>
        </w:rPr>
        <w:t>(3)</w:t>
      </w:r>
    </w:p>
    <w:p>
      <w:pPr>
        <w:spacing w:after="0" w:line="174"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auto"/>
        </w:rPr>
        <w:t>Additionally, our B2B payments offering expands the addressable market for our solutions, which we estimate to be over $10 trillion in addressable B2B payment volume</w:t>
      </w:r>
      <w:r>
        <w:rPr>
          <w:rFonts w:ascii="Arial" w:cs="Arial" w:eastAsia="Arial" w:hAnsi="Arial"/>
          <w:sz w:val="15"/>
          <w:szCs w:val="15"/>
          <w:color w:val="auto"/>
        </w:rPr>
        <w:t>(4)</w:t>
      </w:r>
      <w:r>
        <w:rPr>
          <w:rFonts w:ascii="Arial" w:cs="Arial" w:eastAsia="Arial" w:hAnsi="Arial"/>
          <w:sz w:val="18"/>
          <w:szCs w:val="18"/>
          <w:color w:val="auto"/>
        </w:rPr>
        <w:t>. Given Flywire’s existing penetration of key verticals, ability to integrate with a broad range of core systems and continued investments in our next-gen payments platform, proprietary global payment network, and vertical-specific software, we believe we have the opportunity to capture a meaningful share of this payment volume.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Strategy</w:t>
      </w:r>
    </w:p>
    <w:p>
      <w:pPr>
        <w:spacing w:after="0" w:line="207"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We believe we have a significant opportunity to build on our success and momentum to date. The key elements of our growth strategy include: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Our Client Reach</w:t>
      </w:r>
    </w:p>
    <w:p>
      <w:pPr>
        <w:spacing w:after="0" w:line="212" w:lineRule="exact"/>
        <w:rPr>
          <w:sz w:val="20"/>
          <w:szCs w:val="20"/>
          <w:color w:val="auto"/>
        </w:rPr>
      </w:pPr>
    </w:p>
    <w:p>
      <w:pPr>
        <w:ind w:left="880" w:right="20" w:hanging="224"/>
        <w:spacing w:after="0" w:line="242" w:lineRule="auto"/>
        <w:tabs>
          <w:tab w:leader="none" w:pos="880" w:val="left"/>
        </w:tabs>
        <w:numPr>
          <w:ilvl w:val="1"/>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Grow with existing clients. </w:t>
      </w:r>
      <w:r>
        <w:rPr>
          <w:rFonts w:ascii="Arial" w:cs="Arial" w:eastAsia="Arial" w:hAnsi="Arial"/>
          <w:sz w:val="18"/>
          <w:szCs w:val="18"/>
          <w:color w:val="auto"/>
        </w:rPr>
        <w:t>We intend to continue to become a more integral part of our clients’ businesses as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our clients’ customers who utilize our solutions increases. Our track record of organic growth with our clients is demonstrated by our net dollar-based retention rate, which was approximately 126% and 128% in 2018 and 2019, respectively and 100% in 2020, despite the impact of the COVID-19 pandemic on our clients and the industries we serve. As our clients transform and digitize their operational workflows, we plan to encourage them to add additional solutions, such as tailored invoicing, payment plans, and eStore marketplace.</w:t>
      </w:r>
    </w:p>
    <w:p>
      <w:pPr>
        <w:spacing w:after="0" w:line="178" w:lineRule="exact"/>
        <w:rPr>
          <w:rFonts w:ascii="Arial" w:cs="Arial" w:eastAsia="Arial" w:hAnsi="Arial"/>
          <w:sz w:val="18"/>
          <w:szCs w:val="18"/>
          <w:color w:val="auto"/>
        </w:rPr>
      </w:pPr>
    </w:p>
    <w:p>
      <w:pPr>
        <w:jc w:val="both"/>
        <w:ind w:left="880" w:right="180" w:hanging="224"/>
        <w:spacing w:after="0" w:line="253" w:lineRule="auto"/>
        <w:tabs>
          <w:tab w:leader="none" w:pos="880" w:val="left"/>
        </w:tabs>
        <w:numPr>
          <w:ilvl w:val="1"/>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Continue to win new clients. </w:t>
      </w:r>
      <w:r>
        <w:rPr>
          <w:rFonts w:ascii="Arial" w:cs="Arial" w:eastAsia="Arial" w:hAnsi="Arial"/>
          <w:sz w:val="18"/>
          <w:szCs w:val="18"/>
          <w:color w:val="auto"/>
        </w:rPr>
        <w:t>We plan to expand our sales and marketing efforts to increase brand awareness and highlight</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our solutions. We believe this will attract new clients to Flywire and as we add more clients, we can accelerate the effects of our flywheel.</w:t>
      </w:r>
    </w:p>
    <w:p>
      <w:pPr>
        <w:spacing w:after="0" w:line="169" w:lineRule="exact"/>
        <w:rPr>
          <w:rFonts w:ascii="Arial" w:cs="Arial" w:eastAsia="Arial" w:hAnsi="Arial"/>
          <w:sz w:val="18"/>
          <w:szCs w:val="18"/>
          <w:color w:val="auto"/>
        </w:rPr>
      </w:pPr>
    </w:p>
    <w:p>
      <w:pPr>
        <w:ind w:left="440" w:right="220" w:hanging="324"/>
        <w:spacing w:after="0" w:line="182" w:lineRule="auto"/>
        <w:tabs>
          <w:tab w:leader="none" w:pos="440" w:val="left"/>
        </w:tabs>
        <w:numPr>
          <w:ilvl w:val="0"/>
          <w:numId w:val="80"/>
        </w:numPr>
        <w:rPr>
          <w:rFonts w:ascii="Arial" w:cs="Arial" w:eastAsia="Arial" w:hAnsi="Arial"/>
          <w:sz w:val="23"/>
          <w:szCs w:val="23"/>
          <w:color w:val="auto"/>
          <w:vertAlign w:val="superscript"/>
        </w:rPr>
      </w:pPr>
      <w:r>
        <w:rPr>
          <w:rFonts w:ascii="Arial" w:cs="Arial" w:eastAsia="Arial" w:hAnsi="Arial"/>
          <w:sz w:val="14"/>
          <w:szCs w:val="14"/>
          <w:color w:val="auto"/>
        </w:rPr>
        <w:t>Based on net household payments to educational institutions in OECD countries in 2020 according to the Organisation for Economic Co-operation and Development and payments made to private education institutions in Southeast Asia in 2015 according to EY Parthenon.</w:t>
      </w:r>
    </w:p>
    <w:p>
      <w:pPr>
        <w:spacing w:after="0" w:line="1" w:lineRule="exact"/>
        <w:rPr>
          <w:rFonts w:ascii="Arial" w:cs="Arial" w:eastAsia="Arial" w:hAnsi="Arial"/>
          <w:sz w:val="23"/>
          <w:szCs w:val="23"/>
          <w:color w:val="auto"/>
          <w:vertAlign w:val="superscript"/>
        </w:rPr>
      </w:pPr>
    </w:p>
    <w:p>
      <w:pPr>
        <w:ind w:left="440" w:right="240" w:hanging="324"/>
        <w:spacing w:after="0" w:line="182" w:lineRule="auto"/>
        <w:tabs>
          <w:tab w:leader="none" w:pos="440" w:val="left"/>
        </w:tabs>
        <w:numPr>
          <w:ilvl w:val="0"/>
          <w:numId w:val="80"/>
        </w:numPr>
        <w:rPr>
          <w:rFonts w:ascii="Arial" w:cs="Arial" w:eastAsia="Arial" w:hAnsi="Arial"/>
          <w:sz w:val="23"/>
          <w:szCs w:val="23"/>
          <w:color w:val="auto"/>
          <w:vertAlign w:val="superscript"/>
        </w:rPr>
      </w:pPr>
      <w:r>
        <w:rPr>
          <w:rFonts w:ascii="Arial" w:cs="Arial" w:eastAsia="Arial" w:hAnsi="Arial"/>
          <w:sz w:val="14"/>
          <w:szCs w:val="14"/>
          <w:color w:val="auto"/>
        </w:rPr>
        <w:t>Based on U.S. out of pocket healthcare spending in 2019 according to the Centers for Medicare &amp; Medicaid Services and cross-border healthcare payments in 2020 according to Patients Without Borders.</w:t>
      </w:r>
    </w:p>
    <w:p>
      <w:pPr>
        <w:spacing w:after="0" w:line="1" w:lineRule="exact"/>
        <w:rPr>
          <w:rFonts w:ascii="Arial" w:cs="Arial" w:eastAsia="Arial" w:hAnsi="Arial"/>
          <w:sz w:val="23"/>
          <w:szCs w:val="23"/>
          <w:color w:val="auto"/>
          <w:vertAlign w:val="superscript"/>
        </w:rPr>
      </w:pPr>
    </w:p>
    <w:p>
      <w:pPr>
        <w:ind w:left="440" w:right="280" w:hanging="324"/>
        <w:spacing w:after="0" w:line="182" w:lineRule="auto"/>
        <w:tabs>
          <w:tab w:leader="none" w:pos="440" w:val="left"/>
        </w:tabs>
        <w:numPr>
          <w:ilvl w:val="0"/>
          <w:numId w:val="80"/>
        </w:numPr>
        <w:rPr>
          <w:rFonts w:ascii="Arial" w:cs="Arial" w:eastAsia="Arial" w:hAnsi="Arial"/>
          <w:sz w:val="23"/>
          <w:szCs w:val="23"/>
          <w:color w:val="auto"/>
          <w:vertAlign w:val="superscript"/>
        </w:rPr>
      </w:pPr>
      <w:r>
        <w:rPr>
          <w:rFonts w:ascii="Arial" w:cs="Arial" w:eastAsia="Arial" w:hAnsi="Arial"/>
          <w:sz w:val="14"/>
          <w:szCs w:val="14"/>
          <w:color w:val="auto"/>
        </w:rPr>
        <w:t>Based on global travel industry revenue in 2020 according to IBISWorld and management’s estimates that approximately 41% of the non-business and professional travel payment volume is addressable by our solutions.</w:t>
      </w:r>
    </w:p>
    <w:p>
      <w:pPr>
        <w:spacing w:after="0" w:line="1" w:lineRule="exact"/>
        <w:rPr>
          <w:rFonts w:ascii="Arial" w:cs="Arial" w:eastAsia="Arial" w:hAnsi="Arial"/>
          <w:sz w:val="23"/>
          <w:szCs w:val="23"/>
          <w:color w:val="auto"/>
          <w:vertAlign w:val="superscript"/>
        </w:rPr>
      </w:pPr>
    </w:p>
    <w:p>
      <w:pPr>
        <w:ind w:left="440" w:right="380" w:hanging="324"/>
        <w:spacing w:after="0" w:line="183" w:lineRule="auto"/>
        <w:tabs>
          <w:tab w:leader="none" w:pos="440" w:val="left"/>
        </w:tabs>
        <w:numPr>
          <w:ilvl w:val="0"/>
          <w:numId w:val="80"/>
        </w:numPr>
        <w:rPr>
          <w:rFonts w:ascii="Arial" w:cs="Arial" w:eastAsia="Arial" w:hAnsi="Arial"/>
          <w:sz w:val="24"/>
          <w:szCs w:val="24"/>
          <w:color w:val="auto"/>
          <w:vertAlign w:val="superscript"/>
        </w:rPr>
      </w:pPr>
      <w:r>
        <w:rPr>
          <w:rFonts w:ascii="Arial" w:cs="Arial" w:eastAsia="Arial" w:hAnsi="Arial"/>
          <w:sz w:val="14"/>
          <w:szCs w:val="14"/>
          <w:color w:val="auto"/>
        </w:rPr>
        <w:t>Based on cross-border B2B inflows revenue in 2020 according to Juniper and management’s estimates that at least 75% of total B2B payment volume is made by medium to large businesses and is potentially addressable by our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-865505</wp:posOffset>
            </wp:positionV>
            <wp:extent cx="7715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right="100" w:hanging="224"/>
        <w:spacing w:after="0" w:line="247"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Increase payments platform monetization. </w:t>
      </w:r>
      <w:r>
        <w:rPr>
          <w:rFonts w:ascii="Arial" w:cs="Arial" w:eastAsia="Arial" w:hAnsi="Arial"/>
          <w:sz w:val="18"/>
          <w:szCs w:val="18"/>
          <w:color w:val="auto"/>
        </w:rPr>
        <w:t>We have the opportunity to offer additional complementary payment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our clients’ customers in support of our clients’ business goals. We intend to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by expanding the number of use cases we can address such as handling payables in education, business invoices in hospitals, and commissions in travel.</w:t>
      </w:r>
    </w:p>
    <w:p>
      <w:pPr>
        <w:spacing w:after="0" w:line="173" w:lineRule="exact"/>
        <w:rPr>
          <w:rFonts w:ascii="Arial" w:cs="Arial" w:eastAsia="Arial" w:hAnsi="Arial"/>
          <w:sz w:val="18"/>
          <w:szCs w:val="18"/>
          <w:color w:val="auto"/>
        </w:rPr>
      </w:pPr>
    </w:p>
    <w:p>
      <w:pPr>
        <w:ind w:left="880" w:right="120" w:hanging="224"/>
        <w:spacing w:after="0" w:line="247"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Expand our solution portfolio. </w:t>
      </w:r>
      <w:r>
        <w:rPr>
          <w:rFonts w:ascii="Arial" w:cs="Arial" w:eastAsia="Arial" w:hAnsi="Arial"/>
          <w:sz w:val="18"/>
          <w:szCs w:val="18"/>
          <w:color w:val="auto"/>
        </w:rPr>
        <w:t>We expect to continue investing in our solution portfolio by expanding the breadth and depth</w:t>
      </w:r>
      <w:r>
        <w:rPr>
          <w:rFonts w:ascii="Arial" w:cs="Arial" w:eastAsia="Arial" w:hAnsi="Arial"/>
          <w:sz w:val="18"/>
          <w:szCs w:val="18"/>
          <w:b w:val="1"/>
          <w:bCs w:val="1"/>
          <w:color w:val="auto"/>
        </w:rPr>
        <w:t xml:space="preserve"> </w:t>
      </w:r>
      <w:r>
        <w:rPr>
          <w:rFonts w:ascii="Arial" w:cs="Arial" w:eastAsia="Arial" w:hAnsi="Arial"/>
          <w:sz w:val="18"/>
          <w:szCs w:val="18"/>
          <w:color w:val="auto"/>
        </w:rPr>
        <w:t>of our payments and software capabilities. For example, over the last year, we introduced various new solutions to help our clients better meet the needs of their customers including pre-service capabilities in healthcare and international payment plans in education.</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Our Ecosystem Through Channel Partnerships</w:t>
      </w:r>
    </w:p>
    <w:p>
      <w:pPr>
        <w:spacing w:after="0" w:line="19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While the majority of our clients to date have been acquired by our direct sales team, we expect that continued engagement with channel partners, including financial institutions and providers of enterprise software solutions in our key verticals, will enhance our client acquisition efforts and drive continued growth. We also believe our channel partners, which include consultants specialized in our industry verticals, will help amplify the reach and visibility of our solutions to clients worldwide.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to New Verticals and Geographies</w:t>
      </w:r>
    </w:p>
    <w:p>
      <w:pPr>
        <w:spacing w:after="0" w:line="189"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color w:val="auto"/>
        </w:rPr>
        <w:t xml:space="preserve">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to scale into new verticals and geographic markets. We have a strong track record of expanding efficiently into new verticals and geographic markets, as we have shown in healthcare, travel, and B2B payments and in the expanded reach of our global payment network. We see a large and significantly underserved opportunity for clients domestically and internationally to benefit from our payments platform, global payment network and vertical-specific software. Additionally, there are other industries, including real estate and government taxes, that we believe are poorly digitized and could benefit from our solutions.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Pursue Strategic and Value-Enhancing Acquisitions</w:t>
      </w:r>
    </w:p>
    <w:p>
      <w:pPr>
        <w:spacing w:after="0" w:line="19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intend to continue to complement and accelerate our organic growth strategies through acquisitions. We have a successful record of identifying, executing, and integrating acquisitions, and we intend to continue to pursue acquisitions through a highly disciplined approach. We also have the scale to be an attractive and reputable consolidator in the payments markets as evidenced by our ability to retain nearly all of the clients and employees from our UniPay, OnPlan, and Simplee acquisitions. We believe our approach and breadth of experience in integrating culturally-aligned businesses position us to maximize the value we derive from future acquisitions.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Flywire Culture and Team</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organization, our culture is founded on our shared experiences, unique and diverse</w:t>
      </w:r>
    </w:p>
    <w:p>
      <w:pPr>
        <w:ind w:left="120"/>
        <w:spacing w:after="0" w:line="234" w:lineRule="auto"/>
        <w:rPr>
          <w:sz w:val="20"/>
          <w:szCs w:val="20"/>
          <w:color w:val="auto"/>
        </w:rPr>
      </w:pPr>
      <w:r>
        <w:rPr>
          <w:rFonts w:ascii="Arial" w:cs="Arial" w:eastAsia="Arial" w:hAnsi="Arial"/>
          <w:sz w:val="18"/>
          <w:szCs w:val="18"/>
          <w:color w:val="auto"/>
        </w:rPr>
        <w:t>backgrounds, and belief in our mission to deliver on the most important and complex payments. As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collective team of over 500 FlyMates, we strive for excellence as one team, guided by our core values, including:</w:t>
      </w:r>
    </w:p>
    <w:p>
      <w:pPr>
        <w:spacing w:after="0" w:line="190" w:lineRule="exact"/>
        <w:rPr>
          <w:sz w:val="20"/>
          <w:szCs w:val="20"/>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Global collaboration. </w:t>
      </w:r>
      <w:r>
        <w:rPr>
          <w:rFonts w:ascii="Arial" w:cs="Arial" w:eastAsia="Arial" w:hAnsi="Arial"/>
          <w:sz w:val="18"/>
          <w:szCs w:val="18"/>
          <w:color w:val="auto"/>
        </w:rPr>
        <w:t>We believe in teamwork.</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Authenticity. </w:t>
      </w:r>
      <w:r>
        <w:rPr>
          <w:rFonts w:ascii="Arial" w:cs="Arial" w:eastAsia="Arial" w:hAnsi="Arial"/>
          <w:sz w:val="18"/>
          <w:szCs w:val="18"/>
          <w:color w:val="auto"/>
        </w:rPr>
        <w:t>We never compromise on integrity, honesty, and kindness.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Fulfillment. </w:t>
      </w:r>
      <w:r>
        <w:rPr>
          <w:rFonts w:ascii="Arial" w:cs="Arial" w:eastAsia="Arial" w:hAnsi="Arial"/>
          <w:sz w:val="18"/>
          <w:szCs w:val="18"/>
          <w:color w:val="auto"/>
        </w:rPr>
        <w:t>We strive for personal and professional satisfaction.</w:t>
      </w:r>
    </w:p>
    <w:p>
      <w:pPr>
        <w:spacing w:after="0" w:line="211" w:lineRule="exact"/>
        <w:rPr>
          <w:rFonts w:ascii="Arial" w:cs="Arial" w:eastAsia="Arial" w:hAnsi="Arial"/>
          <w:sz w:val="18"/>
          <w:szCs w:val="18"/>
          <w:color w:val="auto"/>
        </w:rPr>
      </w:pPr>
    </w:p>
    <w:p>
      <w:pPr>
        <w:ind w:left="5480" w:right="3640" w:hanging="4824"/>
        <w:spacing w:after="0" w:line="443" w:lineRule="auto"/>
        <w:tabs>
          <w:tab w:leader="none" w:pos="878"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Execution. </w:t>
      </w:r>
      <w:r>
        <w:rPr>
          <w:rFonts w:ascii="Arial" w:cs="Arial" w:eastAsia="Arial" w:hAnsi="Arial"/>
          <w:sz w:val="18"/>
          <w:szCs w:val="18"/>
          <w:color w:val="auto"/>
        </w:rPr>
        <w:t>We accomplish our goals through collective support and accountability.</w:t>
      </w:r>
      <w:r>
        <w:rPr>
          <w:rFonts w:ascii="Arial" w:cs="Arial" w:eastAsia="Arial" w:hAnsi="Arial"/>
          <w:sz w:val="18"/>
          <w:szCs w:val="18"/>
          <w:b w:val="1"/>
          <w:bCs w:val="1"/>
          <w:color w:val="auto"/>
        </w:rPr>
        <w:t xml:space="preserve"> </w:t>
      </w: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Ambitious innovation. </w:t>
      </w:r>
      <w:r>
        <w:rPr>
          <w:rFonts w:ascii="Arial" w:cs="Arial" w:eastAsia="Arial" w:hAnsi="Arial"/>
          <w:sz w:val="18"/>
          <w:szCs w:val="18"/>
          <w:color w:val="auto"/>
        </w:rPr>
        <w:t>We continuously look to deliver more and new value to all our constituents.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Evolved learning. </w:t>
      </w:r>
      <w:r>
        <w:rPr>
          <w:rFonts w:ascii="Arial" w:cs="Arial" w:eastAsia="Arial" w:hAnsi="Arial"/>
          <w:sz w:val="18"/>
          <w:szCs w:val="18"/>
          <w:color w:val="auto"/>
        </w:rPr>
        <w:t>We believe in new challenges and constant growth.</w:t>
      </w:r>
    </w:p>
    <w:p>
      <w:pPr>
        <w:spacing w:after="0" w:line="207" w:lineRule="exact"/>
        <w:rPr>
          <w:sz w:val="20"/>
          <w:szCs w:val="20"/>
          <w:color w:val="auto"/>
        </w:rPr>
      </w:pPr>
    </w:p>
    <w:p>
      <w:pPr>
        <w:ind w:left="120" w:right="2840" w:firstLine="440"/>
        <w:spacing w:after="0" w:line="248" w:lineRule="auto"/>
        <w:rPr>
          <w:sz w:val="20"/>
          <w:szCs w:val="20"/>
          <w:color w:val="auto"/>
        </w:rPr>
      </w:pPr>
      <w:r>
        <w:rPr>
          <w:rFonts w:ascii="Arial" w:cs="Arial" w:eastAsia="Arial" w:hAnsi="Arial"/>
          <w:sz w:val="17"/>
          <w:szCs w:val="17"/>
          <w:color w:val="auto"/>
        </w:rPr>
        <w:t>Our leadership team defines our culture and strategy and collectively has decades of experience leading companies through rapid growth at scale. Representing approximately 40 nationalities and</w:t>
      </w:r>
    </w:p>
    <w:p>
      <w:pPr>
        <w:spacing w:after="0" w:line="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spoken languages, our diverse team of FlyMates deliver critical domain expertise and regionally tailored skill sets to our clients 24x7. We believe our team’s relentless client focus and adherence to our shared values are evident in our NPS of 64, and will continue to define our future success.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w:t>
      </w:r>
    </w:p>
    <w:p>
      <w:pPr>
        <w:spacing w:after="0" w:line="19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We derive revenue from transactions and platform and usage-based fees. Each new student tuition bill, patient visit, travel journey and business invoice, is an opportunity for us to generate fees.</w:t>
      </w:r>
    </w:p>
    <w:p>
      <w:pPr>
        <w:spacing w:after="0" w:line="170"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Our revenue is highly re-occurring in nature due to the mission-critical nature of our solutions that are deeply integrated within our clients’ existing operating workflows and IT infrastructure. We believe the depth and breadth of our solutions help our clients get paid faster and with less friction. This enables us to develop long-standing relationships with our clients, which in turn also drive strong retention and significant cross-selling opportunities.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 Illustration of Our Solution</w:t>
      </w:r>
    </w:p>
    <w:p>
      <w:pPr>
        <w:spacing w:after="0" w:line="193"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simplify domestic and cross-border payment transactions for our clients by eliminating the need to work with disparate vendors for invoicing, global pay-in and pay-out, compliance and risk management and more. Through a single connection to Flywire, we enable our clients to securely accept and reconcile payments and engage with their customers. The illustrations below depict how Flywire manages both international and domestic payments for a representative education client.</w:t>
      </w:r>
    </w:p>
    <w:p>
      <w:pPr>
        <w:spacing w:after="0" w:line="156"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b w:val="1"/>
          <w:bCs w:val="1"/>
          <w:i w:val="1"/>
          <w:iCs w:val="1"/>
          <w:color w:val="auto"/>
        </w:rPr>
        <w:t>International Payment Example</w:t>
      </w:r>
      <w:r>
        <w:rPr>
          <w:rFonts w:ascii="Arial" w:cs="Arial" w:eastAsia="Arial" w:hAnsi="Arial"/>
          <w:sz w:val="18"/>
          <w:szCs w:val="18"/>
          <w:color w:val="auto"/>
        </w:rPr>
        <w:t>: In the first example below, a Chinese student paying their tuition to a Canadian university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experiences a seamless process from start to finish—choosing their preferred payment method and currency. For our client, the accounts receivable process is automated and streamlined from invoice to receipt and to reconciliation and real-time ERP updates. For our cross-border payments, we have short term foreign exchange exposure, typically between one and four days; we leverage our in-house currency hedging algorithms, and enter into non-deliverable forward foreign currency contracts, to mitigate the volatility related to fluctuations in the foreign exchange rates. For additional discussion about our foreign exchange exposure, please see “Management’s Discussion and Analysis of Financial Condition and Results of Operations - Quantitative and Qualitative Disclosures About Market Risk”.</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60"/>
          </w:cols>
          <w:pgMar w:left="320" w:top="459" w:right="5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b w:val="1"/>
          <w:bCs w:val="1"/>
          <w:i w:val="1"/>
          <w:iCs w:val="1"/>
          <w:color w:val="auto"/>
        </w:rPr>
        <w:t>Domestic Payment Example</w:t>
      </w:r>
      <w:r>
        <w:rPr>
          <w:rFonts w:ascii="Arial" w:cs="Arial" w:eastAsia="Arial" w:hAnsi="Arial"/>
          <w:sz w:val="18"/>
          <w:szCs w:val="18"/>
          <w:color w:val="auto"/>
        </w:rPr>
        <w:t>: The example below illustrates the process of offering payment plans to domestic students,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set up by either the school or the student.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111760</wp:posOffset>
            </wp:positionV>
            <wp:extent cx="4046220" cy="26657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04622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From the same payments platform, we manage the entire payment process for our clients with the only difference being the type of payment offering selected to meet the needs of their customers, whether that be international or domestic.</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940"/>
          </w:cols>
          <w:pgMar w:left="320" w:top="459" w:right="6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Go-To-Market Strategy</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direct sales channel is core to our go-to-market strategy. We believe that regional, vertical, and broader domain expertise, as well as continued client management, are critical to our sales success. Our regional sales teams are located in the United States, Canada, Latin America, Europe, and the Asia Pacific region including Singapore, Japan, and Australia. Our relationship management team augments direct sales capabilities by cultivating existing relationships and identifying cross-sell and up-sell opportunities of additional solutions, contributing to our strong dollar-based net retention rate. We believe that our ability to understand the nuanced pain points of education, healthcare, and travel accounts receivable is a strategic advantage enabling us to gain clients in those verticals, while our broader domain expertise in payments, treasury, and banking is critical to executing on our broader B2B payments expansion.</w:t>
      </w:r>
    </w:p>
    <w:p>
      <w:pPr>
        <w:spacing w:after="0" w:line="16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focus our sales and marketing efforts on generating leads to develop our sales pipeline, building brand and vertical awareness, scaling our network of partners, and growing our business from our existing client base. Our sales leads primarily come through inbound digital channels including our website, content marketing efforts, lead generation and account-based marketing tactics, virtual events, and industry trade shows and associations.</w:t>
      </w:r>
    </w:p>
    <w:p>
      <w:pPr>
        <w:spacing w:after="0" w:line="164"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typically follow a “land-and-expand” strategy as our clients engage with us on more than one solution as we grow our partnership. For example, in education we have a high success rate expanding beyond solving cross-border payments needs, with clients also adopting our domestic solutions or full-suite enterprise solution. Once our clients experience the depth of our ability to handle their multi-faceted accounts receivable and payments needs, our relationship managers are able to successfully cross-sell and up-sell other solutions, creating a large avenue of revenue generation with minimal incremental acquisition cost.</w:t>
      </w:r>
    </w:p>
    <w:p>
      <w:pPr>
        <w:spacing w:after="0" w:line="175"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We also reach clients indirectly through our channel partnerships, integrations with workflow software, and other technology providers. Our channel partners include financial institutions, such as Bank of America Corporation, as well as a number of referral partners such as Tribal Group and Cerner Corporation. Additionally, Flywire has integrations with leading accounting and ERP systems, such as Oracle Corporation, Ellucian Company, L.P., Epic Systems Corporation and Rezdy Pty Ltd.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 and Architecture</w:t>
      </w:r>
    </w:p>
    <w:p>
      <w:pPr>
        <w:spacing w:after="0" w:line="175" w:lineRule="exact"/>
        <w:rPr>
          <w:sz w:val="20"/>
          <w:szCs w:val="20"/>
          <w:color w:val="auto"/>
        </w:rPr>
      </w:pPr>
    </w:p>
    <w:p>
      <w:pPr>
        <w:ind w:left="120" w:right="160" w:firstLine="440"/>
        <w:spacing w:after="0" w:line="245" w:lineRule="auto"/>
        <w:rPr>
          <w:sz w:val="20"/>
          <w:szCs w:val="20"/>
          <w:color w:val="auto"/>
        </w:rPr>
      </w:pPr>
      <w:r>
        <w:rPr>
          <w:rFonts w:ascii="Arial" w:cs="Arial" w:eastAsia="Arial" w:hAnsi="Arial"/>
          <w:sz w:val="18"/>
          <w:szCs w:val="18"/>
          <w:color w:val="auto"/>
        </w:rPr>
        <w:t xml:space="preserve">Our unified technology is at the core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The scale and complexity of the product implementation challenges that we address for our clients and their customers cannot easily be addressed through today’s legacy systems and outdated infrastructure. Instead, it requires our combination of a modern technology stack, cloud-native infrastructure, and investment in product and engineering management talent.</w:t>
      </w:r>
    </w:p>
    <w:p>
      <w:pPr>
        <w:spacing w:after="0" w:line="172"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Our engineering approach includes a DevOps culture, microservice architecture, continuous delivery, and the use of containers to enable shorter development lifecycles. We also operate independently-deployable services that are critical to supporting verticals and reliability across operating environments. Our product and engineering leadership team has a long history of payments and payments technology experience, with domain expertise across our verticals.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technology stack is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134620</wp:posOffset>
            </wp:positionV>
            <wp:extent cx="4371975" cy="30175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7197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Payments-as-a-Service</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next-gen payments platform includes the infrastructure required to support more than just simple money flows:</w:t>
      </w:r>
    </w:p>
    <w:p>
      <w:pPr>
        <w:spacing w:after="0" w:line="190" w:lineRule="exact"/>
        <w:rPr>
          <w:sz w:val="20"/>
          <w:szCs w:val="20"/>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Payment services</w:t>
      </w:r>
      <w:r>
        <w:rPr>
          <w:rFonts w:ascii="Arial" w:cs="Arial" w:eastAsia="Arial" w:hAnsi="Arial"/>
          <w:sz w:val="18"/>
          <w:szCs w:val="18"/>
          <w:color w:val="auto"/>
        </w:rPr>
        <w:t>.  Our technology to capture the payment from our clients’ customers.</w:t>
      </w:r>
    </w:p>
    <w:p>
      <w:pPr>
        <w:spacing w:after="0" w:line="211" w:lineRule="exact"/>
        <w:rPr>
          <w:rFonts w:ascii="Arial" w:cs="Arial" w:eastAsia="Arial" w:hAnsi="Arial"/>
          <w:sz w:val="18"/>
          <w:szCs w:val="18"/>
          <w:color w:val="auto"/>
        </w:rPr>
      </w:pPr>
    </w:p>
    <w:p>
      <w:pPr>
        <w:ind w:left="880" w:right="220" w:hanging="224"/>
        <w:spacing w:after="0" w:line="271"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Enabling services</w:t>
      </w:r>
      <w:r>
        <w:rPr>
          <w:rFonts w:ascii="Arial" w:cs="Arial" w:eastAsia="Arial" w:hAnsi="Arial"/>
          <w:sz w:val="18"/>
          <w:szCs w:val="18"/>
          <w:color w:val="auto"/>
        </w:rPr>
        <w:t>. Our proprietary pricing engine, foreign currency exchange hedging infrastructure, and ML technology to</w:t>
      </w:r>
      <w:r>
        <w:rPr>
          <w:rFonts w:ascii="Arial" w:cs="Arial" w:eastAsia="Arial" w:hAnsi="Arial"/>
          <w:sz w:val="18"/>
          <w:szCs w:val="18"/>
          <w:b w:val="1"/>
          <w:bCs w:val="1"/>
          <w:color w:val="auto"/>
        </w:rPr>
        <w:t xml:space="preserve"> </w:t>
      </w:r>
      <w:r>
        <w:rPr>
          <w:rFonts w:ascii="Arial" w:cs="Arial" w:eastAsia="Arial" w:hAnsi="Arial"/>
          <w:sz w:val="18"/>
          <w:szCs w:val="18"/>
          <w:color w:val="auto"/>
        </w:rPr>
        <w:t>manage fraud and anti-money laundering risk.</w:t>
      </w:r>
    </w:p>
    <w:p>
      <w:pPr>
        <w:spacing w:after="0" w:line="153"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Transaction processing services</w:t>
      </w:r>
      <w:r>
        <w:rPr>
          <w:rFonts w:ascii="Arial" w:cs="Arial" w:eastAsia="Arial" w:hAnsi="Arial"/>
          <w:sz w:val="18"/>
          <w:szCs w:val="18"/>
          <w:color w:val="auto"/>
        </w:rPr>
        <w:t>. Our routing capabilities enabled by our automated technology to deliver on-time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appropriate destination.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Software-as-a-Service</w:t>
      </w:r>
    </w:p>
    <w:p>
      <w:pPr>
        <w:spacing w:after="0" w:line="20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Our vertical-specific software leverages our payments platform to provide industry specific solutions and deliver “last mile” connectivity to our clients’ operating systems and their customers. Our applications address complex billing and domestic and cross-border payment processes, while delivering a near seamless payment experience. Additionally, our personalization engine, delivered as a software solution and leverages our AI and ML and deep analytics systems.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API</w:t>
      </w:r>
    </w:p>
    <w:p>
      <w:pPr>
        <w:spacing w:after="0" w:line="19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recently launched a direct public API that sits on top of our payments platform. For organizations of all sizes, from smaller businesses to larger enterprises who want to control the customer experience, we can expose our API for easy integration, significantly reducing the time to realize advantages from the use of our solution. This public API capability significantly enhances our ability to scale and to execute on our growth strategies.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9"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Our technology is designed for speed, resilience and reliability. We believe we demonstrated our ability to scale when we entered the broader B2B market and were able to leverage engineering solutions and APIs in our other verticals, including a native module integrated into NetSuite. Our technology enables us to process transactions in real-time, regardless of origin, destination or amount. For example, in education our deep, customized integrations within our clients’ systems can lead to the difference between on-time enrollment or missed registrations—a difference that cannot be delivered through batch processes that are not posted instantaneously. We leverage AWS for our cloud redundancy, and tools such as Site24x7, Pingdom, Cloudflare, and PagerDuty for an uninterrupted experience for our clients.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Compliance and Risk Management Foundation</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have a dedicated compliance and risk management function. We have implemented the practices to help us protect our business and assure our clients and payment partners that our processes are compliant and meet or exceed their exacting standards, including advanced and agile practices for risk governance and a monitoring program that leverages key data inputs and software. We have robust AML, suspicious activity reports (SARs) and client KYC procedures. We also devote considerable resources to our data and cyber security. In addition, we possess key certifications across the verticals we serve, which we believe is an important aspect of why our clients choose to work with us. These audit-tested certifications and risk program features, which in many cases apply with specificity to the verticals we serve, include: third party certifications for Service Organization Control 2. Payment Card Industry Data Security Standard (PCI DSS), and Americans with Disabilities Act (ADA) compliance, as well as systems and processes designed to ensure compliance with the GDPR in Europe, the California Consumer Protection Act (CCPA), the Personal Information Protection and Electronic Documents Act in Canada, FERPA, and HIPAA, among others.</w:t>
      </w:r>
    </w:p>
    <w:p>
      <w:pPr>
        <w:spacing w:after="0" w:line="165"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Our experienced team, coupled with our advanced technology and software tools, helps us navigate the challenges of global payments in a compliant manner:</w:t>
      </w:r>
    </w:p>
    <w:p>
      <w:pPr>
        <w:spacing w:after="0" w:line="175" w:lineRule="exact"/>
        <w:rPr>
          <w:sz w:val="20"/>
          <w:szCs w:val="20"/>
          <w:color w:val="auto"/>
        </w:rPr>
      </w:pPr>
    </w:p>
    <w:p>
      <w:pPr>
        <w:ind w:left="880" w:right="300" w:hanging="224"/>
        <w:spacing w:after="0" w:line="253"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Local and global regulatory regimes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We believe we are able to react nimbly to global and local regulatory changes that affect our business. For example, we managed potential Brexit implications and were able to obtain additional licensing in Europe so that our critical services to our clients and their customers would not be impacted.</w:t>
      </w:r>
    </w:p>
    <w:p>
      <w:pPr>
        <w:spacing w:after="0" w:line="163" w:lineRule="exact"/>
        <w:rPr>
          <w:rFonts w:ascii="Arial" w:cs="Arial" w:eastAsia="Arial" w:hAnsi="Arial"/>
          <w:sz w:val="18"/>
          <w:szCs w:val="18"/>
          <w:color w:val="auto"/>
        </w:rPr>
      </w:pPr>
    </w:p>
    <w:p>
      <w:pPr>
        <w:ind w:left="880" w:right="100"/>
        <w:spacing w:after="0" w:line="238" w:lineRule="auto"/>
        <w:rPr>
          <w:rFonts w:ascii="Arial" w:cs="Arial" w:eastAsia="Arial" w:hAnsi="Arial"/>
          <w:sz w:val="18"/>
          <w:szCs w:val="18"/>
          <w:color w:val="auto"/>
        </w:rPr>
      </w:pPr>
      <w:r>
        <w:rPr>
          <w:rFonts w:ascii="Arial" w:cs="Arial" w:eastAsia="Arial" w:hAnsi="Arial"/>
          <w:sz w:val="18"/>
          <w:szCs w:val="18"/>
          <w:color w:val="auto"/>
        </w:rPr>
        <w:t>Locally, we often work with licensed and regulated payment service providers (PSPs) to bring more familiar solutions to our clients’ customers and to leverage their regulatory insight. This insight can be a valuable tool to deliver differentiated services to our clients to help them stay in front of laws that may impact their business. For example, in India, we addressed new tax withholding requirements for our clients’ customers and deployed a solution to help with their education-related payments.</w:t>
      </w:r>
    </w:p>
    <w:p>
      <w:pPr>
        <w:spacing w:after="0" w:line="182" w:lineRule="exact"/>
        <w:rPr>
          <w:rFonts w:ascii="Arial" w:cs="Arial" w:eastAsia="Arial" w:hAnsi="Arial"/>
          <w:sz w:val="18"/>
          <w:szCs w:val="18"/>
          <w:color w:val="auto"/>
        </w:rPr>
      </w:pPr>
    </w:p>
    <w:p>
      <w:pPr>
        <w:ind w:left="880" w:right="160" w:hanging="224"/>
        <w:spacing w:after="0" w:line="253"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Currency controls and exemptions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robust controls to comply with the requirements of handling cross-border payments. For example, in certain jurisdictions where it is required, we are able to help track and prove purpose-driven payments through digital document collection and verification integrated with our clients’ systems.</w:t>
      </w:r>
    </w:p>
    <w:p>
      <w:pPr>
        <w:spacing w:after="0" w:line="168" w:lineRule="exact"/>
        <w:rPr>
          <w:rFonts w:ascii="Arial" w:cs="Arial" w:eastAsia="Arial" w:hAnsi="Arial"/>
          <w:sz w:val="18"/>
          <w:szCs w:val="18"/>
          <w:color w:val="auto"/>
        </w:rPr>
      </w:pPr>
    </w:p>
    <w:p>
      <w:pPr>
        <w:ind w:left="880" w:right="140" w:hanging="224"/>
        <w:spacing w:after="0" w:line="244"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Transaction-level risks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payments platform subjects payments to a series of controls, to mitigate the risk of facilitating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fraud, money laundering, or transactions subject to sanctions. Payment information, historical activity and user behavior are utilized to identify potentially fraudulent transactions. All payments are monitored for suspicious behavior consistent with money laundering or terrorist financing, and all alerted activity is investigated by our internal team of experienced analysts. We also screen sender and receiver information, along with geolocation data, against relevant international watch lists.</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In addition, we have FlyMates in the compliance and risk management function located around the world where we have operations to address the needs of the business in real-time.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Our primary competition consists of legacy payment methods such as traditional bank wires provided by local, regional and global banks and money transfers from remittance companies. Other competitors include integrated payment providers focused on cross-border payments; B2B payments platforms; and vertical-specific software solutions offered by local niche players.</w:t>
      </w:r>
    </w:p>
    <w:p>
      <w:pPr>
        <w:spacing w:after="0" w:line="162"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We believe many legacy payment providers are hindered by limitations such as antiquated technology systems, insufficient solution and service offerings, poor user experiences, and unsatisfactory client and customer support. Our modern technology stack, combined with our innovative and flexible suite of solutions, addresses many of the issues that clients face today, including:</w:t>
      </w:r>
    </w:p>
    <w:p>
      <w:pPr>
        <w:spacing w:after="0" w:line="203" w:lineRule="exact"/>
        <w:rPr>
          <w:sz w:val="20"/>
          <w:szCs w:val="20"/>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friction in client and customer experiences;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lack of a scaled global network;</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limited software and payments offerings;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inability to adapt to new technology; and</w:t>
      </w:r>
    </w:p>
    <w:p>
      <w:pPr>
        <w:spacing w:after="0" w:line="211" w:lineRule="exact"/>
        <w:rPr>
          <w:rFonts w:ascii="Arial" w:cs="Arial" w:eastAsia="Arial" w:hAnsi="Arial"/>
          <w:sz w:val="18"/>
          <w:szCs w:val="18"/>
          <w:color w:val="auto"/>
        </w:rPr>
      </w:pPr>
    </w:p>
    <w:p>
      <w:pPr>
        <w:ind w:left="560" w:right="5140" w:firstLine="96"/>
        <w:spacing w:after="0" w:line="458" w:lineRule="auto"/>
        <w:tabs>
          <w:tab w:leader="none" w:pos="876" w:val="left"/>
        </w:tabs>
        <w:numPr>
          <w:ilvl w:val="0"/>
          <w:numId w:val="86"/>
        </w:numPr>
        <w:rPr>
          <w:rFonts w:ascii="Arial" w:cs="Arial" w:eastAsia="Arial" w:hAnsi="Arial"/>
          <w:sz w:val="17"/>
          <w:szCs w:val="17"/>
          <w:color w:val="auto"/>
        </w:rPr>
      </w:pPr>
      <w:r>
        <w:rPr>
          <w:rFonts w:ascii="Arial" w:cs="Arial" w:eastAsia="Arial" w:hAnsi="Arial"/>
          <w:sz w:val="17"/>
          <w:szCs w:val="17"/>
          <w:color w:val="auto"/>
        </w:rPr>
        <w:t>unsophisticated fraud prevention and risk management tools. We believe that we compete favorably on the basis of these factors.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93"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We protect our intellectual property through a combination of trademark, copyright, and trade secret laws, as well as confidentiality procedures and contractual restrictions, to establish and protect our proprietary rights both domestically and abroad. These laws, procedures and restrictions provide only limited protection. We endeavor to enter into agreements with our employees, consultants and contractors and with parties with whom we do business in order to acquire intellectual property rights developed as a result of service to Flywire, as well as to limit access to and disclosure of our proprietary information.</w:t>
      </w:r>
    </w:p>
    <w:p>
      <w:pPr>
        <w:spacing w:after="0" w:line="175" w:lineRule="exact"/>
        <w:rPr>
          <w:sz w:val="20"/>
          <w:szCs w:val="20"/>
          <w:color w:val="auto"/>
        </w:rPr>
      </w:pPr>
    </w:p>
    <w:p>
      <w:pPr>
        <w:jc w:val="both"/>
        <w:ind w:left="120" w:right="80" w:firstLine="440"/>
        <w:spacing w:after="0"/>
        <w:rPr>
          <w:sz w:val="20"/>
          <w:szCs w:val="20"/>
          <w:color w:val="auto"/>
        </w:rPr>
      </w:pPr>
      <w:r>
        <w:rPr>
          <w:rFonts w:ascii="Arial" w:cs="Arial" w:eastAsia="Arial" w:hAnsi="Arial"/>
          <w:sz w:val="18"/>
          <w:szCs w:val="18"/>
          <w:color w:val="auto"/>
        </w:rPr>
        <w:t>We actively pursue registration of our trademarks, logos, service marks, trade dress, and domain names in the United States and in other jurisdictions. As of March 1, 2021, we had 106 registered trademarks and trademark applications, and were the registered holder of a variety of U.S. and international domain names.</w:t>
      </w:r>
    </w:p>
    <w:p>
      <w:pPr>
        <w:spacing w:after="0" w:line="162"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From time to time we also incorporate certain intellectual property licensed from third parties. Even if any such third-party technology was not available to us on commercially reasonable terms, we believe that alternative technologies would be available as needed.</w:t>
      </w:r>
    </w:p>
    <w:p>
      <w:pPr>
        <w:spacing w:after="0" w:line="134" w:lineRule="exact"/>
        <w:rPr>
          <w:sz w:val="20"/>
          <w:szCs w:val="20"/>
          <w:color w:val="auto"/>
        </w:rPr>
      </w:pPr>
    </w:p>
    <w:p>
      <w:pPr>
        <w:ind w:left="120" w:right="440" w:firstLine="440"/>
        <w:spacing w:after="0"/>
        <w:rPr>
          <w:sz w:val="20"/>
          <w:szCs w:val="20"/>
          <w:color w:val="auto"/>
        </w:rPr>
      </w:pPr>
      <w:r>
        <w:rPr>
          <w:rFonts w:ascii="Arial" w:cs="Arial" w:eastAsia="Arial" w:hAnsi="Arial"/>
          <w:sz w:val="18"/>
          <w:szCs w:val="18"/>
          <w:color w:val="auto"/>
        </w:rPr>
        <w:t>For additional information about our intellectual property and associated risks, see the section titled “Risk Factors–If we fail to adequately protect our proprietary rights, our competitive position could be impaired and we may lose valuable assets, generate less revenue and incur costly litigation to protect our rights.”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and Industry Standards</w:t>
      </w:r>
    </w:p>
    <w:p>
      <w:pPr>
        <w:spacing w:after="0" w:line="20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7"/>
          <w:szCs w:val="17"/>
          <w:color w:val="auto"/>
        </w:rPr>
        <w:t>Various aspects of our business and service areas operate in a quickly evolving regulatory environment, and are subject to U.S. federal, state, and local regulation, as well as regulation outside the United States. Certain of our services also are subject to rules promulgated by various card networks and other authorities, as more fully described below. These descriptions are not exhaustive, and these laws, regulations and rules frequently change, are subject to differing interpretations or enforcement, and are increasing in number.</w:t>
      </w:r>
    </w:p>
    <w:p>
      <w:pPr>
        <w:spacing w:after="0" w:line="14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are registered as a MSB with the U.S. Department of the Treasury’s Financial Crimes Enforcement Network (FinCEN) and are subject to the Bank Secrecy Act of 1970, as amended by the USA PATRIOT Act of 2001, and its implementing regulations, collectively, the BSA, and certain obligations contained therein, including, among other things, certain record-keeping and reporting requirements, and examinations by FinCEN.</w:t>
      </w:r>
    </w:p>
    <w:p>
      <w:pPr>
        <w:spacing w:after="0" w:line="164"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The BSA is the primary compendium of U.S. laws and regulations regarding anti-money laundering and countering the financing of terrorism (AML/CFT). As required under the BSA, we have implemented and continue to expand an AML/CFT program designed to prevent our payments platform from being used to facilitate money laundering, terrorist financing, and other financial crimes. Our program is also designed to prevent our payments platform and global payment network from being used to facilitate business with certain individuals, entities, countries, and territories that are subject to economic or trade sanctions that the U.S. Department of the Treasury’s Office of Foreign Assets Controls (OFAC) and various foreign authorities administer or enforce. Our AML/CFT compliance programs include policies, procedures, and controls that are designed to address these legal and regulatory requirements and to assist in detecting and preventing the use of our payments platform to engage in money laundering or terrorist financing activity. Program elements include, without limitation, the designation of a BSA/AML Officer to oversee the programs, KYC procedures, processes to detect and report suspicious activity, sanctions screening, employee training, annual third-party independent testing, and risk-based procedures for conducting ongoing customer due diligence.</w:t>
      </w:r>
    </w:p>
    <w:p>
      <w:pPr>
        <w:spacing w:after="0" w:line="178" w:lineRule="exact"/>
        <w:rPr>
          <w:sz w:val="20"/>
          <w:szCs w:val="20"/>
          <w:color w:val="auto"/>
        </w:rPr>
      </w:pPr>
    </w:p>
    <w:p>
      <w:pPr>
        <w:jc w:val="both"/>
        <w:ind w:left="120" w:right="280" w:firstLine="440"/>
        <w:spacing w:after="0" w:line="238" w:lineRule="auto"/>
        <w:rPr>
          <w:sz w:val="20"/>
          <w:szCs w:val="20"/>
          <w:color w:val="auto"/>
        </w:rPr>
      </w:pPr>
      <w:r>
        <w:rPr>
          <w:rFonts w:ascii="Arial" w:cs="Arial" w:eastAsia="Arial" w:hAnsi="Arial"/>
          <w:sz w:val="18"/>
          <w:szCs w:val="18"/>
          <w:color w:val="auto"/>
        </w:rPr>
        <w:t>If our compliance programs are found to be deficient, we could lose key relationships with banks, merchant acquirers, and other payment partners on which we rely to carry out our business. Fines or penalties for AML/CFT and sanctions violations we face may be severe and our efforts to remediate issues may be costly, may result in diversion of management and staff time and effort, and may still not guarantee compliance.</w:t>
      </w:r>
    </w:p>
    <w:p>
      <w:pPr>
        <w:spacing w:after="0" w:line="16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Most states in the United States require a license to offer money transmission services. We have taken the position that Flywire’s business to date is exempt from licensure under various state money transmission laws, either expressly as a payment processor or agent of the payee, or pursuant to common law as an agent of the payee. We actively work to evaluate, and if applicable, comply with new license or regulatory requirements as they arise. Although we believe we have defensible arguments in support of our positions under the state money transmission statutes, we have not expressly obtained confirmation of such positions from all of the state banking departments who administer the state money transmission statutes. It is possible that certain state banking departments may determine that our activities are not exempt from licensure. In the past, certain competitors have been found to violate laws and regulations related to money transmission, and they have been subject to fines and other penalties by regulatory authorities. Regulators and third-party auditors have also identified gaps in how similar businesses have implemented AML/CFT programs. The adoption of new money transmitter or money services business statutes, or changes in regulators’ interpretation of existing state and federal money transmitter or money services business statutes or regulations, could subject Flywire to new registration, licensing or other requirements. Any determination that Flywire is in</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fact required to be licensed under such state money transmission or money services businesses statutes may require substantial expenditures of time and money and could lead to liability in the nature of penalties or fines, as well as cause us to be required to cease operations in some of the U.S. jurisdictions we serve.</w:t>
      </w:r>
    </w:p>
    <w:p>
      <w:pPr>
        <w:spacing w:after="0" w:line="176"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We are in the process of procuring money transmitter licenses (or the statutory equivalent) in those U.S. jurisdictions that require them in order to be able to offer additional business lines in the future. We have procured and maintain money transmitter licenses in 29 U.S. jurisdictions, and actively work to comply with new license requirements as they arise. These licenses subject us, among other things, to record-keeping requirements, reporting requirements, bonding requirements, limitations on the investment of customer funds, and examination by state regulatory agencies. Any actual or perceived failure to comply with legal and regulatory requirements related to our money transmitter licenses may result in, among other things, revocation of required licenses, regulatory or governmental investigations, administrative enforcement actions, civil and criminal liability, and constraints on our ability to continue to operate.</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Similar regulatory requirements exist in other markets where we do business. For example, local Flywire entities are licensed as Authorised Payments Institutions in each of the U.K. (regulated by the Financial Conduct Authority (FCA)) and Lithuania (regulated by the Bank of Lithuania (BOL)). When serving clients in these regulated markets, we are generally required to implement governance structures, AML/CFT programs and KYC standards that are different from those in the U.S., and which incorporate local or European Economic Area (EEA) requirements. The FCA in particular has been an active regulator, and as a result of Brexit, we were able to both obtain a license from the BOL and continue to serve our EEA clients through the “passporting” principle without any interruption of service. In other non-U.S. markets we are able to serve clients in locations that either do not require Flywire to obtain a license or pursuant to a specific exemption issued by the applicable regulator.</w:t>
      </w:r>
    </w:p>
    <w:p>
      <w:pPr>
        <w:spacing w:after="0" w:line="16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addition, several jurisdictions where our clients’ customers reside impose currency export controls (e.g., China and India), taxation at source or other documentation requirements before money can be converted into destination currency and sent abroad. Generally, our local payment partners in these locations will assist in ensuring the customers meet these requirements, but it is often the case that we need to ensure that the Flywire payment experience accommodates the unique and ever-changing regulatory environments where our clients’ customers are located.</w:t>
      </w:r>
    </w:p>
    <w:p>
      <w:pPr>
        <w:spacing w:after="0" w:line="175" w:lineRule="exact"/>
        <w:rPr>
          <w:sz w:val="20"/>
          <w:szCs w:val="20"/>
          <w:color w:val="auto"/>
        </w:rPr>
      </w:pPr>
    </w:p>
    <w:p>
      <w:pPr>
        <w:ind w:left="120" w:right="40" w:firstLine="440"/>
        <w:spacing w:after="0" w:line="235" w:lineRule="auto"/>
        <w:rPr>
          <w:sz w:val="20"/>
          <w:szCs w:val="20"/>
          <w:color w:val="auto"/>
        </w:rPr>
      </w:pPr>
      <w:r>
        <w:rPr>
          <w:rFonts w:ascii="Arial" w:cs="Arial" w:eastAsia="Arial" w:hAnsi="Arial"/>
          <w:sz w:val="18"/>
          <w:szCs w:val="18"/>
          <w:color w:val="auto"/>
        </w:rPr>
        <w:t>There are also a number of U.S. federal and state consumer finance and consumer protection laws that may impact Flywire’s business. States have a myriad of statutes and case law precedent addressing when credit card surcharges or convenience fees may be imposed by third-party service providers and under what circumstances they are prohibited. In addition, Dodd-Frank created the Consumer Financial Protection Bureau (CFPB), which has assumed responsibility for implementing and enforcing most federal consumer financial protection laws and a prohibition on unfair, deceptive and abusive acts and practices. Several of these laws apply to some of Flywire’s clients, and in some cases Flywire is contractually obligated to ensure its services do not violate these laws, even though Flywire is not directly subject to them. For example, the Truth in Lending Act of 1968 (TILA) is a U.S. federal law that applies to creditors and is designed to promote the informed use of consumer credit. Although Flywire is not in the business of extending credit or charging interest on the payments it helps its clients collect, when Flywire clients extend credit subject to TILA, TILA may require our clients to provide disclosures to their customers about consumer credit terms and costs in a format specified by the CFPB. Our payment installment plan functionality utilized by our clients in healthcare and education often requires that our payment experience accommodate these disclosure obligations that attach to our clients. Our business may also be subject to the Fair Credit Reporting Act (FCRA) which regulates the use and reporting of consumer credit information and imposes disclosure requirements on entities that take adverse action based on information obtained from credit reporting agencies. We could be liable if our practices governed under the FCRA are not in compliance with the FCRA or its regulations.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Electronic Fund Transfer Act (EFTA) also imposes substantive disclosure and error resolution obligations on entities that facilitate electronic fund transfers and international remittance transfers. We could be liable for violating EFTA if we fail to comply with these requirements when they apply to us. We do not believe other laws that are implemented by the CFPB, including the Equal Credit Opportunity Act and the Fair Debt Collection Practices Act apply to us. If these determinations are wrong, interpretations of these statutes change, or we expand or change our solutions, we may be subject to the restrictions imposed by these laws. Should our business or solutions change in a way that did subject us to the CFPB’s jurisdiction, we would be subject to increased scrutiny of our business and consumer compliance practices.</w:t>
      </w:r>
    </w:p>
    <w:p>
      <w:pPr>
        <w:spacing w:after="0" w:line="17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Separately, the Telephone Consumer Protection Act of 1991 (TCPA) and similar state and federal laws contain extensive rules relating to communication by telephone, such as detailed requirements relating to granting and revocation of consent and “opt-in” or “opt-out” thresholds for receipt of communications, and these requirements are often changing and the subject of high-profile litigation. Our services include features regulated by the TCPA and similar laws (e.g., calls made from automated dialing systems, texts confirming receipt of payment, status updates or due dates, appointment reminders) and we can be liable for penalties, or subject to litigation or contractual indemnification obligations, if we do not comply with them.</w:t>
      </w:r>
    </w:p>
    <w:p>
      <w:pPr>
        <w:spacing w:after="0" w:line="164" w:lineRule="exact"/>
        <w:rPr>
          <w:sz w:val="20"/>
          <w:szCs w:val="20"/>
          <w:color w:val="auto"/>
        </w:rPr>
      </w:pPr>
    </w:p>
    <w:p>
      <w:pPr>
        <w:ind w:left="120" w:right="200" w:firstLine="440"/>
        <w:spacing w:after="0" w:line="261" w:lineRule="auto"/>
        <w:rPr>
          <w:sz w:val="20"/>
          <w:szCs w:val="20"/>
          <w:color w:val="auto"/>
        </w:rPr>
      </w:pPr>
      <w:r>
        <w:rPr>
          <w:rFonts w:ascii="Arial" w:cs="Arial" w:eastAsia="Arial" w:hAnsi="Arial"/>
          <w:sz w:val="17"/>
          <w:szCs w:val="17"/>
          <w:color w:val="auto"/>
        </w:rPr>
        <w:t>Flywire is also required to navigate card network rules and other requirements of self-regulatory organizations, such as ACH payment networks. We rely on our varied network of merchant acquirer relationships to access the payment card networks such as Visa and Mastercard, which enable our acceptance of credit cards and debit cards. We pay fees to our merchant acquirers for such services.</w:t>
      </w:r>
    </w:p>
    <w:p>
      <w:pPr>
        <w:spacing w:after="0" w:line="14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Visa, Mastercard and other card networks set complex and evolving rules and standards with which we must comply—often referred to as “card network rules”. We also have relationships with American Express, JCB and China Unionpay, which impose similar obligations on us. The payment networks and their member financial institutions routinely update, generally expand and modify requirements applicable to merchant acquirers and their customers, including rules regulating data integrity, third-party relationships, merchant chargeback standards and compliance with the PCI DSS. PCI DSS is a set of requirements designed to ensure that all companies that process, store, or transmit payment card information maintain a secure environment to protect cardholder data. Under certain circumstances, we are required to report incidents to the card networks and other authorities within a specified time frame. Any changes in card network rules or standards that increase the cost of doing business or limit our ability to provide processing services to our merchants will adversely affect the operation of our business.</w:t>
      </w:r>
    </w:p>
    <w:p>
      <w:pPr>
        <w:spacing w:after="0" w:line="180" w:lineRule="exact"/>
        <w:rPr>
          <w:sz w:val="20"/>
          <w:szCs w:val="20"/>
          <w:color w:val="auto"/>
        </w:rPr>
      </w:pPr>
    </w:p>
    <w:p>
      <w:pPr>
        <w:ind w:left="120" w:right="340" w:firstLine="440"/>
        <w:spacing w:after="0" w:line="238" w:lineRule="auto"/>
        <w:rPr>
          <w:sz w:val="20"/>
          <w:szCs w:val="20"/>
          <w:color w:val="auto"/>
        </w:rPr>
      </w:pPr>
      <w:r>
        <w:rPr>
          <w:rFonts w:ascii="Arial" w:cs="Arial" w:eastAsia="Arial" w:hAnsi="Arial"/>
          <w:sz w:val="18"/>
          <w:szCs w:val="18"/>
          <w:color w:val="auto"/>
        </w:rPr>
        <w:t>If we or our merchant acquirers fail to comply with the card network rules or other applicable rules and requirements of the card payment networks, Visa or Mastercard or our other card providers could suspend or terminate our registration. Further, our transaction processing capabilities, including with respect to settlement processes, could be delayed or otherwise disrupted, and recurring non-compliance could result in the payment networks seeking to fine us, or suspend or terminate our registrations which allow us to process transactions on their networks, which would make it impossible for us to conduct our business on its current scale.</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Under certain circumstances specified in the card network rules,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or other cybersecurity incident.</w:t>
      </w:r>
    </w:p>
    <w:p>
      <w:pPr>
        <w:spacing w:after="0" w:line="164"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The termination of our registration with the payment networks, or any changes in payment network or issuer rules that limit our ability to provide card payment alternatives to our clients’ customers could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have an adverse effect on our payment processing volumes, revenues and operating costs. If we are unable to comply with the requirements applicable to our settlement activities, the payment networks may no longer allow us to provide these services and we would lose a substantial portion of our revenues.</w:t>
      </w:r>
    </w:p>
    <w:p>
      <w:pPr>
        <w:spacing w:after="0" w:line="17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are also subject to the NACHA operating rules.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particularly when we instruct our partner institutions to debit a third party’s account. These obligations include audit and oversight by the financial institutions and the imposition of mandatory corrective action, including termination, for serious violations. If an audit or self-assessment of PCI DSS or NACHA compliance identifies any deficiencies that we need to remediate, the remediation efforts may distract our management team and other staff and be expensive and time consuming.</w:t>
      </w:r>
    </w:p>
    <w:p>
      <w:pPr>
        <w:spacing w:after="0" w:line="162"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Similarly, our ACH sponsor banks have the right to audit our compliance with NACHA’s rules and guidelines and are given wide discretion to approve certain aspects of our business practices. Like the payment networks, NACHA may update its operating rules and guidelines at any time, which could require us to take more costly compliance measures or to develop more complex monitoring systems. The NACHA rules permit transactions to be returned under certain circumstances. If too many of our transactions are returned, our ability to access the ACH system could be impaired by our partner financial institutions. Our partner financial institutions could similarly change their interpretation of NACHA requirements, which could require costly remediation efforts and could prevent us from continuing to provide services through such partner financial institutions until we remediate issues to their satisfaction.</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collect and use a wide variety of information (including personal information) for various purposes in our business, including:</w:t>
      </w:r>
    </w:p>
    <w:p>
      <w:pPr>
        <w:ind w:left="120" w:hanging="4"/>
        <w:spacing w:after="0" w:line="238" w:lineRule="auto"/>
        <w:tabs>
          <w:tab w:leader="none" w:pos="33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help ensure the integrity of our services, (ii) to meet KYC, transaction monitoring and AML/CFT standards, and (iii) to provide features and functionality to our clients and their customers. This aspect of our business, including the collection, use, disclosure, and protection of personal information we acquire in connection with the use of our services, is subject to numerous laws and regulations in the United States and globally. Regulation and proposed regulation in this area has increased significantly in recent years and is expected to continue to do so.</w:t>
      </w:r>
    </w:p>
    <w:p>
      <w:pPr>
        <w:spacing w:after="0" w:line="17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addition to numerous privacy and data protection laws already in place, U.S. states are increasingly adopting laws modeled on the GDPR that impose comprehensive privacy and data protection obligations. For example, the CCPA, which became effective on January 1, 2020, gives California residents expanded rights to access and delete their personal information, opt out of certain personal information sharing and receive detailed information about how their personal information is used, and it imposes other requirements as well. The CCPA provides for civil penalties for violations, as well as a private right of action for data breaches. All 50 states, Puerto Rico, and the U.S. Virgin Islands (similar to many of the other countries where we do business), have passed laws regulating the actions that a business must take if it experiences a data breach, such as prompt disclosure to affected individuals, consumer reporting agencies, or governmental agencies. In addition, we are subject to laws in the U.S. and abroad restricting or placing conditions on our ability to collect and utilize certain specific types of information, such as Social Security and driver’s license numbers.</w:t>
      </w:r>
    </w:p>
    <w:p>
      <w:pPr>
        <w:spacing w:after="0" w:line="166"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Many of the foreign jurisdictions where we or our customers do business, including the European Union, have laws and regulations dealing with the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relevant jurisdiction. For example, Flywire has multiple offices in Europe and serves clients and their customers throughout the E.U., where GDPR went into effect in 2018. The GDPR, which also is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Fines of up to 20 million Euros or up to 4% of the annual global revenue of a noncompliant corporate family, whichever is greater, could be imposed for violations of certain of the GDPR’s requirements, and private claims also are possible.</w:t>
      </w:r>
    </w:p>
    <w:p>
      <w:pPr>
        <w:spacing w:after="0" w:line="181"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Recent legal developments have created compliance uncertainty regarding some transfers of personal information from the U.K. and EEA to locations where we or our customers operate or conduct business, including the United States and potentially Singapore. Under the GDPR, such transfers can take place only if certain conditions apply or if certain data transfer mechanisms are in place. In July 2020, the Court of Justice of the European Union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the United States (and also used by Flywire),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customers continue to use alternative transfer strategies including the European Commission’s Standard Contractual Clauses (SCCs) while the authorities interpret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related enforcement actions or other legal developments in this area could subject us to negative financial consequences, such as fines, penalties, loss of customers, and the need to engage in costly restructuring of our business and IT operations and restructuring of our relationships with service providers and other partners.</w:t>
      </w:r>
    </w:p>
    <w:p>
      <w:pPr>
        <w:spacing w:after="0" w:line="172"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There are also regulations that require that access to websites be safe and accessible for people with disabilities. The ADA contains certain standards (most commonly referred to as Section 508 Standards) that apply to federal government websites as well as to websites that may be provided by institutions that are recipients of federal funding. Many of our clients (principally higher education clients in the U.S.) receive support from U.S. federal agencies, and require that our payment experience be accessible and conform to the Section 508 Standards and the W3C Web Content Accessibility Guidelines 2.0 Level AA. Our payment experience is ADA-compliant, and we arrange for third-party audits to ensure that we continually conform to these standards. As we modify our user interface to improve or add features and functionality to our payment experience, we must continue to account for ADA compliance when required.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 and Employees</w:t>
      </w:r>
    </w:p>
    <w:p>
      <w:pPr>
        <w:spacing w:after="0" w:line="207" w:lineRule="exact"/>
        <w:rPr>
          <w:sz w:val="20"/>
          <w:szCs w:val="20"/>
          <w:color w:val="auto"/>
        </w:rPr>
      </w:pPr>
    </w:p>
    <w:p>
      <w:pPr>
        <w:jc w:val="both"/>
        <w:ind w:left="120" w:right="80" w:firstLine="440"/>
        <w:spacing w:after="0"/>
        <w:rPr>
          <w:sz w:val="20"/>
          <w:szCs w:val="20"/>
          <w:color w:val="auto"/>
        </w:rPr>
      </w:pPr>
      <w:r>
        <w:rPr>
          <w:rFonts w:ascii="Arial" w:cs="Arial" w:eastAsia="Arial" w:hAnsi="Arial"/>
          <w:sz w:val="18"/>
          <w:szCs w:val="18"/>
          <w:color w:val="auto"/>
        </w:rPr>
        <w:t>As of March 31, 2021, we had 473 full-time employees. We also engage part-time and temporary employees, as well as consultants as needed to support our operations. As a collective team of over 500 FlyMates, we strive for excellence as one team, guided by our core values, including, global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collaboration, authenticity, fulfillment, execution, ambitious innovation and evolved learning. Our leadership team defines our culture and strategy and collectively has decades of experience leading companies through rapid growth at scale.</w:t>
      </w:r>
    </w:p>
    <w:p>
      <w:pPr>
        <w:spacing w:after="0" w:line="170"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None of our employees are represented by a labor union or covered by a collective bargaining agreement. We have not experienced any work stoppages and we consider our relations with our employees to be good.</w:t>
      </w:r>
    </w:p>
    <w:p>
      <w:pPr>
        <w:spacing w:after="0" w:line="156" w:lineRule="exact"/>
        <w:rPr>
          <w:sz w:val="20"/>
          <w:szCs w:val="20"/>
          <w:color w:val="auto"/>
        </w:rPr>
      </w:pPr>
    </w:p>
    <w:p>
      <w:pPr>
        <w:ind w:left="120" w:right="420" w:firstLine="440"/>
        <w:spacing w:after="0" w:line="238"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07"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Our corporate headquarters are located in Boston, Massachusetts, where we occupy facilities totaling approximately 16,419 square feet under a lease that expires in March 2024. We use these facilities for administration, finance, legal, compliance, human resources, global payments, information technology, sales and marketing, engineering, and customer success.</w:t>
      </w:r>
    </w:p>
    <w:p>
      <w:pPr>
        <w:spacing w:after="0" w:line="16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We maintain other leased locations in the U.S. and throughout the world. We intend to procure additional space as we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to our business or financial condition. The results of any future litigation cannot be predicted with certainty, and regardless of the outcome, litigation can have an adverse impact on us because of defense and settlement costs, diversion of management resources, and other factors.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regarding our executive officers and directors, including their ages as of March 31, 2021:</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Name</w:t>
            </w:r>
          </w:p>
        </w:tc>
        <w:tc>
          <w:tcPr>
            <w:tcW w:w="3260" w:type="dxa"/>
            <w:vAlign w:val="bottom"/>
          </w:tcPr>
          <w:p>
            <w:pPr>
              <w:spacing w:after="0"/>
              <w:rPr>
                <w:sz w:val="21"/>
                <w:szCs w:val="21"/>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100" w:type="dxa"/>
            <w:vAlign w:val="bottom"/>
          </w:tcPr>
          <w:p>
            <w:pPr>
              <w:spacing w:after="0"/>
              <w:rPr>
                <w:sz w:val="21"/>
                <w:szCs w:val="21"/>
                <w:color w:val="auto"/>
              </w:rPr>
            </w:pPr>
          </w:p>
        </w:tc>
        <w:tc>
          <w:tcPr>
            <w:tcW w:w="6720" w:type="dxa"/>
            <w:vAlign w:val="bottom"/>
            <w:tcBorders>
              <w:bottom w:val="single" w:sz="8" w:color="auto"/>
            </w:tcBorders>
          </w:tcPr>
          <w:p>
            <w:pPr>
              <w:ind w:left="2900"/>
              <w:spacing w:after="0"/>
              <w:rPr>
                <w:sz w:val="20"/>
                <w:szCs w:val="20"/>
                <w:color w:val="auto"/>
              </w:rPr>
            </w:pPr>
            <w:r>
              <w:rPr>
                <w:rFonts w:ascii="Arial" w:cs="Arial" w:eastAsia="Arial" w:hAnsi="Arial"/>
                <w:sz w:val="18"/>
                <w:szCs w:val="18"/>
                <w:b w:val="1"/>
                <w:bCs w:val="1"/>
                <w:color w:val="auto"/>
              </w:rPr>
              <w:t>Position(s)</w:t>
            </w:r>
          </w:p>
        </w:tc>
      </w:tr>
      <w:tr>
        <w:trPr>
          <w:trHeight w:val="175"/>
        </w:trPr>
        <w:tc>
          <w:tcPr>
            <w:tcW w:w="376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720" w:type="dxa"/>
            <w:vAlign w:val="bottom"/>
          </w:tcPr>
          <w:p>
            <w:pPr>
              <w:spacing w:after="0"/>
              <w:rPr>
                <w:sz w:val="15"/>
                <w:szCs w:val="15"/>
                <w:color w:val="auto"/>
              </w:rPr>
            </w:pP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Michael Massaro</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42</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Rob Orgel</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52</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President and Chief Operating Officer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Michael Ellis</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52</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Peter Butterfield</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56</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General Counsel and Chief Compliance Officer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David King</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52</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Chief Technology Officer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Sharon Butler</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55</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Executive Vice President of Global Education</w:t>
            </w:r>
          </w:p>
        </w:tc>
      </w:tr>
      <w:tr>
        <w:trPr>
          <w:trHeight w:val="217"/>
        </w:trPr>
        <w:tc>
          <w:tcPr>
            <w:tcW w:w="3760" w:type="dxa"/>
            <w:vAlign w:val="bottom"/>
            <w:gridSpan w:val="2"/>
          </w:tcPr>
          <w:p>
            <w:pPr>
              <w:ind w:left="360"/>
              <w:spacing w:after="0"/>
              <w:rPr>
                <w:sz w:val="20"/>
                <w:szCs w:val="20"/>
                <w:color w:val="auto"/>
              </w:rPr>
            </w:pPr>
            <w:r>
              <w:rPr>
                <w:rFonts w:ascii="Arial" w:cs="Arial" w:eastAsia="Arial" w:hAnsi="Arial"/>
                <w:sz w:val="18"/>
                <w:szCs w:val="18"/>
                <w:color w:val="auto"/>
              </w:rPr>
              <w:t>John Talaga</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Executive Vice President of Healthcare</w:t>
            </w:r>
          </w:p>
        </w:tc>
      </w:tr>
      <w:tr>
        <w:trPr>
          <w:trHeight w:val="294"/>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Phillip Riese</w:t>
            </w:r>
            <w:r>
              <w:rPr>
                <w:rFonts w:ascii="Arial" w:cs="Arial" w:eastAsia="Arial" w:hAnsi="Arial"/>
                <w:sz w:val="15"/>
                <w:szCs w:val="15"/>
                <w:color w:val="auto"/>
              </w:rPr>
              <w:t>(1)(2)</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71</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Chairman of the Board</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Alex Finkelstein</w:t>
            </w:r>
            <w:r>
              <w:rPr>
                <w:rFonts w:ascii="Arial" w:cs="Arial" w:eastAsia="Arial" w:hAnsi="Arial"/>
                <w:sz w:val="15"/>
                <w:szCs w:val="15"/>
                <w:color w:val="auto"/>
              </w:rPr>
              <w:t>(2)(3)</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45</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Director</w:t>
            </w:r>
          </w:p>
        </w:tc>
      </w:tr>
      <w:tr>
        <w:trPr>
          <w:trHeight w:val="205"/>
        </w:trPr>
        <w:tc>
          <w:tcPr>
            <w:tcW w:w="3760" w:type="dxa"/>
            <w:vAlign w:val="bottom"/>
            <w:gridSpan w:val="2"/>
          </w:tcPr>
          <w:p>
            <w:pPr>
              <w:ind w:left="360"/>
              <w:spacing w:after="0" w:line="205" w:lineRule="exact"/>
              <w:rPr>
                <w:sz w:val="20"/>
                <w:szCs w:val="20"/>
                <w:color w:val="auto"/>
              </w:rPr>
            </w:pPr>
            <w:r>
              <w:rPr>
                <w:rFonts w:ascii="Arial" w:cs="Arial" w:eastAsia="Arial" w:hAnsi="Arial"/>
                <w:sz w:val="18"/>
                <w:szCs w:val="18"/>
                <w:color w:val="auto"/>
              </w:rPr>
              <w:t>Matt Harris</w:t>
            </w:r>
            <w:r>
              <w:rPr>
                <w:rFonts w:ascii="Arial" w:cs="Arial" w:eastAsia="Arial" w:hAnsi="Arial"/>
                <w:sz w:val="15"/>
                <w:szCs w:val="15"/>
                <w:color w:val="auto"/>
              </w:rPr>
              <w:t>(3)</w:t>
            </w:r>
          </w:p>
        </w:tc>
        <w:tc>
          <w:tcPr>
            <w:tcW w:w="440" w:type="dxa"/>
            <w:vAlign w:val="bottom"/>
          </w:tcPr>
          <w:p>
            <w:pPr>
              <w:jc w:val="center"/>
              <w:spacing w:after="0" w:line="205" w:lineRule="exact"/>
              <w:rPr>
                <w:sz w:val="20"/>
                <w:szCs w:val="20"/>
                <w:color w:val="auto"/>
              </w:rPr>
            </w:pPr>
            <w:r>
              <w:rPr>
                <w:rFonts w:ascii="Arial" w:cs="Arial" w:eastAsia="Arial" w:hAnsi="Arial"/>
                <w:sz w:val="18"/>
                <w:szCs w:val="18"/>
                <w:color w:val="auto"/>
                <w:w w:val="99"/>
              </w:rPr>
              <w:t>48</w:t>
            </w:r>
          </w:p>
        </w:tc>
        <w:tc>
          <w:tcPr>
            <w:tcW w:w="6820" w:type="dxa"/>
            <w:vAlign w:val="bottom"/>
            <w:gridSpan w:val="2"/>
          </w:tcPr>
          <w:p>
            <w:pPr>
              <w:ind w:left="100"/>
              <w:spacing w:after="0" w:line="205" w:lineRule="exact"/>
              <w:rPr>
                <w:sz w:val="20"/>
                <w:szCs w:val="20"/>
                <w:color w:val="auto"/>
              </w:rPr>
            </w:pPr>
            <w:r>
              <w:rPr>
                <w:rFonts w:ascii="Arial" w:cs="Arial" w:eastAsia="Arial" w:hAnsi="Arial"/>
                <w:sz w:val="18"/>
                <w:szCs w:val="18"/>
                <w:color w:val="auto"/>
              </w:rPr>
              <w:t>Director</w:t>
            </w:r>
          </w:p>
        </w:tc>
      </w:tr>
      <w:tr>
        <w:trPr>
          <w:trHeight w:val="200"/>
        </w:trPr>
        <w:tc>
          <w:tcPr>
            <w:tcW w:w="3760" w:type="dxa"/>
            <w:vAlign w:val="bottom"/>
            <w:gridSpan w:val="2"/>
          </w:tcPr>
          <w:p>
            <w:pPr>
              <w:ind w:left="360"/>
              <w:spacing w:after="0" w:line="200" w:lineRule="exact"/>
              <w:rPr>
                <w:sz w:val="20"/>
                <w:szCs w:val="20"/>
                <w:color w:val="auto"/>
              </w:rPr>
            </w:pPr>
            <w:r>
              <w:rPr>
                <w:rFonts w:ascii="Arial" w:cs="Arial" w:eastAsia="Arial" w:hAnsi="Arial"/>
                <w:sz w:val="18"/>
                <w:szCs w:val="18"/>
                <w:color w:val="auto"/>
              </w:rPr>
              <w:t>Jo Natauri</w:t>
            </w:r>
          </w:p>
        </w:tc>
        <w:tc>
          <w:tcPr>
            <w:tcW w:w="440" w:type="dxa"/>
            <w:vAlign w:val="bottom"/>
          </w:tcPr>
          <w:p>
            <w:pPr>
              <w:jc w:val="center"/>
              <w:spacing w:after="0" w:line="200" w:lineRule="exact"/>
              <w:rPr>
                <w:sz w:val="20"/>
                <w:szCs w:val="20"/>
                <w:color w:val="auto"/>
              </w:rPr>
            </w:pPr>
            <w:r>
              <w:rPr>
                <w:rFonts w:ascii="Arial" w:cs="Arial" w:eastAsia="Arial" w:hAnsi="Arial"/>
                <w:sz w:val="18"/>
                <w:szCs w:val="18"/>
                <w:color w:val="auto"/>
                <w:w w:val="99"/>
              </w:rPr>
              <w:t>43</w:t>
            </w:r>
          </w:p>
        </w:tc>
        <w:tc>
          <w:tcPr>
            <w:tcW w:w="6820" w:type="dxa"/>
            <w:vAlign w:val="bottom"/>
            <w:gridSpan w:val="2"/>
          </w:tcPr>
          <w:p>
            <w:pPr>
              <w:ind w:left="100"/>
              <w:spacing w:after="0" w:line="200" w:lineRule="exact"/>
              <w:rPr>
                <w:sz w:val="20"/>
                <w:szCs w:val="20"/>
                <w:color w:val="auto"/>
              </w:rPr>
            </w:pPr>
            <w:r>
              <w:rPr>
                <w:rFonts w:ascii="Arial" w:cs="Arial" w:eastAsia="Arial" w:hAnsi="Arial"/>
                <w:sz w:val="18"/>
                <w:szCs w:val="18"/>
                <w:color w:val="auto"/>
              </w:rPr>
              <w:t>Director</w:t>
            </w:r>
          </w:p>
        </w:tc>
      </w:tr>
      <w:tr>
        <w:trPr>
          <w:trHeight w:val="219"/>
        </w:trPr>
        <w:tc>
          <w:tcPr>
            <w:tcW w:w="3760" w:type="dxa"/>
            <w:vAlign w:val="bottom"/>
            <w:gridSpan w:val="2"/>
          </w:tcPr>
          <w:p>
            <w:pPr>
              <w:ind w:left="360"/>
              <w:spacing w:after="0"/>
              <w:rPr>
                <w:sz w:val="20"/>
                <w:szCs w:val="20"/>
                <w:color w:val="auto"/>
              </w:rPr>
            </w:pPr>
            <w:r>
              <w:rPr>
                <w:rFonts w:ascii="Arial" w:cs="Arial" w:eastAsia="Arial" w:hAnsi="Arial"/>
                <w:sz w:val="18"/>
                <w:szCs w:val="18"/>
                <w:color w:val="auto"/>
              </w:rPr>
              <w:t>Edwin Santos</w:t>
            </w:r>
            <w:r>
              <w:rPr>
                <w:rFonts w:ascii="Arial" w:cs="Arial" w:eastAsia="Arial" w:hAnsi="Arial"/>
                <w:sz w:val="15"/>
                <w:szCs w:val="15"/>
                <w:color w:val="auto"/>
              </w:rPr>
              <w:t>(1)(2)</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660" w:hanging="544"/>
        <w:spacing w:after="0"/>
        <w:tabs>
          <w:tab w:leader="none" w:pos="660" w:val="left"/>
        </w:tabs>
        <w:numPr>
          <w:ilvl w:val="0"/>
          <w:numId w:val="88"/>
        </w:numPr>
        <w:rPr>
          <w:rFonts w:ascii="Arial" w:cs="Arial" w:eastAsia="Arial" w:hAnsi="Arial"/>
          <w:sz w:val="15"/>
          <w:szCs w:val="15"/>
          <w:color w:val="auto"/>
        </w:rPr>
      </w:pPr>
      <w:r>
        <w:rPr>
          <w:rFonts w:ascii="Arial" w:cs="Arial" w:eastAsia="Arial" w:hAnsi="Arial"/>
          <w:sz w:val="18"/>
          <w:szCs w:val="18"/>
          <w:color w:val="auto"/>
        </w:rPr>
        <w:t>Member of the nominating and corporate governance committee.</w:t>
      </w:r>
    </w:p>
    <w:p>
      <w:pPr>
        <w:ind w:left="660" w:hanging="544"/>
        <w:spacing w:after="0" w:line="234" w:lineRule="auto"/>
        <w:tabs>
          <w:tab w:leader="none" w:pos="660" w:val="left"/>
        </w:tabs>
        <w:numPr>
          <w:ilvl w:val="0"/>
          <w:numId w:val="88"/>
        </w:numPr>
        <w:rPr>
          <w:rFonts w:ascii="Arial" w:cs="Arial" w:eastAsia="Arial" w:hAnsi="Arial"/>
          <w:sz w:val="15"/>
          <w:szCs w:val="15"/>
          <w:color w:val="auto"/>
        </w:rPr>
      </w:pPr>
      <w:r>
        <w:rPr>
          <w:rFonts w:ascii="Arial" w:cs="Arial" w:eastAsia="Arial" w:hAnsi="Arial"/>
          <w:sz w:val="18"/>
          <w:szCs w:val="18"/>
          <w:color w:val="auto"/>
        </w:rPr>
        <w:t>Member of the audit committee.</w:t>
      </w:r>
    </w:p>
    <w:p>
      <w:pPr>
        <w:ind w:left="660" w:hanging="544"/>
        <w:spacing w:after="0"/>
        <w:tabs>
          <w:tab w:leader="none" w:pos="660" w:val="left"/>
        </w:tabs>
        <w:numPr>
          <w:ilvl w:val="0"/>
          <w:numId w:val="88"/>
        </w:numPr>
        <w:rPr>
          <w:rFonts w:ascii="Arial" w:cs="Arial" w:eastAsia="Arial" w:hAnsi="Arial"/>
          <w:sz w:val="15"/>
          <w:szCs w:val="15"/>
          <w:color w:val="auto"/>
        </w:rPr>
      </w:pPr>
      <w:r>
        <w:rPr>
          <w:rFonts w:ascii="Arial" w:cs="Arial" w:eastAsia="Arial" w:hAnsi="Arial"/>
          <w:sz w:val="18"/>
          <w:szCs w:val="18"/>
          <w:color w:val="auto"/>
        </w:rPr>
        <w:t>Member of the compensation committee.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5" w:lineRule="exact"/>
        <w:rPr>
          <w:sz w:val="20"/>
          <w:szCs w:val="20"/>
          <w:color w:val="auto"/>
        </w:rPr>
      </w:pPr>
    </w:p>
    <w:p>
      <w:pPr>
        <w:ind w:left="120" w:right="140" w:firstLine="440"/>
        <w:spacing w:after="0" w:line="241" w:lineRule="auto"/>
        <w:rPr>
          <w:sz w:val="20"/>
          <w:szCs w:val="20"/>
          <w:color w:val="auto"/>
        </w:rPr>
      </w:pPr>
      <w:r>
        <w:rPr>
          <w:rFonts w:ascii="Arial" w:cs="Arial" w:eastAsia="Arial" w:hAnsi="Arial"/>
          <w:sz w:val="18"/>
          <w:szCs w:val="18"/>
          <w:i w:val="1"/>
          <w:iCs w:val="1"/>
          <w:color w:val="auto"/>
        </w:rPr>
        <w:t xml:space="preserve">Michael Massaro </w:t>
      </w:r>
      <w:r>
        <w:rPr>
          <w:rFonts w:ascii="Arial" w:cs="Arial" w:eastAsia="Arial" w:hAnsi="Arial"/>
          <w:sz w:val="18"/>
          <w:szCs w:val="18"/>
          <w:color w:val="auto"/>
        </w:rPr>
        <w:t>has served as our Chief Executive Officer and a member of our board of directors since December 2013.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being appointed as our Chief Executive Officer, Mr. Massaro served as our Vice President, Sales and Business Development from March 2012 to December 2013. Mr. Massaro has over 20 years of background in global payments, mobile software and hardware, and e-billing at high growth technology companies, including edocs, Inc. (later acquired by Siebel Systems) and Carrier IQ. Mr. Massaro began his career as part of the technical risk services practice at PWC, LLP. He earned his Bachelor of Science degree in Management Information Systems from Babson College.</w:t>
      </w:r>
    </w:p>
    <w:p>
      <w:pPr>
        <w:spacing w:after="0" w:line="15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i w:val="1"/>
          <w:iCs w:val="1"/>
          <w:color w:val="auto"/>
        </w:rPr>
        <w:t xml:space="preserve">Rob Orgel </w:t>
      </w:r>
      <w:r>
        <w:rPr>
          <w:rFonts w:ascii="Arial" w:cs="Arial" w:eastAsia="Arial" w:hAnsi="Arial"/>
          <w:sz w:val="18"/>
          <w:szCs w:val="18"/>
          <w:color w:val="auto"/>
        </w:rPr>
        <w:t>has served as our President and Chief Operating Officer since November 2019. Mr. Orgel leads Flywire’s global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business operations, finance, legal, compliance, and corporate strategy functions. He brings extensive experience with 20 years in the technology/payments ecosystem to Flywire, including hands-on experience in legal, compliance, finance, go-to-market, business development and global operations. Prior to Flywire, Mr. Orgel served in various roles at Apple Inc. from 2010 to 2019 where he was part of the leadership team that developed, launched and grew the Apple Pay business and global expansion as well as the launch of the Apple Card. Prior to his time at Apple Inc., Mr. Orgel served as Chief Operating Officer at Quattro Wireless, Inc. from 2008 until it was acquired by Apple Inc. in 2010. Mr. Orgel has also played key leadership roles at m-Qube, Inc., a carrier billing and payment platform which was acquired by Verisign Inc., and edocs Inc., an e-billing and payment solution which was acquired by Siebel Systems (subsequently acquired by Oracle Corporation). Mr. Orgel holds Bachelor of Arts and Master of Arts degrees in International Relations from Stanford University and a Juris Doctor degree from Harvard Law School.</w:t>
      </w:r>
    </w:p>
    <w:p>
      <w:pPr>
        <w:spacing w:after="0" w:line="148" w:lineRule="exact"/>
        <w:rPr>
          <w:sz w:val="20"/>
          <w:szCs w:val="20"/>
          <w:color w:val="auto"/>
        </w:rPr>
      </w:pPr>
    </w:p>
    <w:p>
      <w:pPr>
        <w:ind w:left="120" w:right="100" w:firstLine="440"/>
        <w:spacing w:after="0" w:line="250" w:lineRule="auto"/>
        <w:rPr>
          <w:sz w:val="20"/>
          <w:szCs w:val="20"/>
          <w:color w:val="auto"/>
        </w:rPr>
      </w:pPr>
      <w:r>
        <w:rPr>
          <w:rFonts w:ascii="Arial" w:cs="Arial" w:eastAsia="Arial" w:hAnsi="Arial"/>
          <w:sz w:val="18"/>
          <w:szCs w:val="18"/>
          <w:i w:val="1"/>
          <w:iCs w:val="1"/>
          <w:color w:val="auto"/>
        </w:rPr>
        <w:t xml:space="preserve">Michael Ellis </w:t>
      </w:r>
      <w:r>
        <w:rPr>
          <w:rFonts w:ascii="Arial" w:cs="Arial" w:eastAsia="Arial" w:hAnsi="Arial"/>
          <w:sz w:val="18"/>
          <w:szCs w:val="18"/>
          <w:color w:val="auto"/>
        </w:rPr>
        <w:t>has served as our Chief Financial Officer since April 2015. Mr. Ellis has over 15 years experience in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technology/payment companies in the role of Chief Financial Officer. Prior to Flywire, Mr. Ellis was the Chief Financial Officer at CashStar, a provider of digital gifting solutions for</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spacing w:after="0" w:line="257" w:lineRule="auto"/>
        <w:rPr>
          <w:sz w:val="20"/>
          <w:szCs w:val="20"/>
          <w:color w:val="auto"/>
        </w:rPr>
      </w:pPr>
      <w:r>
        <w:rPr>
          <w:rFonts w:ascii="Arial" w:cs="Arial" w:eastAsia="Arial" w:hAnsi="Arial"/>
          <w:sz w:val="17"/>
          <w:szCs w:val="17"/>
          <w:color w:val="auto"/>
        </w:rPr>
        <w:t>retailers, from 2009 to 2015, where he oversaw multiple functions including finance, risk and settlement operations, legal, and human resources. Prior to Cashstar, Mr. Ellis was the Chief Financial Officer of Eze Castle Software after beginning his career in public accounting where he spent nearly a decade in the audit and transactions services groups of PricewaterhouseCoopers and Grant Thornton. Mr. Ellis received a Bachelor of Arts degree in Accounting and Politics &amp; Government from Ohio Wesleyan University.</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Peter Butterfield </w:t>
      </w:r>
      <w:r>
        <w:rPr>
          <w:rFonts w:ascii="Arial" w:cs="Arial" w:eastAsia="Arial" w:hAnsi="Arial"/>
          <w:sz w:val="18"/>
          <w:szCs w:val="18"/>
          <w:color w:val="auto"/>
        </w:rPr>
        <w:t>has served as our General Counsel and Chief Compliance Officer since March 2015. Prior to joining Flywire,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Butterfield held various senior management roles within Devonshire Investors, the private equity arm of Fidelity Investments, and its</w:t>
      </w:r>
    </w:p>
    <w:p>
      <w:pPr>
        <w:ind w:left="120"/>
        <w:spacing w:after="0" w:line="234" w:lineRule="auto"/>
        <w:rPr>
          <w:sz w:val="20"/>
          <w:szCs w:val="20"/>
          <w:color w:val="auto"/>
        </w:rPr>
      </w:pPr>
      <w:r>
        <w:rPr>
          <w:rFonts w:ascii="Arial" w:cs="Arial" w:eastAsia="Arial" w:hAnsi="Arial"/>
          <w:sz w:val="18"/>
          <w:szCs w:val="18"/>
          <w:color w:val="auto"/>
        </w:rPr>
        <w:t>operating companies from 2001 to 2015. During that time, Mr. Butterfield lived and worked for over a decade in Tokyo and Singapore</w:t>
      </w:r>
    </w:p>
    <w:p>
      <w:pPr>
        <w:ind w:left="120"/>
        <w:spacing w:after="0" w:line="235" w:lineRule="auto"/>
        <w:rPr>
          <w:sz w:val="20"/>
          <w:szCs w:val="20"/>
          <w:color w:val="auto"/>
        </w:rPr>
      </w:pPr>
      <w:r>
        <w:rPr>
          <w:rFonts w:ascii="Arial" w:cs="Arial" w:eastAsia="Arial" w:hAnsi="Arial"/>
          <w:sz w:val="18"/>
          <w:szCs w:val="18"/>
          <w:color w:val="auto"/>
        </w:rPr>
        <w:t>managing legal, risk, and compliance functions, and leading the ex-Japan APAC operations for KVH Co., Ltd. Mr. Butterfield holds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Bachelor of Arts in History and Government from Bowdoin College and a Juris Doctor degree from Columbia University.</w:t>
      </w:r>
    </w:p>
    <w:p>
      <w:pPr>
        <w:spacing w:after="0" w:line="153"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i w:val="1"/>
          <w:iCs w:val="1"/>
          <w:color w:val="auto"/>
        </w:rPr>
        <w:t xml:space="preserve">David King </w:t>
      </w:r>
      <w:r>
        <w:rPr>
          <w:rFonts w:ascii="Arial" w:cs="Arial" w:eastAsia="Arial" w:hAnsi="Arial"/>
          <w:sz w:val="17"/>
          <w:szCs w:val="17"/>
          <w:color w:val="auto"/>
        </w:rPr>
        <w:t>has served as our Chief Technology Officer since June 2019 and is responsible for oversight of our global technology and</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development. Mr. King joined Flywire as its Vice President of Engineering in January 2018, following our acquisition of OnPlan Holdings where he was a co-founder and leveraged his background in payments, analytics and billing to develop innovative payment plan solutions for the healthcare and education sectors. Before co-founding OnPlan in May 2014, Mr. King founded other companies including infiNET Solutions, Inc., which delivered SaaS solutions to higher education and was subsequently acquired by Nelnet, Inc. in 2006.</w:t>
      </w:r>
    </w:p>
    <w:p>
      <w:pPr>
        <w:ind w:left="120"/>
        <w:spacing w:after="0"/>
        <w:rPr>
          <w:sz w:val="20"/>
          <w:szCs w:val="20"/>
          <w:color w:val="auto"/>
        </w:rPr>
      </w:pPr>
      <w:r>
        <w:rPr>
          <w:rFonts w:ascii="Arial" w:cs="Arial" w:eastAsia="Arial" w:hAnsi="Arial"/>
          <w:sz w:val="18"/>
          <w:szCs w:val="18"/>
          <w:color w:val="auto"/>
        </w:rPr>
        <w:t>Mr. King served as president of Nelnet’s higher education division and led its transformation to become an online medical education program. He also led data security at Nelnet. Mr. King holds a Bachelor of Science in Mathematics and Physics from Westminster College, and a Master of Science in Physics from Miami University.</w:t>
      </w:r>
    </w:p>
    <w:p>
      <w:pPr>
        <w:spacing w:after="0" w:line="144" w:lineRule="exact"/>
        <w:rPr>
          <w:sz w:val="20"/>
          <w:szCs w:val="20"/>
          <w:color w:val="auto"/>
        </w:rPr>
      </w:pPr>
    </w:p>
    <w:p>
      <w:pPr>
        <w:ind w:left="120" w:right="380" w:firstLine="440"/>
        <w:spacing w:after="0" w:line="245" w:lineRule="auto"/>
        <w:rPr>
          <w:sz w:val="20"/>
          <w:szCs w:val="20"/>
          <w:color w:val="auto"/>
        </w:rPr>
      </w:pPr>
      <w:r>
        <w:rPr>
          <w:rFonts w:ascii="Arial" w:cs="Arial" w:eastAsia="Arial" w:hAnsi="Arial"/>
          <w:sz w:val="18"/>
          <w:szCs w:val="18"/>
          <w:i w:val="1"/>
          <w:iCs w:val="1"/>
          <w:color w:val="auto"/>
        </w:rPr>
        <w:t xml:space="preserve">Sharon Butler </w:t>
      </w:r>
      <w:r>
        <w:rPr>
          <w:rFonts w:ascii="Arial" w:cs="Arial" w:eastAsia="Arial" w:hAnsi="Arial"/>
          <w:sz w:val="18"/>
          <w:szCs w:val="18"/>
          <w:color w:val="auto"/>
        </w:rPr>
        <w:t>has served as our Executive Vice President of Global Education since May 2016 Prior to serving as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Global Education, Ms. Butler served as our Vice President of Global Sales from June 2014 to May 2015 and as our Global Sales Director from December 2010 to June 2014. Ms. Butler has a degree in Communications with a minor in Business from Bridgewater State University.</w:t>
      </w:r>
    </w:p>
    <w:p>
      <w:pPr>
        <w:spacing w:after="0" w:line="154"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i w:val="1"/>
          <w:iCs w:val="1"/>
          <w:color w:val="auto"/>
        </w:rPr>
        <w:t xml:space="preserve">John Talaga </w:t>
      </w:r>
      <w:r>
        <w:rPr>
          <w:rFonts w:ascii="Arial" w:cs="Arial" w:eastAsia="Arial" w:hAnsi="Arial"/>
          <w:sz w:val="18"/>
          <w:szCs w:val="18"/>
          <w:color w:val="auto"/>
        </w:rPr>
        <w:t>has served as our Executive Vice President of Healthcare since January 2018, following our acquisition of OnPlan</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where he was a co-founder and leveraged his background in payments, analytics and billing to develop innovative payment plan solutions for the healthcare and education sectors. Before co-founding OnPlan in May 2014, Mr. Talaga led the healthcare vertical for doxo inc., a multi-biller payment network. Mr. Talaga co-founded HealthCom Partners in 2001, which launched healthcare billing online account management solutions. After HealthCom sold to McKesson (to form RelayHealth, Mr. Talaga led the patient billing and payment business at RelayHealth for five years before joining doxo in 2011. Mr. Talaga holds a Bachelor’s degree from the University of Dayton.</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5" w:lineRule="exact"/>
        <w:rPr>
          <w:sz w:val="20"/>
          <w:szCs w:val="20"/>
          <w:color w:val="auto"/>
        </w:rPr>
      </w:pPr>
    </w:p>
    <w:p>
      <w:pPr>
        <w:ind w:left="120" w:right="20" w:firstLine="440"/>
        <w:spacing w:after="0" w:line="241" w:lineRule="auto"/>
        <w:rPr>
          <w:sz w:val="20"/>
          <w:szCs w:val="20"/>
          <w:color w:val="auto"/>
        </w:rPr>
      </w:pPr>
      <w:r>
        <w:rPr>
          <w:rFonts w:ascii="Arial" w:cs="Arial" w:eastAsia="Arial" w:hAnsi="Arial"/>
          <w:sz w:val="18"/>
          <w:szCs w:val="18"/>
          <w:i w:val="1"/>
          <w:iCs w:val="1"/>
          <w:color w:val="auto"/>
        </w:rPr>
        <w:t xml:space="preserve">Matt Harris </w:t>
      </w:r>
      <w:r>
        <w:rPr>
          <w:rFonts w:ascii="Arial" w:cs="Arial" w:eastAsia="Arial" w:hAnsi="Arial"/>
          <w:sz w:val="18"/>
          <w:szCs w:val="18"/>
          <w:color w:val="auto"/>
        </w:rPr>
        <w:t>has served as a member of our board of directors since January 2015. Mr. Harris has also been a Partner at Bain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since September 2012. Prior to joining Bain, Mr. Harris founded Village Ventures, Inc., an early stage venture capital firm focused on the media and financial services sectors, and served as Managing Director from January 2000 to September 2012. Mr. Harris holds a Bachelor of Arts in Political Economy from Williams College. We believe Mr. Harris is qualified to serve on our board of directors because of his extensive business experience with technology companies, including experience in the formation, development and business strategy of multiple start-up companies in the payments sector.</w:t>
      </w:r>
    </w:p>
    <w:p>
      <w:pPr>
        <w:spacing w:after="0" w:line="157" w:lineRule="exact"/>
        <w:rPr>
          <w:sz w:val="20"/>
          <w:szCs w:val="20"/>
          <w:color w:val="auto"/>
        </w:rPr>
      </w:pPr>
    </w:p>
    <w:p>
      <w:pPr>
        <w:ind w:left="120" w:right="280" w:firstLine="440"/>
        <w:spacing w:after="0" w:line="267" w:lineRule="auto"/>
        <w:rPr>
          <w:sz w:val="20"/>
          <w:szCs w:val="20"/>
          <w:color w:val="auto"/>
        </w:rPr>
      </w:pPr>
      <w:r>
        <w:rPr>
          <w:rFonts w:ascii="Arial" w:cs="Arial" w:eastAsia="Arial" w:hAnsi="Arial"/>
          <w:sz w:val="18"/>
          <w:szCs w:val="18"/>
          <w:i w:val="1"/>
          <w:iCs w:val="1"/>
          <w:color w:val="auto"/>
        </w:rPr>
        <w:t xml:space="preserve">Alex Finkelstein </w:t>
      </w:r>
      <w:r>
        <w:rPr>
          <w:rFonts w:ascii="Arial" w:cs="Arial" w:eastAsia="Arial" w:hAnsi="Arial"/>
          <w:sz w:val="18"/>
          <w:szCs w:val="18"/>
          <w:color w:val="auto"/>
        </w:rPr>
        <w:t>has served as a member of our board of directors since 2011. Mr. Finkelstein has served as a General Partner at</w:t>
      </w:r>
      <w:r>
        <w:rPr>
          <w:rFonts w:ascii="Arial" w:cs="Arial" w:eastAsia="Arial" w:hAnsi="Arial"/>
          <w:sz w:val="18"/>
          <w:szCs w:val="18"/>
          <w:i w:val="1"/>
          <w:iCs w:val="1"/>
          <w:color w:val="auto"/>
        </w:rPr>
        <w:t xml:space="preserve"> </w:t>
      </w:r>
      <w:r>
        <w:rPr>
          <w:rFonts w:ascii="Arial" w:cs="Arial" w:eastAsia="Arial" w:hAnsi="Arial"/>
          <w:sz w:val="18"/>
          <w:szCs w:val="18"/>
          <w:color w:val="auto"/>
        </w:rPr>
        <w:t>Spark Capital, a venture capital firm, since 2005. Alex began his career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55" w:lineRule="auto"/>
        <w:rPr>
          <w:sz w:val="20"/>
          <w:szCs w:val="20"/>
          <w:color w:val="auto"/>
        </w:rPr>
      </w:pPr>
      <w:r>
        <w:rPr>
          <w:rFonts w:ascii="Arial" w:cs="Arial" w:eastAsia="Arial" w:hAnsi="Arial"/>
          <w:sz w:val="17"/>
          <w:szCs w:val="17"/>
          <w:color w:val="auto"/>
        </w:rPr>
        <w:t>at Cambridge Associates before joining two early-stage venture capital firms. After a few years, he took a break from the venture capital industry to write and sell a number of original television shows to networks including FOX, Discovery, and E!. Mr. Finkelstein later returned to the venture capital industry and joined Spark at its inception. Alex earned his Bachelor of Arts in Political Science from Middlebury College. We believe Mr. Finkelstein is qualified to serve on our board of directors because of his extensive business experience with technology companies, including experience in the formation, development and business strategy of multiple start-up companies.</w:t>
      </w:r>
    </w:p>
    <w:p>
      <w:pPr>
        <w:spacing w:after="0" w:line="14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i w:val="1"/>
          <w:iCs w:val="1"/>
          <w:color w:val="auto"/>
        </w:rPr>
        <w:t xml:space="preserve">Jo Natauri </w:t>
      </w:r>
      <w:r>
        <w:rPr>
          <w:rFonts w:ascii="Arial" w:cs="Arial" w:eastAsia="Arial" w:hAnsi="Arial"/>
          <w:sz w:val="18"/>
          <w:szCs w:val="18"/>
          <w:color w:val="auto"/>
        </w:rPr>
        <w:t>has served as a member of our board of directors since November 2020. Ms. Natauri is a Managing Director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head of Healthcare Investing within the Merchant Banking Division (MBD) of Goldman Sachs, a global investment banking, securities and investment management firm, a position she has held since May 2018. In her current role, Ms. Natauri oversees a portfolio of investments and serves on the boards, or as an observer on the boards, of several MBD portfolio companies. Prior to assuming her current role at MBD, Ms. Natauri was an investment banker with Goldman Sachs for 12 years, where she led coverage of large cap companies in healthcare and other industries. She was named managing director in 2008 and partner in 2012. Ms. Natauri serves on the board of Safe Horizon, the nation’s leading victim assistance organization. Ms. Natauri earned a Bachelor of Arts in economics and biology from the University of Virginia. We believe Ms. Natauri is qualified to serve on our board of directors because of her senior management experience as a Managing Director of Goldman Sachs, board and advisory experience with other companies in our industry and her experience in the areas of finance, strategy and institutional business transactions.</w:t>
      </w:r>
    </w:p>
    <w:p>
      <w:pPr>
        <w:spacing w:after="0" w:line="14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i w:val="1"/>
          <w:iCs w:val="1"/>
          <w:color w:val="auto"/>
        </w:rPr>
        <w:t xml:space="preserve">Phillip Riese </w:t>
      </w:r>
      <w:r>
        <w:rPr>
          <w:rFonts w:ascii="Arial" w:cs="Arial" w:eastAsia="Arial" w:hAnsi="Arial"/>
          <w:sz w:val="18"/>
          <w:szCs w:val="18"/>
          <w:color w:val="auto"/>
        </w:rPr>
        <w:t>has served as a member and chair of our board of directors since August 2013. In November 1998, Mr. Riese</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Riese &amp; Others, offering his personal services as a board member and advisor with a focus on emerging and disruptive companies primarily in financial services globally. He frequently invests in those companies alongside a variety of venture capital and private equity firms. Prior to forming Riese &amp; Others, Mr. Riese spent 18 years at American Express, ultimately serving as the president of the Consumer Card Group and chairman of American Express Centurion Bank. Before joining American Express, Mr. Riese was a division executive at Chase Bank, after being a partner at M.C. Geffen, a consulting firm in South Africa. Mr. Riese serves as a board member for a number of companies across the globe, including Monzo Bank Limited in the U.K., TravelPerk S.L.U. in Spain and Remitly, Inc., Betterment LLC and Cross River Bank in the U.S. Mr. Riese holds a Bachelor’s degree in Commerce from Leeds University in England, a M.B.A. from the University of Cape Town in South Africa and a Master of Science degree from Massachusetts Institute of Technology. We believe Mr. Riese is qualified to serve on our board of directors because of his extensive experience in the payments industry and his senior management experience.</w:t>
      </w:r>
    </w:p>
    <w:p>
      <w:pPr>
        <w:spacing w:after="0" w:line="145"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i w:val="1"/>
          <w:iCs w:val="1"/>
          <w:color w:val="auto"/>
        </w:rPr>
        <w:t xml:space="preserve">Edwin Santos </w:t>
      </w:r>
      <w:r>
        <w:rPr>
          <w:rFonts w:ascii="Arial" w:cs="Arial" w:eastAsia="Arial" w:hAnsi="Arial"/>
          <w:sz w:val="18"/>
          <w:szCs w:val="18"/>
          <w:color w:val="auto"/>
        </w:rPr>
        <w:t>has served as a member of our board of directors since April 2021. Mr. Santos has had a distinguished career in</w:t>
      </w:r>
      <w:r>
        <w:rPr>
          <w:rFonts w:ascii="Arial" w:cs="Arial" w:eastAsia="Arial" w:hAnsi="Arial"/>
          <w:sz w:val="18"/>
          <w:szCs w:val="18"/>
          <w:i w:val="1"/>
          <w:iCs w:val="1"/>
          <w:color w:val="auto"/>
        </w:rPr>
        <w:t xml:space="preserve"> </w:t>
      </w:r>
      <w:r>
        <w:rPr>
          <w:rFonts w:ascii="Arial" w:cs="Arial" w:eastAsia="Arial" w:hAnsi="Arial"/>
          <w:sz w:val="18"/>
          <w:szCs w:val="18"/>
          <w:color w:val="auto"/>
        </w:rPr>
        <w:t>banking, with experience in risk management, corporate governance, management advisory services, acquisitions, and reengineering efforts. He served for many years in various positions of significant responsibility with FleetBoston Financial Group, and more recently served as Group Executive Vice President and General Auditor for Citizens Financial Group prior to his retirement in 2009. Mr. Santos currently serves as a member of the boards of directors of the Providence Mutual Fire Insurance Company, Washington Trust Bancorp Inc. and Fidelity Institutional Asset Management, a Fidelity Investments company. He is also Past President of the Board of Trustees of Rocky Hill School, and a member of the Bryant University Board of Trustees. We believe Mr. Santos is qualified to serve on our board of directors because of his professional competency and broad experience in the financial services industry.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Appointment of Officers</w:t>
      </w:r>
    </w:p>
    <w:p>
      <w:pPr>
        <w:spacing w:after="0" w:line="193"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between any of our directors or executive officers.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207" w:lineRule="exact"/>
        <w:rPr>
          <w:sz w:val="20"/>
          <w:szCs w:val="20"/>
          <w:color w:val="auto"/>
        </w:rPr>
      </w:pPr>
    </w:p>
    <w:p>
      <w:pPr>
        <w:ind w:left="120" w:right="100" w:firstLine="440"/>
        <w:spacing w:after="0" w:line="234" w:lineRule="auto"/>
        <w:rPr>
          <w:sz w:val="20"/>
          <w:szCs w:val="20"/>
          <w:color w:val="auto"/>
        </w:rPr>
      </w:pPr>
      <w:r>
        <w:rPr>
          <w:rFonts w:ascii="Arial" w:cs="Arial" w:eastAsia="Arial" w:hAnsi="Arial"/>
          <w:sz w:val="18"/>
          <w:szCs w:val="18"/>
          <w:color w:val="auto"/>
        </w:rPr>
        <w:t>Our board of directors currently consists of six members. Pursuant to our amended and restated certificate of incorporation and amended and restated voting agreement as in effect prior to this offering, the seat occupied by Mr. Finkelstein is elected by the holders of our preferred stock (excluding our Series B1-NV Preferred Stock and our Series E-2 Preferred Stock); the seat occupied by Mr. Harris is also elected by the holders of our preferred stock (excluding our Series B1-NV Preferred Stock and our Series E-2 Preferred Stock); the seat occupied by Ms. Natauri is also elected by the holders of our preferred stock (excluding our Series B1-NV Preferred Stock and our Series E-2 Preferred Stock); the seat occupied by Mr. Massaro is elected by the holders of our common stock; the seat occupied by</w:t>
      </w:r>
    </w:p>
    <w:p>
      <w:pPr>
        <w:spacing w:after="0" w:line="4" w:lineRule="exact"/>
        <w:rPr>
          <w:sz w:val="20"/>
          <w:szCs w:val="20"/>
          <w:color w:val="auto"/>
        </w:rPr>
      </w:pPr>
    </w:p>
    <w:p>
      <w:pPr>
        <w:ind w:left="120" w:right="380"/>
        <w:spacing w:after="0"/>
        <w:rPr>
          <w:sz w:val="20"/>
          <w:szCs w:val="20"/>
          <w:color w:val="auto"/>
        </w:rPr>
      </w:pPr>
      <w:r>
        <w:rPr>
          <w:rFonts w:ascii="Arial" w:cs="Arial" w:eastAsia="Arial" w:hAnsi="Arial"/>
          <w:sz w:val="18"/>
          <w:szCs w:val="18"/>
          <w:color w:val="auto"/>
        </w:rPr>
        <w:t>Mr. Riese is elected by the holders of all of our preferred stock and our common stock, voting together as a single class and on an as-converted basis; and the seat occupied by Mr. Santos is elected by the holders of all of our preferred stock and our common stock, voting together as a single class and on an as-converted basis.</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amended and restated voting agreement and the provisions of our amended and restated certificate of incorporation by which all of our current directors were elected will terminate, and no contractual obligations regarding the election of our directors will remain, effective upon the completion of this offering. Each of our directors then serving will continue to serve until the election and qualification of his or her successor, or his or her earlier death, resignation, or removal.</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Upon the completion of this offering, our board of directors will consist of members and be divided into three classes of directors that will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202" w:lineRule="exact"/>
        <w:rPr>
          <w:sz w:val="20"/>
          <w:szCs w:val="20"/>
          <w:color w:val="auto"/>
        </w:rPr>
      </w:pPr>
    </w:p>
    <w:p>
      <w:pPr>
        <w:ind w:left="880" w:right="1020" w:hanging="224"/>
        <w:spacing w:after="0" w:line="246"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Class I directors will be Michael Massaro and Jo Natauri, and their terms will expire at the first annual meeting of stockholders to be held after the completion of this offering;</w:t>
      </w:r>
    </w:p>
    <w:p>
      <w:pPr>
        <w:spacing w:after="0" w:line="196" w:lineRule="exact"/>
        <w:rPr>
          <w:rFonts w:ascii="Arial" w:cs="Arial" w:eastAsia="Arial" w:hAnsi="Arial"/>
          <w:sz w:val="18"/>
          <w:szCs w:val="18"/>
          <w:color w:val="auto"/>
        </w:rPr>
      </w:pPr>
    </w:p>
    <w:p>
      <w:pPr>
        <w:ind w:left="880" w:right="720" w:hanging="224"/>
        <w:spacing w:after="0" w:line="246"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Class II directors will be Alex Finkelstein and Matt Harris, and their terms will expire at the second annual meeting of stockholders to be held after the completion of this offering; and</w:t>
      </w:r>
    </w:p>
    <w:p>
      <w:pPr>
        <w:spacing w:after="0" w:line="196" w:lineRule="exact"/>
        <w:rPr>
          <w:rFonts w:ascii="Arial" w:cs="Arial" w:eastAsia="Arial" w:hAnsi="Arial"/>
          <w:sz w:val="18"/>
          <w:szCs w:val="18"/>
          <w:color w:val="auto"/>
        </w:rPr>
      </w:pPr>
    </w:p>
    <w:p>
      <w:pPr>
        <w:ind w:left="880" w:right="940" w:hanging="224"/>
        <w:spacing w:after="0" w:line="246"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Class III directors will be Edwin Santos and Phillip Riese, and their terms will expire at the third annual meeting of stockholders to be held after the completion of this offering.</w:t>
      </w:r>
    </w:p>
    <w:p>
      <w:pPr>
        <w:spacing w:after="0" w:line="156"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restated certificate of incorporation and restated bylaws to be in effect upon the completion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“Description of Capital Stock—Anti-takeover provisions.”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07"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In connection with this offering, we have applied to list our common stock on The Nasdaq Global Market (Nasdaq). Under the rules of Nasdaq, independent directors must comprise a majority of a listed company’s board of directors within a specified period after the completion of this offering. In addition, the rules of Nasdaq require that, subject to specified exceptions, each member of a listed company’s audit, compensation, and nominating and governance committees be independent. Under the rules of Nasdaq, a director will only qualify as an “independent director” if, in the opinion of that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company’s board of directors, that person does not have a relationship that would interfere with the exercise of independent judgment in carrying out the responsibilities of a director.</w:t>
      </w:r>
    </w:p>
    <w:p>
      <w:pPr>
        <w:spacing w:after="0" w:line="170"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15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16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all of our directors, other than Mr. Massaro, our chief executive officer, are “independent directors” as defined under the applicable rules and regulations of the SEC and the listing requirements and rules of Nasdaq.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the Board in Risk Oversight</w:t>
      </w:r>
    </w:p>
    <w:p>
      <w:pPr>
        <w:spacing w:after="0" w:line="193" w:lineRule="exact"/>
        <w:rPr>
          <w:sz w:val="20"/>
          <w:szCs w:val="20"/>
          <w:color w:val="auto"/>
        </w:rPr>
      </w:pPr>
    </w:p>
    <w:p>
      <w:pPr>
        <w:ind w:left="120" w:right="240" w:firstLine="440"/>
        <w:spacing w:after="0" w:line="236"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Our board of directors will also administer its oversight through various standing committees, which will be constituted prior to the completion of this offering, that address risks inherent in their respective areas of oversight. For example, our audit committee will be responsible for overseeing the management of risks associated with our financial reporting, accounting and auditing matters; our compensation committee will oversee the management of risks associated with our compensation policies and programs; and our nominating and corporate governance committee will oversee the management of risks associated with director independence, conflicts of interest, composition and organization of our board of directors and director succession planning.</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0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7"/>
          <w:szCs w:val="17"/>
          <w:color w:val="auto"/>
        </w:rPr>
        <w:t>Our board of directors has an audit committee, a compensation committee, and a nominating and governance committee, each of which, pursuant to its respective charter, will have the composition and responsibilities described below upon the completion of this offering. Following the completion of this offering, copies of the charters for each committee will be available on the investor relations portion of our website. Members serve on these committees until their resignation or until otherwise determined by our board of directors.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9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members of our audit committee are Mr. Santos , Mr. Riese and Mr. Finkelstein. Mr. Santos is the chair of the audit committee. Each member of our audit committee can read and understand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61" w:lineRule="auto"/>
        <w:rPr>
          <w:sz w:val="20"/>
          <w:szCs w:val="20"/>
          <w:color w:val="auto"/>
        </w:rPr>
      </w:pPr>
      <w:r>
        <w:rPr>
          <w:rFonts w:ascii="Arial" w:cs="Arial" w:eastAsia="Arial" w:hAnsi="Arial"/>
          <w:sz w:val="17"/>
          <w:szCs w:val="17"/>
          <w:color w:val="auto"/>
        </w:rPr>
        <w:t>fundamental financial statements. Each member of our audit committee is independent under the rules and regulations of the SEC and the listing standards of Nasdaq applicable to audit committee members. Our board of directors has determined that Mr. Santos qualifies as an audit committee financial expert within the meaning of SEC regulations and meets the financial sophistication requirements of Nasdaq.</w:t>
      </w:r>
    </w:p>
    <w:p>
      <w:pPr>
        <w:spacing w:after="0" w:line="159" w:lineRule="exact"/>
        <w:rPr>
          <w:sz w:val="20"/>
          <w:szCs w:val="20"/>
          <w:color w:val="auto"/>
        </w:rPr>
      </w:pPr>
    </w:p>
    <w:p>
      <w:pPr>
        <w:ind w:left="120" w:right="60" w:firstLine="440"/>
        <w:spacing w:after="0" w:line="235" w:lineRule="auto"/>
        <w:rPr>
          <w:sz w:val="20"/>
          <w:szCs w:val="20"/>
          <w:color w:val="auto"/>
        </w:rPr>
      </w:pPr>
      <w:r>
        <w:rPr>
          <w:rFonts w:ascii="Arial" w:cs="Arial" w:eastAsia="Arial" w:hAnsi="Arial"/>
          <w:sz w:val="18"/>
          <w:szCs w:val="18"/>
          <w:color w:val="auto"/>
        </w:rPr>
        <w:t>Effective at the time of the offering, our audit committee will assist our board of directors with its oversight of the integrity of our financial statements; our compliance with legal and regulatory requirements; the qualifications, independence and performance of the independent registered public accounting firm; the design and implementation of our risk assessment and risk management. Among other things, our audit committee is responsible for reviewing and discussing with our management the adequacy and effectiveness of our disclosure controls and procedures. The audit committee also will discuss with our management and independent registered public accounting firm the annual audit plan and scope of audit activities, scope and timing of the annual audit of our financial statements, and the results of the audit, quarterly reviews of our financial statements and, as appropriate, initiates inquiries into certain aspects of our financial affairs. Our audit committee is responsible for establishing and overseeing procedures for the receipt, retention and treatment of any complaints regarding accounting, internal accounting controls or auditing matters, as well as for the confidential and anonymous submissions by our employees of concerns regarding questionable accounting or auditing matters. In addition, our audit committee has direct responsibility for the appointment, compensation, retention and oversight of the work of our independent registered public accounting firm. Our audit committee has sole authority to approve the hiring and discharging of our independent registered public accounting firm, all audit engagement terms and fees and all permissible non-audit engagements with the independent auditor. Our audit committee will review and oversee all related person transactions in accordance with our policies and procedures.</w:t>
      </w:r>
    </w:p>
    <w:p>
      <w:pPr>
        <w:spacing w:after="0" w:line="173"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Our audit committee operates under a written charter that satisfies the applicable rules of the SEC and the listing standards of Nasdaq. We believe that the composition of our audit committee will meet the requirements for independence under current Nasdaq and SEC rules and regulations.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07"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The members of our compensation committee are Mr. Harris and Mr. Finkelstein. Mr. Harris is the chair of the compensation committee. Each member of our compensation committee is independent under the rules and regulations of the SEC and the listing standards of Nasdaq applicable to compensation committee members. Effective at the time of the offering, our compensation committee will assist our board of directors with its oversight of the forms and amount of compensation for our executive officers (including officers reporting under Section 16 of the Exchange Act), the administration of our equity and non-equity incentive plans for employees and other service providers and certain other matters related to our compensation programs. Our compensation committee, among other responsibilities, evaluates the performance of our chief executive officer and, in consultation with him, evaluates the performance of our other executive officers (including officers reporting under Section 16 of the Exchange Act).</w:t>
      </w:r>
    </w:p>
    <w:p>
      <w:pPr>
        <w:spacing w:after="0" w:line="167" w:lineRule="exact"/>
        <w:rPr>
          <w:sz w:val="20"/>
          <w:szCs w:val="20"/>
          <w:color w:val="auto"/>
        </w:rPr>
      </w:pPr>
    </w:p>
    <w:p>
      <w:pPr>
        <w:ind w:left="120" w:right="400" w:firstLine="440"/>
        <w:spacing w:after="0"/>
        <w:rPr>
          <w:sz w:val="20"/>
          <w:szCs w:val="20"/>
          <w:color w:val="auto"/>
        </w:rPr>
      </w:pPr>
      <w:r>
        <w:rPr>
          <w:rFonts w:ascii="Arial" w:cs="Arial" w:eastAsia="Arial" w:hAnsi="Arial"/>
          <w:sz w:val="18"/>
          <w:szCs w:val="18"/>
          <w:color w:val="auto"/>
        </w:rPr>
        <w:t>Effective at the time of the offering, our compensation committee will operate under a written charter that satisfies the applicable rules of the SEC and the listing standards of Nasdaq. We believe that the composition of our compensation committee will meet the requirements for independence under current Nasdaq and SEC rules and regulations.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0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members of our nominating and corporate governance committee are Mr. Riese and Mr. Santos. Each member of our nominating and governance committee is independent under the rules and regulations of the SEC and the listing standards of Nasdaq applicable to nominating and governance committee members. Mr. Riese is the chair of the nominating and corporate governance committee. Effective at the time of the offering, our nominating and corporate governance committee will assist our board of directors with its oversight of and identification of individuals qualified to become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20"/>
        <w:spacing w:after="0"/>
        <w:rPr>
          <w:sz w:val="20"/>
          <w:szCs w:val="20"/>
          <w:color w:val="auto"/>
        </w:rPr>
      </w:pPr>
      <w:r>
        <w:rPr>
          <w:rFonts w:ascii="Arial" w:cs="Arial" w:eastAsia="Arial" w:hAnsi="Arial"/>
          <w:sz w:val="18"/>
          <w:szCs w:val="18"/>
          <w:color w:val="auto"/>
        </w:rPr>
        <w:t>members of our board of directors, consistent with criteria approved by our board of directors, and selects, or recommends that our board of directors selects, director nominees; develops and recommends to our board of directors a set of corporate governance guidelines and oversees the evaluation of our board of directors.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93" w:lineRule="exact"/>
        <w:rPr>
          <w:sz w:val="20"/>
          <w:szCs w:val="20"/>
          <w:color w:val="auto"/>
        </w:rPr>
      </w:pPr>
    </w:p>
    <w:p>
      <w:pPr>
        <w:jc w:val="both"/>
        <w:ind w:left="120" w:right="180" w:firstLine="440"/>
        <w:spacing w:after="0" w:line="257" w:lineRule="auto"/>
        <w:rPr>
          <w:sz w:val="20"/>
          <w:szCs w:val="20"/>
          <w:color w:val="auto"/>
        </w:rPr>
      </w:pPr>
      <w:r>
        <w:rPr>
          <w:rFonts w:ascii="Arial" w:cs="Arial" w:eastAsia="Arial" w:hAnsi="Arial"/>
          <w:sz w:val="17"/>
          <w:szCs w:val="17"/>
          <w:color w:val="auto"/>
        </w:rPr>
        <w:t>No member of our compensation committee is currently or has at any time during the past year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w:t>
      </w:r>
    </w:p>
    <w:p>
      <w:pPr>
        <w:spacing w:after="0" w:line="20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7"/>
          <w:szCs w:val="17"/>
          <w:color w:val="auto"/>
        </w:rPr>
        <w:t>Our board of directors will adopt a Code of Conduct (the Code of Conduct) prior to the completion of this offering. The Code of Conduct will apply to all of our employees, officers, directors, contractors, consultants, suppliers and agents. Upon the completion of this offering, the full text of the Code of Conduct will be posted on our website at www.flywire.com under the Investor Relations section. We intend to disclose future amendments to, or waivers of, the Code of Conduct, as and to the extent required by SEC regulations, at the same location on our website identified above or in public filings. Information contained on our website is not incorporated by reference into this prospectus, and you should not consider information contained on our website to be part of this prospectus or in deciding whether to purchase shares of our common stock. We have included our website address in this prospectus solely as an inactive textual reference.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compensation paid to Mr. Massaro, our only employee director, is set forth below in the section titled “Executive Compensation.”</w:t>
      </w:r>
    </w:p>
    <w:p>
      <w:pPr>
        <w:ind w:left="120"/>
        <w:spacing w:after="0" w:line="234" w:lineRule="auto"/>
        <w:rPr>
          <w:sz w:val="20"/>
          <w:szCs w:val="20"/>
          <w:color w:val="auto"/>
        </w:rPr>
      </w:pPr>
      <w:r>
        <w:rPr>
          <w:rFonts w:ascii="Arial" w:cs="Arial" w:eastAsia="Arial" w:hAnsi="Arial"/>
          <w:sz w:val="18"/>
          <w:szCs w:val="18"/>
          <w:color w:val="auto"/>
        </w:rPr>
        <w:t>The following table provides information regarding compensation of our non-employee directors for director service, for the fiscal year</w:t>
      </w:r>
    </w:p>
    <w:p>
      <w:pPr>
        <w:ind w:left="120"/>
        <w:spacing w:after="0" w:line="235" w:lineRule="auto"/>
        <w:rPr>
          <w:sz w:val="20"/>
          <w:szCs w:val="20"/>
          <w:color w:val="auto"/>
        </w:rPr>
      </w:pPr>
      <w:r>
        <w:rPr>
          <w:rFonts w:ascii="Arial" w:cs="Arial" w:eastAsia="Arial" w:hAnsi="Arial"/>
          <w:sz w:val="18"/>
          <w:szCs w:val="18"/>
          <w:color w:val="auto"/>
        </w:rPr>
        <w:t>ended December 31, 2020. Other than as set forth in the table and described more fully below, during the fiscal year ended</w:t>
      </w:r>
    </w:p>
    <w:p>
      <w:pPr>
        <w:ind w:left="120"/>
        <w:spacing w:after="0" w:line="235" w:lineRule="auto"/>
        <w:rPr>
          <w:sz w:val="20"/>
          <w:szCs w:val="20"/>
          <w:color w:val="auto"/>
        </w:rPr>
      </w:pPr>
      <w:r>
        <w:rPr>
          <w:rFonts w:ascii="Arial" w:cs="Arial" w:eastAsia="Arial" w:hAnsi="Arial"/>
          <w:sz w:val="18"/>
          <w:szCs w:val="18"/>
          <w:color w:val="auto"/>
        </w:rPr>
        <w:t>December 31, 2020 we did not pay any fees to, make any equity awards or non-equity awards to, or pay any other compensation to the</w:t>
      </w:r>
    </w:p>
    <w:p>
      <w:pPr>
        <w:ind w:left="120"/>
        <w:spacing w:after="0"/>
        <w:rPr>
          <w:sz w:val="20"/>
          <w:szCs w:val="20"/>
          <w:color w:val="auto"/>
        </w:rPr>
      </w:pPr>
      <w:r>
        <w:rPr>
          <w:rFonts w:ascii="Arial" w:cs="Arial" w:eastAsia="Arial" w:hAnsi="Arial"/>
          <w:sz w:val="18"/>
          <w:szCs w:val="18"/>
          <w:color w:val="auto"/>
        </w:rPr>
        <w:t>non-employee members of our board of directors.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00" w:type="dxa"/>
            <w:vAlign w:val="bottom"/>
            <w:vMerge w:val="restart"/>
          </w:tcPr>
          <w:p>
            <w:pPr>
              <w:spacing w:after="0"/>
              <w:rPr>
                <w:sz w:val="20"/>
                <w:szCs w:val="20"/>
                <w:color w:val="auto"/>
              </w:rPr>
            </w:pPr>
            <w:r>
              <w:rPr>
                <w:rFonts w:ascii="Arial" w:cs="Arial" w:eastAsia="Arial" w:hAnsi="Arial"/>
                <w:sz w:val="18"/>
                <w:szCs w:val="18"/>
                <w:b w:val="1"/>
                <w:bCs w:val="1"/>
                <w:color w:val="auto"/>
                <w:w w:val="97"/>
              </w:rPr>
              <w:t>Name</w:t>
            </w:r>
          </w:p>
        </w:tc>
        <w:tc>
          <w:tcPr>
            <w:tcW w:w="7160" w:type="dxa"/>
            <w:vAlign w:val="bottom"/>
            <w:vMerge w:val="restart"/>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Option Awards ($)</w:t>
            </w:r>
            <w:r>
              <w:rPr>
                <w:rFonts w:ascii="Arial" w:cs="Arial" w:eastAsia="Arial" w:hAnsi="Arial"/>
                <w:sz w:val="15"/>
                <w:szCs w:val="15"/>
                <w:b w:val="1"/>
                <w:bCs w:val="1"/>
                <w:color w:val="auto"/>
              </w:rPr>
              <w:t>(2)</w:t>
            </w: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0"/>
        </w:trPr>
        <w:tc>
          <w:tcPr>
            <w:tcW w:w="500" w:type="dxa"/>
            <w:vAlign w:val="bottom"/>
            <w:tcBorders>
              <w:bottom w:val="single" w:sz="8" w:color="auto"/>
            </w:tcBorders>
            <w:vMerge w:val="continue"/>
          </w:tcPr>
          <w:p>
            <w:pPr>
              <w:spacing w:after="0"/>
              <w:rPr>
                <w:sz w:val="16"/>
                <w:szCs w:val="16"/>
                <w:color w:val="auto"/>
              </w:rPr>
            </w:pPr>
          </w:p>
        </w:tc>
        <w:tc>
          <w:tcPr>
            <w:tcW w:w="7160" w:type="dxa"/>
            <w:vAlign w:val="bottom"/>
            <w:vMerge w:val="continue"/>
          </w:tcPr>
          <w:p>
            <w:pPr>
              <w:spacing w:after="0"/>
              <w:rPr>
                <w:sz w:val="16"/>
                <w:szCs w:val="16"/>
                <w:color w:val="auto"/>
              </w:rPr>
            </w:pPr>
          </w:p>
        </w:tc>
        <w:tc>
          <w:tcPr>
            <w:tcW w:w="1720" w:type="dxa"/>
            <w:vAlign w:val="bottom"/>
          </w:tcPr>
          <w:p>
            <w:pPr>
              <w:jc w:val="right"/>
              <w:ind w:right="692"/>
              <w:spacing w:after="0" w:line="170" w:lineRule="exact"/>
              <w:rPr>
                <w:sz w:val="20"/>
                <w:szCs w:val="20"/>
                <w:color w:val="auto"/>
              </w:rPr>
            </w:pPr>
            <w:r>
              <w:rPr>
                <w:rFonts w:ascii="Arial" w:cs="Arial" w:eastAsia="Arial" w:hAnsi="Arial"/>
                <w:sz w:val="15"/>
                <w:szCs w:val="15"/>
                <w:b w:val="1"/>
                <w:bCs w:val="1"/>
                <w:color w:val="auto"/>
              </w:rPr>
              <w:t>(3)</w:t>
            </w:r>
          </w:p>
        </w:tc>
        <w:tc>
          <w:tcPr>
            <w:tcW w:w="8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Alex Finkelstein</w:t>
            </w:r>
          </w:p>
        </w:tc>
        <w:tc>
          <w:tcPr>
            <w:tcW w:w="1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60" w:type="dxa"/>
            <w:vAlign w:val="bottom"/>
            <w:gridSpan w:val="2"/>
          </w:tcPr>
          <w:p>
            <w:pPr>
              <w:spacing w:after="0" w:line="202" w:lineRule="exact"/>
              <w:rPr>
                <w:sz w:val="20"/>
                <w:szCs w:val="20"/>
                <w:color w:val="auto"/>
              </w:rPr>
            </w:pPr>
            <w:r>
              <w:rPr>
                <w:rFonts w:ascii="Arial" w:cs="Arial" w:eastAsia="Arial" w:hAnsi="Arial"/>
                <w:sz w:val="18"/>
                <w:szCs w:val="18"/>
                <w:color w:val="auto"/>
              </w:rPr>
              <w:t>Matt Harris</w:t>
            </w:r>
          </w:p>
        </w:tc>
        <w:tc>
          <w:tcPr>
            <w:tcW w:w="258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 Natauri</w:t>
            </w:r>
          </w:p>
        </w:tc>
        <w:tc>
          <w:tcPr>
            <w:tcW w:w="258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gridSpan w:val="2"/>
          </w:tcPr>
          <w:p>
            <w:pPr>
              <w:spacing w:after="0" w:line="202" w:lineRule="exact"/>
              <w:rPr>
                <w:sz w:val="20"/>
                <w:szCs w:val="20"/>
                <w:color w:val="auto"/>
              </w:rPr>
            </w:pPr>
            <w:r>
              <w:rPr>
                <w:rFonts w:ascii="Arial" w:cs="Arial" w:eastAsia="Arial" w:hAnsi="Arial"/>
                <w:sz w:val="18"/>
                <w:szCs w:val="18"/>
                <w:color w:val="auto"/>
              </w:rPr>
              <w:t>Phillip Riese</w:t>
            </w:r>
            <w:r>
              <w:rPr>
                <w:rFonts w:ascii="Arial" w:cs="Arial" w:eastAsia="Arial" w:hAnsi="Arial"/>
                <w:sz w:val="15"/>
                <w:szCs w:val="15"/>
                <w:color w:val="auto"/>
              </w:rPr>
              <w:t>(1)</w:t>
            </w:r>
          </w:p>
        </w:tc>
        <w:tc>
          <w:tcPr>
            <w:tcW w:w="258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142,553</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142,553</w:t>
            </w:r>
          </w:p>
        </w:tc>
        <w:tc>
          <w:tcPr>
            <w:tcW w:w="0" w:type="dxa"/>
            <w:vAlign w:val="bottom"/>
          </w:tcPr>
          <w:p>
            <w:pPr>
              <w:spacing w:after="0"/>
              <w:rPr>
                <w:sz w:val="1"/>
                <w:szCs w:val="1"/>
                <w:color w:val="auto"/>
              </w:rPr>
            </w:pPr>
          </w:p>
        </w:tc>
      </w:tr>
      <w:tr>
        <w:trPr>
          <w:trHeight w:val="203"/>
        </w:trPr>
        <w:tc>
          <w:tcPr>
            <w:tcW w:w="7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Edwin Santos</w:t>
            </w:r>
          </w:p>
        </w:tc>
        <w:tc>
          <w:tcPr>
            <w:tcW w:w="258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4" w:lineRule="exact"/>
        <w:rPr>
          <w:sz w:val="20"/>
          <w:szCs w:val="20"/>
          <w:color w:val="auto"/>
        </w:rPr>
      </w:pPr>
    </w:p>
    <w:p>
      <w:pPr>
        <w:jc w:val="both"/>
        <w:ind w:left="660" w:right="40" w:hanging="544"/>
        <w:spacing w:after="0" w:line="238" w:lineRule="auto"/>
        <w:tabs>
          <w:tab w:leader="none" w:pos="6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On May 5, 2020, Mr. Riese was granted an option to purchase 30,000 shares of our common stock at an exercise price of $11.84 per share. The option vests over a four-year period based on Mr. Riese’s continuous service with us through each vesting date, with 25% of the shares vesting on the first anniversary of the grant date and 1/48</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of the shares vesting upon the completion of each month of continuous service thereafter.</w:t>
      </w:r>
    </w:p>
    <w:p>
      <w:pPr>
        <w:spacing w:after="0" w:line="1" w:lineRule="exact"/>
        <w:rPr>
          <w:rFonts w:ascii="Arial" w:cs="Arial" w:eastAsia="Arial" w:hAnsi="Arial"/>
          <w:sz w:val="14"/>
          <w:szCs w:val="14"/>
          <w:color w:val="auto"/>
        </w:rPr>
      </w:pPr>
    </w:p>
    <w:p>
      <w:pPr>
        <w:ind w:left="660" w:right="160"/>
        <w:spacing w:after="0" w:line="249" w:lineRule="auto"/>
        <w:rPr>
          <w:rFonts w:ascii="Arial" w:cs="Arial" w:eastAsia="Arial" w:hAnsi="Arial"/>
          <w:sz w:val="14"/>
          <w:szCs w:val="14"/>
          <w:color w:val="auto"/>
        </w:rPr>
      </w:pPr>
      <w:r>
        <w:rPr>
          <w:rFonts w:ascii="Arial" w:cs="Arial" w:eastAsia="Arial" w:hAnsi="Arial"/>
          <w:sz w:val="14"/>
          <w:szCs w:val="14"/>
          <w:color w:val="auto"/>
        </w:rPr>
        <w:t>Before this offering, we did not have a formal policy to provide any cash or equity compensation to our non-employee directors for their service on our board of directors or committees of our board of directors. In connection with this offering, our board of directors expects to approve a non-employee director compensation policy, which will take effect following the completion of this offering.</w:t>
      </w:r>
    </w:p>
    <w:p>
      <w:pPr>
        <w:spacing w:after="0" w:line="106" w:lineRule="exact"/>
        <w:rPr>
          <w:rFonts w:ascii="Arial" w:cs="Arial" w:eastAsia="Arial" w:hAnsi="Arial"/>
          <w:sz w:val="14"/>
          <w:szCs w:val="14"/>
          <w:color w:val="auto"/>
        </w:rPr>
      </w:pPr>
    </w:p>
    <w:p>
      <w:pPr>
        <w:ind w:left="660" w:right="120" w:hanging="544"/>
        <w:spacing w:after="0" w:line="249" w:lineRule="auto"/>
        <w:tabs>
          <w:tab w:leader="none" w:pos="6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amounts in this column represent the aggregate grant date fair value of stock awards or option awards granted to the director, computed in accordance with FASB ASC Topic No. 718. See Note to our consolidated financial statements included elsewhere in this prospectus for a discussion of the assumptions made by us in determining the grant date fair value of our equity awards.</w:t>
      </w:r>
    </w:p>
    <w:p>
      <w:pPr>
        <w:spacing w:after="0" w:line="106" w:lineRule="exact"/>
        <w:rPr>
          <w:rFonts w:ascii="Arial" w:cs="Arial" w:eastAsia="Arial" w:hAnsi="Arial"/>
          <w:sz w:val="14"/>
          <w:szCs w:val="14"/>
          <w:color w:val="auto"/>
        </w:rPr>
      </w:pPr>
    </w:p>
    <w:p>
      <w:pPr>
        <w:ind w:left="660" w:hanging="544"/>
        <w:spacing w:after="0"/>
        <w:tabs>
          <w:tab w:leader="none" w:pos="6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Including the grant in fiscal 2020, Mr. Riese currently holds options to purchase 191,032 shares.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07"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The following tables and accompanying narrative set forth information about the fiscal 2020 compensation provided to our principal executive officer and the two most highly compensated executive officers (other than our principal executive officer) who were serving as executive officers as of December 31, 2020. These executive officers were Michael Massaro, our Chief Executive Officer, Rob Orgel, our President and Chief Operating Officer, and Michael Ellis, our Chief Financial Officer, and we refer to them in this section as our “named executive officers.”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93"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The following table sets forth information concerning the compensation of the named executive officers for the fiscal year ended December 31,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9"/>
              </w:rPr>
              <w:t>Non-Equity</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2"/>
          </w:tcPr>
          <w:p>
            <w:pPr>
              <w:jc w:val="center"/>
              <w:ind w:right="940"/>
              <w:spacing w:after="0" w:line="202" w:lineRule="exact"/>
              <w:rPr>
                <w:sz w:val="20"/>
                <w:szCs w:val="20"/>
                <w:color w:val="auto"/>
              </w:rPr>
            </w:pPr>
            <w:r>
              <w:rPr>
                <w:rFonts w:ascii="Arial" w:cs="Arial" w:eastAsia="Arial" w:hAnsi="Arial"/>
                <w:sz w:val="18"/>
                <w:szCs w:val="18"/>
                <w:b w:val="1"/>
                <w:bCs w:val="1"/>
                <w:color w:val="auto"/>
              </w:rPr>
              <w:t>Incentive Plan</w:t>
            </w:r>
          </w:p>
        </w:tc>
        <w:tc>
          <w:tcPr>
            <w:tcW w:w="1060" w:type="dxa"/>
            <w:vAlign w:val="bottom"/>
            <w:gridSpan w:val="2"/>
          </w:tcPr>
          <w:p>
            <w:pPr>
              <w:jc w:val="center"/>
              <w:ind w:right="440"/>
              <w:spacing w:after="0" w:line="202" w:lineRule="exact"/>
              <w:rPr>
                <w:sz w:val="20"/>
                <w:szCs w:val="20"/>
                <w:color w:val="auto"/>
              </w:rPr>
            </w:pPr>
            <w:r>
              <w:rPr>
                <w:rFonts w:ascii="Arial" w:cs="Arial" w:eastAsia="Arial" w:hAnsi="Arial"/>
                <w:sz w:val="18"/>
                <w:szCs w:val="18"/>
                <w:b w:val="1"/>
                <w:bCs w:val="1"/>
                <w:color w:val="auto"/>
                <w:w w:val="99"/>
              </w:rPr>
              <w:t>Option</w:t>
            </w:r>
          </w:p>
        </w:tc>
        <w:tc>
          <w:tcPr>
            <w:tcW w:w="1860" w:type="dxa"/>
            <w:vAlign w:val="bottom"/>
            <w:gridSpan w:val="2"/>
          </w:tcPr>
          <w:p>
            <w:pPr>
              <w:jc w:val="center"/>
              <w:ind w:right="620"/>
              <w:spacing w:after="0" w:line="202" w:lineRule="exact"/>
              <w:rPr>
                <w:sz w:val="20"/>
                <w:szCs w:val="20"/>
                <w:color w:val="auto"/>
              </w:rPr>
            </w:pPr>
            <w:r>
              <w:rPr>
                <w:rFonts w:ascii="Arial" w:cs="Arial" w:eastAsia="Arial" w:hAnsi="Arial"/>
                <w:sz w:val="18"/>
                <w:szCs w:val="18"/>
                <w:b w:val="1"/>
                <w:bCs w:val="1"/>
                <w:color w:val="auto"/>
                <w:w w:val="99"/>
              </w:rPr>
              <w:t>All Other</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Salary</w:t>
            </w:r>
          </w:p>
        </w:tc>
        <w:tc>
          <w:tcPr>
            <w:tcW w:w="2200" w:type="dxa"/>
            <w:vAlign w:val="bottom"/>
            <w:gridSpan w:val="2"/>
          </w:tcPr>
          <w:p>
            <w:pPr>
              <w:jc w:val="center"/>
              <w:ind w:right="940"/>
              <w:spacing w:after="0" w:line="202" w:lineRule="exact"/>
              <w:rPr>
                <w:sz w:val="20"/>
                <w:szCs w:val="20"/>
                <w:color w:val="auto"/>
              </w:rPr>
            </w:pPr>
            <w:r>
              <w:rPr>
                <w:rFonts w:ascii="Arial" w:cs="Arial" w:eastAsia="Arial" w:hAnsi="Arial"/>
                <w:sz w:val="18"/>
                <w:szCs w:val="18"/>
                <w:b w:val="1"/>
                <w:bCs w:val="1"/>
                <w:color w:val="auto"/>
              </w:rPr>
              <w:t>Compensation</w:t>
            </w: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w w:val="95"/>
              </w:rPr>
              <w:t>Awards</w:t>
            </w:r>
          </w:p>
        </w:tc>
        <w:tc>
          <w:tcPr>
            <w:tcW w:w="1860" w:type="dxa"/>
            <w:vAlign w:val="bottom"/>
            <w:gridSpan w:val="2"/>
          </w:tcPr>
          <w:p>
            <w:pPr>
              <w:jc w:val="center"/>
              <w:ind w:right="600"/>
              <w:spacing w:after="0" w:line="202" w:lineRule="exact"/>
              <w:rPr>
                <w:sz w:val="20"/>
                <w:szCs w:val="20"/>
                <w:color w:val="auto"/>
              </w:rPr>
            </w:pPr>
            <w:r>
              <w:rPr>
                <w:rFonts w:ascii="Arial" w:cs="Arial" w:eastAsia="Arial" w:hAnsi="Arial"/>
                <w:sz w:val="18"/>
                <w:szCs w:val="18"/>
                <w:b w:val="1"/>
                <w:bCs w:val="1"/>
                <w:color w:val="auto"/>
              </w:rPr>
              <w:t>Compensation</w:t>
            </w:r>
          </w:p>
        </w:tc>
        <w:tc>
          <w:tcPr>
            <w:tcW w:w="78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33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7"/>
              </w:rPr>
              <w:t>Year</w:t>
            </w:r>
          </w:p>
        </w:tc>
        <w:tc>
          <w:tcPr>
            <w:tcW w:w="4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5"/>
                <w:szCs w:val="15"/>
                <w:b w:val="1"/>
                <w:bCs w:val="1"/>
                <w:color w:val="auto"/>
                <w:w w:val="99"/>
              </w:rPr>
              <w:t>(1)</w:t>
            </w:r>
          </w:p>
        </w:tc>
        <w:tc>
          <w:tcPr>
            <w:tcW w:w="9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Michael Massaro,</w:t>
            </w: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6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9,750</w:t>
            </w:r>
            <w:r>
              <w:rPr>
                <w:rFonts w:ascii="Arial" w:cs="Arial" w:eastAsia="Arial" w:hAnsi="Arial"/>
                <w:sz w:val="15"/>
                <w:szCs w:val="15"/>
                <w:color w:val="auto"/>
              </w:rPr>
              <w:t>(2)</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Chief Executive Officer</w:t>
            </w:r>
          </w:p>
        </w:tc>
        <w:tc>
          <w:tcPr>
            <w:tcW w:w="860" w:type="dxa"/>
            <w:vAlign w:val="bottom"/>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rPr>
              <w:t>425,000</w:t>
            </w:r>
          </w:p>
        </w:tc>
        <w:tc>
          <w:tcPr>
            <w:tcW w:w="2200" w:type="dxa"/>
            <w:vAlign w:val="bottom"/>
            <w:gridSpan w:val="2"/>
            <w:shd w:val="clear" w:color="auto" w:fill="CCEEFF"/>
          </w:tcPr>
          <w:p>
            <w:pPr>
              <w:jc w:val="right"/>
              <w:ind w:right="940"/>
              <w:spacing w:after="0" w:line="203" w:lineRule="exact"/>
              <w:rPr>
                <w:sz w:val="20"/>
                <w:szCs w:val="20"/>
                <w:color w:val="auto"/>
              </w:rPr>
            </w:pPr>
            <w:r>
              <w:rPr>
                <w:rFonts w:ascii="Arial" w:cs="Arial" w:eastAsia="Arial" w:hAnsi="Arial"/>
                <w:sz w:val="18"/>
                <w:szCs w:val="18"/>
                <w:color w:val="auto"/>
              </w:rPr>
              <w:t>189,000</w:t>
            </w:r>
          </w:p>
        </w:tc>
        <w:tc>
          <w:tcPr>
            <w:tcW w:w="106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w:t>
            </w:r>
          </w:p>
        </w:tc>
        <w:tc>
          <w:tcPr>
            <w:tcW w:w="1860" w:type="dxa"/>
            <w:vAlign w:val="bottom"/>
            <w:gridSpan w:val="2"/>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614,000</w:t>
            </w:r>
          </w:p>
        </w:tc>
        <w:tc>
          <w:tcPr>
            <w:tcW w:w="0" w:type="dxa"/>
            <w:vAlign w:val="bottom"/>
          </w:tcPr>
          <w:p>
            <w:pPr>
              <w:spacing w:after="0"/>
              <w:rPr>
                <w:sz w:val="1"/>
                <w:szCs w:val="1"/>
                <w:color w:val="auto"/>
              </w:rPr>
            </w:pP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rPr>
              <w:t>Rob Orgel,</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180"/>
              <w:spacing w:after="0" w:line="202" w:lineRule="exact"/>
              <w:rPr>
                <w:sz w:val="20"/>
                <w:szCs w:val="20"/>
                <w:color w:val="auto"/>
              </w:rPr>
            </w:pPr>
            <w:r>
              <w:rPr>
                <w:rFonts w:ascii="Arial" w:cs="Arial" w:eastAsia="Arial" w:hAnsi="Arial"/>
                <w:sz w:val="18"/>
                <w:szCs w:val="18"/>
                <w:color w:val="auto"/>
              </w:rPr>
              <w:t>President and Chief Operating</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180"/>
              <w:spacing w:after="0" w:line="203" w:lineRule="exact"/>
              <w:rPr>
                <w:sz w:val="20"/>
                <w:szCs w:val="20"/>
                <w:color w:val="auto"/>
              </w:rPr>
            </w:pPr>
            <w:r>
              <w:rPr>
                <w:rFonts w:ascii="Arial" w:cs="Arial" w:eastAsia="Arial" w:hAnsi="Arial"/>
                <w:sz w:val="18"/>
                <w:szCs w:val="18"/>
                <w:color w:val="auto"/>
              </w:rPr>
              <w:t>Officer</w:t>
            </w:r>
          </w:p>
        </w:tc>
        <w:tc>
          <w:tcPr>
            <w:tcW w:w="860" w:type="dxa"/>
            <w:vAlign w:val="bottom"/>
            <w:gridSpan w:val="2"/>
          </w:tcPr>
          <w:p>
            <w:pPr>
              <w:ind w:left="40"/>
              <w:spacing w:after="0" w:line="203" w:lineRule="exact"/>
              <w:rPr>
                <w:sz w:val="20"/>
                <w:szCs w:val="20"/>
                <w:color w:val="auto"/>
              </w:rPr>
            </w:pPr>
            <w:r>
              <w:rPr>
                <w:rFonts w:ascii="Arial" w:cs="Arial" w:eastAsia="Arial" w:hAnsi="Arial"/>
                <w:sz w:val="18"/>
                <w:szCs w:val="18"/>
                <w:color w:val="auto"/>
              </w:rPr>
              <w:t>2020</w:t>
            </w:r>
          </w:p>
        </w:tc>
        <w:tc>
          <w:tcPr>
            <w:tcW w:w="88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325,000</w:t>
            </w:r>
          </w:p>
        </w:tc>
        <w:tc>
          <w:tcPr>
            <w:tcW w:w="2200" w:type="dxa"/>
            <w:vAlign w:val="bottom"/>
            <w:gridSpan w:val="2"/>
          </w:tcPr>
          <w:p>
            <w:pPr>
              <w:jc w:val="right"/>
              <w:ind w:right="940"/>
              <w:spacing w:after="0" w:line="203" w:lineRule="exact"/>
              <w:rPr>
                <w:sz w:val="20"/>
                <w:szCs w:val="20"/>
                <w:color w:val="auto"/>
              </w:rPr>
            </w:pPr>
            <w:r>
              <w:rPr>
                <w:rFonts w:ascii="Arial" w:cs="Arial" w:eastAsia="Arial" w:hAnsi="Arial"/>
                <w:sz w:val="18"/>
                <w:szCs w:val="18"/>
                <w:color w:val="auto"/>
              </w:rPr>
              <w:t>162,750</w:t>
            </w:r>
          </w:p>
        </w:tc>
        <w:tc>
          <w:tcPr>
            <w:tcW w:w="1060" w:type="dxa"/>
            <w:vAlign w:val="bottom"/>
            <w:gridSpan w:val="2"/>
          </w:tcPr>
          <w:p>
            <w:pPr>
              <w:jc w:val="right"/>
              <w:ind w:right="420"/>
              <w:spacing w:after="0" w:line="203" w:lineRule="exact"/>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600"/>
              <w:spacing w:after="0" w:line="203"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487,750</w:t>
            </w: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 Ellis,</w:t>
            </w: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6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7,825</w:t>
            </w:r>
            <w:r>
              <w:rPr>
                <w:rFonts w:ascii="Arial" w:cs="Arial" w:eastAsia="Arial" w:hAnsi="Arial"/>
                <w:sz w:val="15"/>
                <w:szCs w:val="15"/>
                <w:color w:val="auto"/>
              </w:rPr>
              <w:t>(2)</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Chief Financial Officer</w:t>
            </w:r>
          </w:p>
        </w:tc>
        <w:tc>
          <w:tcPr>
            <w:tcW w:w="860" w:type="dxa"/>
            <w:vAlign w:val="bottom"/>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rPr>
              <w:t>270,000</w:t>
            </w:r>
          </w:p>
        </w:tc>
        <w:tc>
          <w:tcPr>
            <w:tcW w:w="2200" w:type="dxa"/>
            <w:vAlign w:val="bottom"/>
            <w:gridSpan w:val="2"/>
            <w:shd w:val="clear" w:color="auto" w:fill="CCEEFF"/>
          </w:tcPr>
          <w:p>
            <w:pPr>
              <w:jc w:val="right"/>
              <w:ind w:right="940"/>
              <w:spacing w:after="0" w:line="203" w:lineRule="exact"/>
              <w:rPr>
                <w:sz w:val="20"/>
                <w:szCs w:val="20"/>
                <w:color w:val="auto"/>
              </w:rPr>
            </w:pPr>
            <w:r>
              <w:rPr>
                <w:rFonts w:ascii="Arial" w:cs="Arial" w:eastAsia="Arial" w:hAnsi="Arial"/>
                <w:sz w:val="18"/>
                <w:szCs w:val="18"/>
                <w:color w:val="auto"/>
              </w:rPr>
              <w:t>92,295</w:t>
            </w:r>
          </w:p>
        </w:tc>
        <w:tc>
          <w:tcPr>
            <w:tcW w:w="106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w:t>
            </w:r>
          </w:p>
        </w:tc>
        <w:tc>
          <w:tcPr>
            <w:tcW w:w="1860" w:type="dxa"/>
            <w:vAlign w:val="bottom"/>
            <w:gridSpan w:val="2"/>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370,120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660" w:hanging="544"/>
        <w:spacing w:after="0"/>
        <w:tabs>
          <w:tab w:leader="none" w:pos="6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Company paid Messrs. Massaro, Orgel, and Ellis bonuses for performance in the fiscal year ended December 31, 2020 that were paid on February 22, 2021.</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Company matching contributions to 401(k) plan.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207"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For 2020, the compensation program for Flywire’s named executive officers consisted of base salary and incentive compensation delivered in the form of an opportunity to earn cash bonuses.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Base Salary</w:t>
      </w:r>
    </w:p>
    <w:p>
      <w:pPr>
        <w:spacing w:after="0" w:line="189" w:lineRule="exact"/>
        <w:rPr>
          <w:sz w:val="20"/>
          <w:szCs w:val="20"/>
          <w:color w:val="auto"/>
        </w:rPr>
      </w:pPr>
    </w:p>
    <w:p>
      <w:pPr>
        <w:ind w:left="120" w:right="400" w:firstLine="440"/>
        <w:spacing w:after="0"/>
        <w:rPr>
          <w:sz w:val="20"/>
          <w:szCs w:val="20"/>
          <w:color w:val="auto"/>
        </w:rPr>
      </w:pPr>
      <w:r>
        <w:rPr>
          <w:rFonts w:ascii="Arial" w:cs="Arial" w:eastAsia="Arial" w:hAnsi="Arial"/>
          <w:sz w:val="18"/>
          <w:szCs w:val="18"/>
          <w:color w:val="auto"/>
        </w:rPr>
        <w:t>Base salary is set at a level that is commensurate with the executive’s duties and authorities, contributions, prior experience and sustained performance. Currently, the base salaries for Messrs. Massaro, Orgel and Ellis are $450,000, $350,000 and $300,000, respectively.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Incentive Bonus</w:t>
      </w:r>
    </w:p>
    <w:p>
      <w:pPr>
        <w:spacing w:after="0" w:line="189"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Cash incentive bonus is also set at a level that is commensurate with the executive’s duties and authorities, contributions, prior experience and sustained performance. With respect to each of Messrs. Massaro, Orgel, and Ellis, we have entered into offer letter agreements, described below, which sets forth their initial target cash bonuses. The current target bonus amount, subject to satisfaction of corporate and personal objectives for Messrs. Massaro, Orgel, and Ellis is $260,000, $175,000, $150,000 respectively.</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Cash Incentive Plan</w:t>
      </w:r>
    </w:p>
    <w:p>
      <w:pPr>
        <w:spacing w:after="0" w:line="202" w:lineRule="exact"/>
        <w:rPr>
          <w:sz w:val="20"/>
          <w:szCs w:val="20"/>
          <w:color w:val="auto"/>
        </w:rPr>
      </w:pPr>
    </w:p>
    <w:p>
      <w:pPr>
        <w:ind w:left="560"/>
        <w:spacing w:after="0"/>
        <w:tabs>
          <w:tab w:leader="none" w:pos="7860" w:val="left"/>
        </w:tabs>
        <w:rPr>
          <w:sz w:val="20"/>
          <w:szCs w:val="20"/>
          <w:color w:val="auto"/>
        </w:rPr>
      </w:pPr>
      <w:r>
        <w:rPr>
          <w:rFonts w:ascii="Arial" w:cs="Arial" w:eastAsia="Arial" w:hAnsi="Arial"/>
          <w:sz w:val="18"/>
          <w:szCs w:val="18"/>
          <w:color w:val="auto"/>
        </w:rPr>
        <w:t>The Management Cash Incentive Plan was approved by our board of directors on</w:t>
      </w:r>
      <w:r>
        <w:rPr>
          <w:sz w:val="20"/>
          <w:szCs w:val="20"/>
          <w:color w:val="auto"/>
        </w:rPr>
        <w:tab/>
      </w:r>
      <w:r>
        <w:rPr>
          <w:rFonts w:ascii="Arial" w:cs="Arial" w:eastAsia="Arial" w:hAnsi="Arial"/>
          <w:sz w:val="17"/>
          <w:szCs w:val="17"/>
          <w:color w:val="auto"/>
        </w:rPr>
        <w:t>, 2021, and will become effective on the</w:t>
      </w:r>
    </w:p>
    <w:p>
      <w:pPr>
        <w:ind w:left="120" w:right="240"/>
        <w:spacing w:after="0"/>
        <w:rPr>
          <w:sz w:val="20"/>
          <w:szCs w:val="20"/>
          <w:color w:val="auto"/>
        </w:rPr>
      </w:pPr>
      <w:r>
        <w:rPr>
          <w:rFonts w:ascii="Arial" w:cs="Arial" w:eastAsia="Arial" w:hAnsi="Arial"/>
          <w:sz w:val="18"/>
          <w:szCs w:val="18"/>
          <w:color w:val="auto"/>
        </w:rPr>
        <w:t>date immediately prior to the effectiveness of the registration statement for the Company’s proposed initial public offering. The Management Cash Incentive Plan is intended to provide management with the opportunity to earn incentive cash bonuses based on the achievement of certain performance criteria during a certain period as determined by the Company’s board of directors.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 Benefits and Perquisites</w:t>
      </w:r>
    </w:p>
    <w:p>
      <w:pPr>
        <w:spacing w:after="0" w:line="203"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Our named executive officers are eligible to participate in our health and welfare plans to the same extent as are full-time employees generally. We generally do not provide our named executive officers with perquisites or other personal benefits.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Retirement Benefits</w:t>
      </w:r>
    </w:p>
    <w:p>
      <w:pPr>
        <w:spacing w:after="0" w:line="189"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have established a 401(k) tax-deferred retirement savings plan, which permits participants, including our named executive officers, to make contributions by salary deduction pursuant to Section 401(k) of the Internal Revenue Code. We are responsible for administrative costs of the 401(k) plan. The Company matches 50% of every dollar contributed up to 6% of salary, subject to certain limitations under the Internal Revenue Code. For 2020, Messrs. Massaro and Ellis received an employer matching contribution of $9,750 and $7,825, respectively.</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Flywire’s Named Executive Officers and Potential Payments Upon Termination or Change of Control</w:t>
      </w:r>
    </w:p>
    <w:p>
      <w:pPr>
        <w:spacing w:after="0" w:line="193"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7"/>
          <w:szCs w:val="17"/>
          <w:color w:val="auto"/>
        </w:rPr>
        <w:t>Flywire currently maintains an offer letter with each of Messrs. Massaro, Orgel, and Ellis, as summarized below. The offer letters provide for at-will employment and, other than in the context of a termination without cause or a resignation for good reason (as such terms are defined in the offer letters), may be terminated at any time. The severance benefits and the acceleration benefits, if any, that Messrs. Massaro, Orgel, and Ellis are entitled to, each pursuant to their offer letters and award agreements, are summarized below.</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Michael Massaro</w:t>
      </w:r>
    </w:p>
    <w:p>
      <w:pPr>
        <w:spacing w:after="0" w:line="207" w:lineRule="exact"/>
        <w:rPr>
          <w:sz w:val="20"/>
          <w:szCs w:val="20"/>
          <w:color w:val="auto"/>
        </w:rPr>
      </w:pPr>
    </w:p>
    <w:p>
      <w:pPr>
        <w:ind w:left="120" w:firstLine="440"/>
        <w:spacing w:after="0" w:line="248" w:lineRule="auto"/>
        <w:rPr>
          <w:sz w:val="20"/>
          <w:szCs w:val="20"/>
          <w:color w:val="auto"/>
        </w:rPr>
      </w:pPr>
      <w:r>
        <w:rPr>
          <w:rFonts w:ascii="Arial" w:cs="Arial" w:eastAsia="Arial" w:hAnsi="Arial"/>
          <w:sz w:val="17"/>
          <w:szCs w:val="17"/>
          <w:color w:val="auto"/>
        </w:rPr>
        <w:t>Flywire entered into an offer letter with Mr. Massaro when he joined the Company as its VP of Sales and Business Development on March 16, 2012. Pursuant to the terms of the offer letter, Mr. Massaro received a base salary at an initial annual rate of $185,000 per year. Mr. Massaro was eligible to receive an annual bonus equal to up to $50,000, based on his personal performance and that of the Company. He was also eligible for additional variable commission based on sales and business development incentives for outstanding performance as mutually agreed upon based on personal and team goals. Mr. Massaro is eligible to participate in a number of benefit programs. In December 2013, Mr. Massaro was promoted to Chief Executive Officer. Mr. Massaro’s annual base salary and target cash incentive bonus are reviewed annually and have been periodically increased. On October 31, 2019, Flywire entered into a letter agreement with</w:t>
      </w:r>
    </w:p>
    <w:p>
      <w:pPr>
        <w:spacing w:after="0" w:line="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Mr. Massaro, which increased his annual base salary to $450,000 effective as of January 1, 2020, and provided that he was eligible to receive an annual on-target-bonus of up to (i) $ 210,000 for calendar year 2020, (ii) $230,000 for calendar year 2021, and (iii) $260,000 for calendar year 2022. Mr. Massaro’s base salary and target bonus amounts were adjusted by the Company as noted above in “</w:t>
      </w:r>
      <w:r>
        <w:rPr>
          <w:rFonts w:ascii="Arial" w:cs="Arial" w:eastAsia="Arial" w:hAnsi="Arial"/>
          <w:sz w:val="18"/>
          <w:szCs w:val="18"/>
          <w:i w:val="1"/>
          <w:iCs w:val="1"/>
          <w:color w:val="auto"/>
        </w:rPr>
        <w:t>Base Salary</w:t>
      </w:r>
      <w:r>
        <w:rPr>
          <w:rFonts w:ascii="Arial" w:cs="Arial" w:eastAsia="Arial" w:hAnsi="Arial"/>
          <w:sz w:val="18"/>
          <w:szCs w:val="18"/>
          <w:color w:val="auto"/>
        </w:rPr>
        <w:t>” and “</w:t>
      </w:r>
      <w:r>
        <w:rPr>
          <w:rFonts w:ascii="Arial" w:cs="Arial" w:eastAsia="Arial" w:hAnsi="Arial"/>
          <w:sz w:val="18"/>
          <w:szCs w:val="18"/>
          <w:i w:val="1"/>
          <w:iCs w:val="1"/>
          <w:color w:val="auto"/>
        </w:rPr>
        <w:t>Cash Incentive Bonus</w:t>
      </w:r>
      <w:r>
        <w:rPr>
          <w:rFonts w:ascii="Arial" w:cs="Arial" w:eastAsia="Arial" w:hAnsi="Arial"/>
          <w:sz w:val="18"/>
          <w:szCs w:val="18"/>
          <w:color w:val="auto"/>
        </w:rPr>
        <w:t>,” respectively.</w:t>
      </w:r>
    </w:p>
    <w:p>
      <w:pPr>
        <w:spacing w:after="0" w:line="164"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On November 1, 2019, Mr. Massaro was granted an option to purchase 100,908 shares of the Company’s common stock at an exercise price of $9.91 per share. The option vests over a four-year period based on Mr. Massaro’s continuous service through each vesting date, with 25% of the shares vesting on the first anniversary of September 1, 2019, and 1/48</w:t>
      </w:r>
      <w:r>
        <w:rPr>
          <w:rFonts w:ascii="Arial" w:cs="Arial" w:eastAsia="Arial" w:hAnsi="Arial"/>
          <w:sz w:val="15"/>
          <w:szCs w:val="15"/>
          <w:color w:val="auto"/>
        </w:rPr>
        <w:t>th</w:t>
      </w:r>
      <w:r>
        <w:rPr>
          <w:rFonts w:ascii="Arial" w:cs="Arial" w:eastAsia="Arial" w:hAnsi="Arial"/>
          <w:sz w:val="18"/>
          <w:szCs w:val="18"/>
          <w:color w:val="auto"/>
        </w:rPr>
        <w:t xml:space="preserve"> of the shares vesting upon the completion of each month of continuous service thereafter. If Mr. Massaro’s service is terminated without “Cause” (as defined below) or for good reason within the 12-month period following a change in control, then 100% of any unvested shares subject to this option shall immediately vest.</w:t>
      </w:r>
    </w:p>
    <w:p>
      <w:pPr>
        <w:spacing w:after="0" w:line="164"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On January 21, 2021, Mr. Massaro was granted options to purchase 200,000 shares of the Company’s common stock at an exercise price of $11.84 per share. One-half of the options vest in equal monthly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installments over a four year period and one-half of the options vest in equal monthly installments over a five-year period, in each case based on Mr. Massaro’s continuous service through each vesting date.</w:t>
      </w:r>
    </w:p>
    <w:p>
      <w:pPr>
        <w:spacing w:after="0" w:line="170"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If Mr. Massaro’s employment is terminated without “Cause” he will be eligible to receive six months of salary continuation at his then current base salary.</w:t>
      </w:r>
    </w:p>
    <w:p>
      <w:pPr>
        <w:spacing w:after="0" w:line="15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“Cause” is defined as (i) the conviction, or entry of a plea of guilty or nolo contendere, of a felony other than a traffic-related felony) or other crime involving moral turpitude, (ii) the commission of any act or omission involving dishonesty or fraud with respect to the Company, its subsidiaries or any of their customers or suppliers, which involves material harm to the Company or its subsidiaries, (iii) reporting to work under the influence of illegal drugs, (iv) failure to perform duties as reasonably directed by the Company’s board of directors which is not cured to the reasonable satisfaction of the Company’s board of directors within 10 days after written notice thereof by the Company’s board of directors to Mr. Massaro, (v) a breach of fiduciary duty, gross negligence or misconduct which causes material harm to the Company or its subsidiaries, or (vi) any breach of the provisions of the invention assignment and confidentiality agreement between Mr. Massaro and the Company, which is not cured to the reasonable satisfaction of the Company’s board of directors within 10 days after written notice thereof by the Company’s board of directors to Mr. Massaro.</w:t>
      </w:r>
    </w:p>
    <w:p>
      <w:pPr>
        <w:spacing w:after="0" w:line="166"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In addition, on March 30, 2012, Mr. Massaro entered into Flywire’s standard Employee Invention Assignment and Confidentiality Agreement, which contains a one-year post-termination non-solicitation provision.</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Rob Orgel</w:t>
      </w:r>
    </w:p>
    <w:p>
      <w:pPr>
        <w:spacing w:after="0" w:line="193"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7"/>
          <w:szCs w:val="17"/>
          <w:color w:val="auto"/>
        </w:rPr>
        <w:t>Flywire entered into an offer letter with Mr. Orgel on October 14, 2019. Pursuant to the terms of the offer letter, Mr. Orgel joined the Company as its President and Chief Operating Officer on November 4, 2019. Mr. Orgel received a base salary at an initial annual rate of $325,000 per year and is eligible to receive an annual bonus of up to $175,000, based on his personal performance and that of the Company, subject to approval of the Company’s board of directors. Mr. Orgel is eligible to participate in a number of benefit programs.</w:t>
      </w:r>
    </w:p>
    <w:p>
      <w:pPr>
        <w:spacing w:after="0" w:line="148"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In addition, pursuant to the terms of the offer letter, on November 1, 2019, Mr. Orgel was granted an option to purchase 255,000 shares of the Company’s common stock at an exercise price of $9.91 per share. The option vests over a four-year period based on Mr. Orgel’s continuous service through each vesting date, with 25% of the shares vesting on the first anniversary of November 1, 2019, and 1/48</w:t>
      </w:r>
      <w:r>
        <w:rPr>
          <w:rFonts w:ascii="Arial" w:cs="Arial" w:eastAsia="Arial" w:hAnsi="Arial"/>
          <w:sz w:val="15"/>
          <w:szCs w:val="15"/>
          <w:color w:val="auto"/>
        </w:rPr>
        <w:t>th</w:t>
      </w:r>
      <w:r>
        <w:rPr>
          <w:rFonts w:ascii="Arial" w:cs="Arial" w:eastAsia="Arial" w:hAnsi="Arial"/>
          <w:sz w:val="18"/>
          <w:szCs w:val="18"/>
          <w:color w:val="auto"/>
        </w:rPr>
        <w:t xml:space="preserve"> of the shares vesting upon the completion of each month of continuous service thereafter. In the event the Company is subject to a change in control prior to the termination of Mr. Orgel’s service and such change in control occurs prior to the second anniversary of the date of grant, 25% of the shares subject to the option shall become immediately vested, and, if applicable, such acceleration shall also disregard the one-year cliff provision such that a portion of such shares shall accelerate as well. In the event the Company completes a change in control in which other employees receive a comparable 25% vesting acceleration benefit in connection with such change in control, Mr. Orgel will not be eligible for both the 25% acceleration contemplated in the stock option agreement, and the 25% acceleration benefit provided to the other employees; provided however, if the benefit to the other employees is greater than the 25% acceleration benefit provided in the stock option agreement (or occurs after the second anniversary such that the acceleration in the stock option agreement does not apply), then Mr. Orgel will be entitled to that greater acceleration benefit in lieu of the 25% provided in the stock option agreement. Further, if Mr. Orgel terminates his employment without “Cause” or if Mr. Orgel initiates a “Resignation for Good Reason,” he will be entitled to six months of accelerated vesting, provided that if such separation occurs within the three months prior to a change in control or within twelve months following a change in control, Mr. Orgel will be entitled to 12 months of accelerated vesting (rather than six), provided in each case that he signs and executes a general release of all claims as further described below.</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offer letter provides Mr. Orgel with severance benefits if the Company terminates his employment without “Cause” or if Mr. Orgel resigns for “Good Reason” equal to six month’s salary continuation at his then current base salary for either six months following the separation, or for 12 months following the separation if the separation occurs in the three months prior to or in the 12 months following a change in control. Such severance payments are conditioned upon Mr. Orgel executing a general release of all claims that he may have against the Company or persons affiliated with the Company, which such release shall not be revoked by Mr. Orgel. Further, the post-termination exercise period of Mr. Orgel’s outstanding options shall be extended from 90 days following the termination date to the lesser of (i) the applicable option term or (ii) one year from his termination date.</w:t>
      </w:r>
    </w:p>
    <w:p>
      <w:pPr>
        <w:spacing w:after="0" w:line="17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“Cause” is defined in the offer letter as Mr. Orgel’s (i) material failure to comply with the Company’s written policies or rules after being provided written notice and 30 days’ opportunity to cure, (ii) conviction of, or plea of “guilty or “no contest” to, a crime involving moral turpitude, deceit, dishonesty or fraud that has caused harm to the Company or any affiliate of the Company, (iii) willful and continued failure to substantially perform (other than by reason of disability) his duties and responsibilities assigned or delegated after receiving written notification of such failure from the Company’s board of directors and 30 days’ opportunity to cure, (iv) any intentional act of dishonesty, deceit, fraud, moral turpitude, misconduct, breach of trust or acts intentionally against the financial or business interests of the Company, or his use or possession of illegal drugs in the workplace, (v) the material breach of any obligations under any agreement between him and the Company after being provided written notice and 30 days’ opportunity to cure, or (vi) failure to cooperate in good faith with a governmental or internal investigation of the Company or its directors, officers or employees, if the Company has requested his cooperation.</w:t>
      </w:r>
    </w:p>
    <w:p>
      <w:pPr>
        <w:spacing w:after="0" w:line="16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“Resignation for Good Reason” is defined in the offer letter as a separation as a result of Mr. Orgel’s resignation within 90 days after a relocation of his principal workplace by more than 50 miles away from the location which he was working immediately prior to the required relocation without his prior consent. A “Resignation for Good Reason” will not be deemed to have occurred unless Mr. Orgel gives the Company written notice of the condition within 90 days after the condition comes into existence and Mr. Orgel obtains actual knowledge of such condition, and the Company fails to remedy the condition within 30 days after receiving his notice.</w:t>
      </w:r>
    </w:p>
    <w:p>
      <w:pPr>
        <w:spacing w:after="0" w:line="162" w:lineRule="exact"/>
        <w:rPr>
          <w:sz w:val="20"/>
          <w:szCs w:val="20"/>
          <w:color w:val="auto"/>
        </w:rPr>
      </w:pPr>
    </w:p>
    <w:p>
      <w:pPr>
        <w:jc w:val="both"/>
        <w:ind w:left="120" w:right="500" w:firstLine="440"/>
        <w:spacing w:after="0" w:line="257" w:lineRule="auto"/>
        <w:rPr>
          <w:sz w:val="20"/>
          <w:szCs w:val="20"/>
          <w:color w:val="auto"/>
        </w:rPr>
      </w:pPr>
      <w:r>
        <w:rPr>
          <w:rFonts w:ascii="Arial" w:cs="Arial" w:eastAsia="Arial" w:hAnsi="Arial"/>
          <w:sz w:val="17"/>
          <w:szCs w:val="17"/>
          <w:color w:val="auto"/>
        </w:rPr>
        <w:t>In addition, on October 16, 2019, Mr. Orgel entered into Flywire’s standard Proprietary Rights, Non-Disclosure, Developments, Non-Competition, and Non-Solicitation Agreement, which contains a 12-month post-termination non-solicitation and non-competition provisions, provided that such 12-month period will automatically be extended to two years following the separation date if Mr. Orgel breaches a fiduciary duty to the Company or unlawfully takes, physically or electronically, any property belonging to the Company.</w:t>
      </w:r>
    </w:p>
    <w:p>
      <w:pPr>
        <w:spacing w:after="0" w:line="162"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On January 21, 2021, Mr. Orgel was granted an option to purchase 150,000 shares of the Company’s common stock at an exercise price of $ 11.84 per share. The option vests over a four-year period based on Mr. Orgel’s continuous service through each vesting date, with 25% of the shares vesting on the first anniversary of the grant date, and 1/48</w:t>
      </w:r>
      <w:r>
        <w:rPr>
          <w:rFonts w:ascii="Arial" w:cs="Arial" w:eastAsia="Arial" w:hAnsi="Arial"/>
          <w:sz w:val="15"/>
          <w:szCs w:val="15"/>
          <w:color w:val="auto"/>
        </w:rPr>
        <w:t>th</w:t>
      </w:r>
      <w:r>
        <w:rPr>
          <w:rFonts w:ascii="Arial" w:cs="Arial" w:eastAsia="Arial" w:hAnsi="Arial"/>
          <w:sz w:val="18"/>
          <w:szCs w:val="18"/>
          <w:color w:val="auto"/>
        </w:rPr>
        <w:t xml:space="preserve"> of the shares vesting upon the completion of each month of continuous service thereafter.</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Michael Ellis</w:t>
      </w:r>
    </w:p>
    <w:p>
      <w:pPr>
        <w:spacing w:after="0" w:line="193"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Flywire entered into an offer letter with Mr. Ellis on February 10, 2015 when he joined the Company as its Chief Financial Officer. Mr. Ellis received a base salary at an initial annual rate of $225,000 per year and was eligible to receive an annual bonus equal to up to $70,000, based on his personal performance and that of the Company. On May 1, 2018, Mr. Ellis’s base salary was adjusted to $270,000 annually, and he is eligible to receive an annual bonus of up to $100,000. Mr. Ellis is eligible to participate in a number of benefit programs.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0" w:firstLine="440"/>
        <w:spacing w:after="0" w:line="238" w:lineRule="auto"/>
        <w:rPr>
          <w:sz w:val="20"/>
          <w:szCs w:val="20"/>
          <w:color w:val="auto"/>
        </w:rPr>
      </w:pPr>
      <w:r>
        <w:rPr>
          <w:rFonts w:ascii="Arial" w:cs="Arial" w:eastAsia="Arial" w:hAnsi="Arial"/>
          <w:sz w:val="18"/>
          <w:szCs w:val="18"/>
          <w:color w:val="auto"/>
        </w:rPr>
        <w:t>The offer letter provides Mr. Ellis with severance benefits if the Company terminates his employment without “Cause” within six months following a change of control equal to (i) six months of salary continuation at his then current base salary, plus (ii) COBRA premiums coverage for up to six months. Such severance payments are conditioned upon Mr. Ellis executing a general release of all claims that he may have against the Company or persons affiliated with the Company, which such release shall not be revoked by Mr. Ellis.</w:t>
      </w:r>
    </w:p>
    <w:p>
      <w:pPr>
        <w:spacing w:after="0" w:line="17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“Cause” is defined in the offer letter Mr. Ellis’s as (i) material breach of the offer letter or material breach or threatened breached of his confidentiality and assignment agreement, (ii) continuing failure, after notice thereof, to perform his assigned duties (other than any such failure resulting from disability, as defined in the Company’s long-term disability insurance policy), (iii) material failure to comply with the Company’s written policies or rules, which failure is reasonably likely to harm the Company, as determined by the Company’s board of directors in its sole discretion, (iv) conviction of, or plea of “guilty” or “no contest” to, a felony under the laws of the United States or any state thereof or a crime of moral turpitude, or (v) act of gross negligence, willful misconduct, fraud or breach of fiduciary duty in the performance of his employment.</w:t>
      </w:r>
    </w:p>
    <w:p>
      <w:pPr>
        <w:spacing w:after="0" w:line="16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On January 21, 2021, Mr. Ellis was granted an option to purchase 65,000 shares of the Company’s common stock at an exercise price of $11.84 per share. The option vests over a four-year period based on Mr. Ellis’s continuous service through each vesting date, with 25% of the shares vesting on the first anniversary of the grant date, and 1/48</w:t>
      </w:r>
      <w:r>
        <w:rPr>
          <w:rFonts w:ascii="Arial" w:cs="Arial" w:eastAsia="Arial" w:hAnsi="Arial"/>
          <w:sz w:val="15"/>
          <w:szCs w:val="15"/>
          <w:color w:val="auto"/>
        </w:rPr>
        <w:t>th</w:t>
      </w:r>
      <w:r>
        <w:rPr>
          <w:rFonts w:ascii="Arial" w:cs="Arial" w:eastAsia="Arial" w:hAnsi="Arial"/>
          <w:sz w:val="18"/>
          <w:szCs w:val="18"/>
          <w:color w:val="auto"/>
        </w:rPr>
        <w:t xml:space="preserve"> of the shares vesting upon the completion of each month of continuous service thereafter.</w:t>
      </w:r>
    </w:p>
    <w:p>
      <w:pPr>
        <w:spacing w:after="0" w:line="164" w:lineRule="exact"/>
        <w:rPr>
          <w:sz w:val="20"/>
          <w:szCs w:val="20"/>
          <w:color w:val="auto"/>
        </w:rPr>
      </w:pPr>
    </w:p>
    <w:p>
      <w:pPr>
        <w:ind w:left="120" w:right="920" w:firstLine="440"/>
        <w:spacing w:after="0" w:line="246" w:lineRule="auto"/>
        <w:rPr>
          <w:sz w:val="20"/>
          <w:szCs w:val="20"/>
          <w:color w:val="auto"/>
        </w:rPr>
      </w:pPr>
      <w:r>
        <w:rPr>
          <w:rFonts w:ascii="Arial" w:cs="Arial" w:eastAsia="Arial" w:hAnsi="Arial"/>
          <w:sz w:val="18"/>
          <w:szCs w:val="18"/>
          <w:color w:val="auto"/>
        </w:rPr>
        <w:t>In addition, on April 23, 2015, Mr. Ellis entered into Flywire’s standard Employee Invention Assignment and Confidentiality Agreement, which contains a one-year post-termination non-solicitation provision.</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2020 Year End</w:t>
      </w:r>
    </w:p>
    <w:p>
      <w:pPr>
        <w:spacing w:after="0" w:line="193"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The following table presents information regarding outstanding equity awards held by the named executive officers as of December 31, 2020.</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940" w:type="dxa"/>
            <w:vAlign w:val="bottom"/>
            <w:gridSpan w:val="2"/>
          </w:tcPr>
          <w:p>
            <w:pPr>
              <w:jc w:val="center"/>
              <w:ind w:right="1984"/>
              <w:spacing w:after="0"/>
              <w:rPr>
                <w:sz w:val="20"/>
                <w:szCs w:val="20"/>
                <w:color w:val="auto"/>
              </w:rPr>
            </w:pPr>
            <w:r>
              <w:rPr>
                <w:rFonts w:ascii="Arial" w:cs="Arial" w:eastAsia="Arial" w:hAnsi="Arial"/>
                <w:sz w:val="14"/>
                <w:szCs w:val="14"/>
                <w:b w:val="1"/>
                <w:bCs w:val="1"/>
                <w:color w:val="auto"/>
              </w:rPr>
              <w:t>Number of</w:t>
            </w:r>
          </w:p>
        </w:tc>
        <w:tc>
          <w:tcPr>
            <w:tcW w:w="17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Number of</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940" w:type="dxa"/>
            <w:vAlign w:val="bottom"/>
            <w:gridSpan w:val="2"/>
          </w:tcPr>
          <w:p>
            <w:pPr>
              <w:jc w:val="center"/>
              <w:ind w:right="1984"/>
              <w:spacing w:after="0"/>
              <w:rPr>
                <w:sz w:val="20"/>
                <w:szCs w:val="20"/>
                <w:color w:val="auto"/>
              </w:rPr>
            </w:pPr>
            <w:r>
              <w:rPr>
                <w:rFonts w:ascii="Arial" w:cs="Arial" w:eastAsia="Arial" w:hAnsi="Arial"/>
                <w:sz w:val="14"/>
                <w:szCs w:val="14"/>
                <w:b w:val="1"/>
                <w:bCs w:val="1"/>
                <w:color w:val="auto"/>
              </w:rPr>
              <w:t>Securities</w:t>
            </w:r>
          </w:p>
        </w:tc>
        <w:tc>
          <w:tcPr>
            <w:tcW w:w="17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Securities</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940" w:type="dxa"/>
            <w:vAlign w:val="bottom"/>
            <w:gridSpan w:val="2"/>
          </w:tcPr>
          <w:p>
            <w:pPr>
              <w:jc w:val="center"/>
              <w:ind w:right="1984"/>
              <w:spacing w:after="0"/>
              <w:rPr>
                <w:sz w:val="20"/>
                <w:szCs w:val="20"/>
                <w:color w:val="auto"/>
              </w:rPr>
            </w:pPr>
            <w:r>
              <w:rPr>
                <w:rFonts w:ascii="Arial" w:cs="Arial" w:eastAsia="Arial" w:hAnsi="Arial"/>
                <w:sz w:val="14"/>
                <w:szCs w:val="14"/>
                <w:b w:val="1"/>
                <w:bCs w:val="1"/>
                <w:color w:val="auto"/>
              </w:rPr>
              <w:t>Underlying</w:t>
            </w:r>
          </w:p>
        </w:tc>
        <w:tc>
          <w:tcPr>
            <w:tcW w:w="17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Underlying</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940" w:type="dxa"/>
            <w:vAlign w:val="bottom"/>
            <w:gridSpan w:val="2"/>
          </w:tcPr>
          <w:p>
            <w:pPr>
              <w:jc w:val="center"/>
              <w:ind w:right="2004"/>
              <w:spacing w:after="0"/>
              <w:rPr>
                <w:sz w:val="20"/>
                <w:szCs w:val="20"/>
                <w:color w:val="auto"/>
              </w:rPr>
            </w:pPr>
            <w:r>
              <w:rPr>
                <w:rFonts w:ascii="Arial" w:cs="Arial" w:eastAsia="Arial" w:hAnsi="Arial"/>
                <w:sz w:val="14"/>
                <w:szCs w:val="14"/>
                <w:b w:val="1"/>
                <w:bCs w:val="1"/>
                <w:color w:val="auto"/>
              </w:rPr>
              <w:t>Unexercised</w:t>
            </w:r>
          </w:p>
        </w:tc>
        <w:tc>
          <w:tcPr>
            <w:tcW w:w="17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Unexercised</w:t>
            </w:r>
          </w:p>
        </w:tc>
        <w:tc>
          <w:tcPr>
            <w:tcW w:w="14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Option</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940" w:type="dxa"/>
            <w:vAlign w:val="bottom"/>
            <w:gridSpan w:val="2"/>
          </w:tcPr>
          <w:p>
            <w:pPr>
              <w:jc w:val="center"/>
              <w:ind w:right="2004"/>
              <w:spacing w:after="0"/>
              <w:rPr>
                <w:sz w:val="20"/>
                <w:szCs w:val="20"/>
                <w:color w:val="auto"/>
              </w:rPr>
            </w:pPr>
            <w:r>
              <w:rPr>
                <w:rFonts w:ascii="Arial" w:cs="Arial" w:eastAsia="Arial" w:hAnsi="Arial"/>
                <w:sz w:val="14"/>
                <w:szCs w:val="14"/>
                <w:b w:val="1"/>
                <w:bCs w:val="1"/>
                <w:color w:val="auto"/>
              </w:rPr>
              <w:t>Options</w:t>
            </w:r>
          </w:p>
        </w:tc>
        <w:tc>
          <w:tcPr>
            <w:tcW w:w="17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Options</w:t>
            </w:r>
          </w:p>
        </w:tc>
        <w:tc>
          <w:tcPr>
            <w:tcW w:w="14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Exercise</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480" w:type="dxa"/>
            <w:vAlign w:val="bottom"/>
            <w:vMerge w:val="restart"/>
          </w:tcPr>
          <w:p>
            <w:pPr>
              <w:spacing w:after="0"/>
              <w:rPr>
                <w:sz w:val="14"/>
                <w:szCs w:val="14"/>
                <w:color w:val="auto"/>
              </w:rPr>
            </w:pPr>
          </w:p>
        </w:tc>
        <w:tc>
          <w:tcPr>
            <w:tcW w:w="2940" w:type="dxa"/>
            <w:vAlign w:val="bottom"/>
            <w:gridSpan w:val="2"/>
          </w:tcPr>
          <w:p>
            <w:pPr>
              <w:jc w:val="center"/>
              <w:ind w:right="1984"/>
              <w:spacing w:after="0"/>
              <w:rPr>
                <w:sz w:val="20"/>
                <w:szCs w:val="20"/>
                <w:color w:val="auto"/>
              </w:rPr>
            </w:pPr>
            <w:r>
              <w:rPr>
                <w:rFonts w:ascii="Arial" w:cs="Arial" w:eastAsia="Arial" w:hAnsi="Arial"/>
                <w:sz w:val="14"/>
                <w:szCs w:val="14"/>
                <w:b w:val="1"/>
                <w:bCs w:val="1"/>
                <w:color w:val="auto"/>
              </w:rPr>
              <w:t>Exercisable</w:t>
            </w:r>
          </w:p>
        </w:tc>
        <w:tc>
          <w:tcPr>
            <w:tcW w:w="17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Unexercisable</w:t>
            </w:r>
          </w:p>
        </w:tc>
        <w:tc>
          <w:tcPr>
            <w:tcW w:w="14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9"/>
              </w:rPr>
              <w:t>Price</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3480" w:type="dxa"/>
            <w:vAlign w:val="bottom"/>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5"/>
                <w:szCs w:val="15"/>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89"/>
        </w:trPr>
        <w:tc>
          <w:tcPr>
            <w:tcW w:w="3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Michael Massaro</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337,989</w:t>
            </w:r>
          </w:p>
        </w:tc>
        <w:tc>
          <w:tcPr>
            <w:tcW w:w="2080" w:type="dxa"/>
            <w:vAlign w:val="bottom"/>
            <w:tcBorders>
              <w:top w:val="single" w:sz="8" w:color="CCEEFF"/>
            </w:tcBorders>
            <w:shd w:val="clear" w:color="auto" w:fill="CCEEFF"/>
          </w:tcPr>
          <w:p>
            <w:pPr>
              <w:jc w:val="right"/>
              <w:ind w:right="1624"/>
              <w:spacing w:after="0" w:line="168" w:lineRule="exact"/>
              <w:rPr>
                <w:sz w:val="20"/>
                <w:szCs w:val="20"/>
                <w:color w:val="auto"/>
              </w:rPr>
            </w:pPr>
            <w:r>
              <w:rPr>
                <w:rFonts w:ascii="Arial" w:cs="Arial" w:eastAsia="Arial" w:hAnsi="Arial"/>
                <w:sz w:val="15"/>
                <w:szCs w:val="15"/>
                <w:color w:val="auto"/>
                <w:w w:val="98"/>
              </w:rPr>
              <w:t>(1)(2)</w:t>
            </w: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7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0.61</w:t>
            </w:r>
          </w:p>
        </w:tc>
        <w:tc>
          <w:tcPr>
            <w:tcW w:w="8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3/11/2024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tcPr>
          <w:p>
            <w:pPr>
              <w:jc w:val="right"/>
              <w:ind w:right="1624"/>
              <w:spacing w:after="0" w:line="202" w:lineRule="exact"/>
              <w:rPr>
                <w:sz w:val="20"/>
                <w:szCs w:val="20"/>
                <w:color w:val="auto"/>
              </w:rPr>
            </w:pPr>
            <w:r>
              <w:rPr>
                <w:rFonts w:ascii="Arial" w:cs="Arial" w:eastAsia="Arial" w:hAnsi="Arial"/>
                <w:sz w:val="18"/>
                <w:szCs w:val="18"/>
                <w:color w:val="auto"/>
              </w:rPr>
              <w:t>86,359</w:t>
            </w:r>
            <w:r>
              <w:rPr>
                <w:rFonts w:ascii="Arial" w:cs="Arial" w:eastAsia="Arial" w:hAnsi="Arial"/>
                <w:sz w:val="15"/>
                <w:szCs w:val="15"/>
                <w:color w:val="auto"/>
              </w:rPr>
              <w:t>(2)(3)</w:t>
            </w:r>
          </w:p>
        </w:tc>
        <w:tc>
          <w:tcPr>
            <w:tcW w:w="17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1.06</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4/29/2025</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shd w:val="clear" w:color="auto" w:fill="CCEEFF"/>
          </w:tcPr>
          <w:p>
            <w:pPr>
              <w:jc w:val="right"/>
              <w:ind w:right="1624"/>
              <w:spacing w:after="0" w:line="202" w:lineRule="exact"/>
              <w:rPr>
                <w:sz w:val="20"/>
                <w:szCs w:val="20"/>
                <w:color w:val="auto"/>
              </w:rPr>
            </w:pPr>
            <w:r>
              <w:rPr>
                <w:rFonts w:ascii="Arial" w:cs="Arial" w:eastAsia="Arial" w:hAnsi="Arial"/>
                <w:sz w:val="18"/>
                <w:szCs w:val="18"/>
                <w:color w:val="auto"/>
              </w:rPr>
              <w:t>35,911</w:t>
            </w:r>
            <w:r>
              <w:rPr>
                <w:rFonts w:ascii="Arial" w:cs="Arial" w:eastAsia="Arial" w:hAnsi="Arial"/>
                <w:sz w:val="15"/>
                <w:szCs w:val="15"/>
                <w:color w:val="auto"/>
              </w:rPr>
              <w:t>(2)(3)</w:t>
            </w:r>
          </w:p>
        </w:tc>
        <w:tc>
          <w:tcPr>
            <w:tcW w:w="17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4/29/2025</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tcPr>
          <w:p>
            <w:pPr>
              <w:jc w:val="right"/>
              <w:ind w:right="1624"/>
              <w:spacing w:after="0" w:line="202" w:lineRule="exact"/>
              <w:rPr>
                <w:sz w:val="20"/>
                <w:szCs w:val="20"/>
                <w:color w:val="auto"/>
              </w:rPr>
            </w:pPr>
            <w:r>
              <w:rPr>
                <w:rFonts w:ascii="Arial" w:cs="Arial" w:eastAsia="Arial" w:hAnsi="Arial"/>
                <w:sz w:val="18"/>
                <w:szCs w:val="18"/>
                <w:color w:val="auto"/>
              </w:rPr>
              <w:t>77,055</w:t>
            </w:r>
            <w:r>
              <w:rPr>
                <w:rFonts w:ascii="Arial" w:cs="Arial" w:eastAsia="Arial" w:hAnsi="Arial"/>
                <w:sz w:val="15"/>
                <w:szCs w:val="15"/>
                <w:color w:val="auto"/>
              </w:rPr>
              <w:t>(2)(4)</w:t>
            </w:r>
          </w:p>
        </w:tc>
        <w:tc>
          <w:tcPr>
            <w:tcW w:w="17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1.77</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5/24/2026</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shd w:val="clear" w:color="auto" w:fill="CCEEFF"/>
          </w:tcPr>
          <w:p>
            <w:pPr>
              <w:jc w:val="right"/>
              <w:ind w:right="1624"/>
              <w:spacing w:after="0" w:line="202" w:lineRule="exact"/>
              <w:rPr>
                <w:sz w:val="20"/>
                <w:szCs w:val="20"/>
                <w:color w:val="auto"/>
              </w:rPr>
            </w:pPr>
            <w:r>
              <w:rPr>
                <w:rFonts w:ascii="Arial" w:cs="Arial" w:eastAsia="Arial" w:hAnsi="Arial"/>
                <w:sz w:val="18"/>
                <w:szCs w:val="18"/>
                <w:color w:val="auto"/>
              </w:rPr>
              <w:t>77,866</w:t>
            </w:r>
            <w:r>
              <w:rPr>
                <w:rFonts w:ascii="Arial" w:cs="Arial" w:eastAsia="Arial" w:hAnsi="Arial"/>
                <w:sz w:val="15"/>
                <w:szCs w:val="15"/>
                <w:color w:val="auto"/>
              </w:rPr>
              <w:t>(2)(4)</w:t>
            </w:r>
          </w:p>
        </w:tc>
        <w:tc>
          <w:tcPr>
            <w:tcW w:w="17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1.77</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5/24/2026</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tcPr>
          <w:p>
            <w:pPr>
              <w:jc w:val="right"/>
              <w:ind w:right="1624"/>
              <w:spacing w:after="0" w:line="202" w:lineRule="exact"/>
              <w:rPr>
                <w:sz w:val="20"/>
                <w:szCs w:val="20"/>
                <w:color w:val="auto"/>
              </w:rPr>
            </w:pPr>
            <w:r>
              <w:rPr>
                <w:rFonts w:ascii="Arial" w:cs="Arial" w:eastAsia="Arial" w:hAnsi="Arial"/>
                <w:sz w:val="18"/>
                <w:szCs w:val="18"/>
                <w:color w:val="auto"/>
              </w:rPr>
              <w:t>130,855</w:t>
            </w:r>
            <w:r>
              <w:rPr>
                <w:rFonts w:ascii="Arial" w:cs="Arial" w:eastAsia="Arial" w:hAnsi="Arial"/>
                <w:sz w:val="15"/>
                <w:szCs w:val="15"/>
                <w:color w:val="auto"/>
              </w:rPr>
              <w:t>(2)(5)</w:t>
            </w:r>
          </w:p>
        </w:tc>
        <w:tc>
          <w:tcPr>
            <w:tcW w:w="17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154,647</w:t>
            </w:r>
          </w:p>
        </w:tc>
        <w:tc>
          <w:tcPr>
            <w:tcW w:w="140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9.83</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2/27/2029</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31,533</w:t>
            </w:r>
            <w:r>
              <w:rPr>
                <w:rFonts w:ascii="Arial" w:cs="Arial" w:eastAsia="Arial" w:hAnsi="Arial"/>
                <w:sz w:val="15"/>
                <w:szCs w:val="15"/>
                <w:color w:val="auto"/>
              </w:rPr>
              <w:t>(2)(6)(11)</w:t>
            </w:r>
          </w:p>
        </w:tc>
        <w:tc>
          <w:tcPr>
            <w:tcW w:w="17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69,375</w:t>
            </w:r>
          </w:p>
        </w:tc>
        <w:tc>
          <w:tcPr>
            <w:tcW w:w="140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9.91</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10/31/2029</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Rob Orgel</w:t>
            </w:r>
          </w:p>
        </w:tc>
        <w:tc>
          <w:tcPr>
            <w:tcW w:w="294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69,062</w:t>
            </w:r>
            <w:r>
              <w:rPr>
                <w:rFonts w:ascii="Arial" w:cs="Arial" w:eastAsia="Arial" w:hAnsi="Arial"/>
                <w:sz w:val="15"/>
                <w:szCs w:val="15"/>
                <w:color w:val="auto"/>
              </w:rPr>
              <w:t>(7)(8)(12)(13)</w:t>
            </w:r>
          </w:p>
        </w:tc>
        <w:tc>
          <w:tcPr>
            <w:tcW w:w="17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185,938</w:t>
            </w:r>
          </w:p>
        </w:tc>
        <w:tc>
          <w:tcPr>
            <w:tcW w:w="140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9.91</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10/31/2029</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Ellis</w:t>
            </w:r>
          </w:p>
        </w:tc>
        <w:tc>
          <w:tcPr>
            <w:tcW w:w="2940" w:type="dxa"/>
            <w:vAlign w:val="bottom"/>
            <w:gridSpan w:val="2"/>
            <w:shd w:val="clear" w:color="auto" w:fill="CCEEFF"/>
          </w:tcPr>
          <w:p>
            <w:pPr>
              <w:jc w:val="right"/>
              <w:ind w:right="1624"/>
              <w:spacing w:after="0" w:line="202" w:lineRule="exact"/>
              <w:rPr>
                <w:sz w:val="20"/>
                <w:szCs w:val="20"/>
                <w:color w:val="auto"/>
              </w:rPr>
            </w:pPr>
            <w:r>
              <w:rPr>
                <w:rFonts w:ascii="Arial" w:cs="Arial" w:eastAsia="Arial" w:hAnsi="Arial"/>
                <w:sz w:val="18"/>
                <w:szCs w:val="18"/>
                <w:color w:val="auto"/>
              </w:rPr>
              <w:t>125,270</w:t>
            </w:r>
            <w:r>
              <w:rPr>
                <w:rFonts w:ascii="Arial" w:cs="Arial" w:eastAsia="Arial" w:hAnsi="Arial"/>
                <w:sz w:val="15"/>
                <w:szCs w:val="15"/>
                <w:color w:val="auto"/>
              </w:rPr>
              <w:t>(8)(9)</w:t>
            </w:r>
          </w:p>
        </w:tc>
        <w:tc>
          <w:tcPr>
            <w:tcW w:w="17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4/29/2025</w:t>
            </w:r>
          </w:p>
        </w:tc>
        <w:tc>
          <w:tcPr>
            <w:tcW w:w="0" w:type="dxa"/>
            <w:vAlign w:val="bottom"/>
          </w:tcPr>
          <w:p>
            <w:pPr>
              <w:spacing w:after="0"/>
              <w:rPr>
                <w:sz w:val="1"/>
                <w:szCs w:val="1"/>
                <w:color w:val="auto"/>
              </w:rPr>
            </w:pPr>
          </w:p>
        </w:tc>
      </w:tr>
      <w:tr>
        <w:trPr>
          <w:trHeight w:val="217"/>
        </w:trPr>
        <w:tc>
          <w:tcPr>
            <w:tcW w:w="3880" w:type="dxa"/>
            <w:vAlign w:val="bottom"/>
            <w:gridSpan w:val="2"/>
          </w:tcPr>
          <w:p>
            <w:pPr>
              <w:spacing w:after="0"/>
              <w:rPr>
                <w:sz w:val="20"/>
                <w:szCs w:val="20"/>
                <w:color w:val="auto"/>
              </w:rPr>
            </w:pPr>
            <w:r>
              <w:rPr>
                <w:rFonts w:ascii="Arial" w:cs="Arial" w:eastAsia="Arial" w:hAnsi="Arial"/>
                <w:sz w:val="18"/>
                <w:szCs w:val="18"/>
                <w:color w:val="auto"/>
              </w:rPr>
              <w:t>Michael Ellis</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35,208</w:t>
            </w:r>
            <w:r>
              <w:rPr>
                <w:rFonts w:ascii="Arial" w:cs="Arial" w:eastAsia="Arial" w:hAnsi="Arial"/>
                <w:sz w:val="15"/>
                <w:szCs w:val="15"/>
                <w:color w:val="auto"/>
              </w:rPr>
              <w:t>(8)(10)</w:t>
            </w:r>
          </w:p>
        </w:tc>
        <w:tc>
          <w:tcPr>
            <w:tcW w:w="1780" w:type="dxa"/>
            <w:vAlign w:val="bottom"/>
            <w:gridSpan w:val="2"/>
          </w:tcPr>
          <w:p>
            <w:pPr>
              <w:jc w:val="right"/>
              <w:ind w:right="780"/>
              <w:spacing w:after="0"/>
              <w:rPr>
                <w:sz w:val="20"/>
                <w:szCs w:val="20"/>
                <w:color w:val="auto"/>
              </w:rPr>
            </w:pPr>
            <w:r>
              <w:rPr>
                <w:rFonts w:ascii="Arial" w:cs="Arial" w:eastAsia="Arial" w:hAnsi="Arial"/>
                <w:sz w:val="18"/>
                <w:szCs w:val="18"/>
                <w:color w:val="auto"/>
              </w:rPr>
              <w:t>29,792</w:t>
            </w: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9.83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11/27/2028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December 13, 2013.</w:t>
      </w:r>
    </w:p>
    <w:p>
      <w:pPr>
        <w:spacing w:after="0" w:line="1" w:lineRule="exact"/>
        <w:rPr>
          <w:rFonts w:ascii="Arial" w:cs="Arial" w:eastAsia="Arial" w:hAnsi="Arial"/>
          <w:sz w:val="14"/>
          <w:szCs w:val="14"/>
          <w:color w:val="auto"/>
        </w:rPr>
      </w:pPr>
    </w:p>
    <w:p>
      <w:pPr>
        <w:ind w:left="660" w:right="160" w:hanging="544"/>
        <w:spacing w:after="0" w:line="241" w:lineRule="auto"/>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option vests monthly over a four-year period based on the officer’s continuous service through each vesting commencement, with 1/48th of the shares vesting on the monthly anniversary of the vesting commencement date.</w:t>
      </w: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June 1, 2015.</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February 1, 2016.</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February 28, 2019.</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60" w:hanging="544"/>
        <w:spacing w:after="0"/>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vesting commencement date is September 1, 2019.</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vesting commencement date is November 1, 2019.</w:t>
      </w:r>
    </w:p>
    <w:p>
      <w:pPr>
        <w:spacing w:after="0" w:line="1" w:lineRule="exact"/>
        <w:rPr>
          <w:rFonts w:ascii="Arial" w:cs="Arial" w:eastAsia="Arial" w:hAnsi="Arial"/>
          <w:sz w:val="14"/>
          <w:szCs w:val="14"/>
          <w:color w:val="auto"/>
        </w:rPr>
      </w:pPr>
    </w:p>
    <w:p>
      <w:pPr>
        <w:ind w:left="660" w:right="60" w:hanging="544"/>
        <w:spacing w:after="0" w:line="241"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option vests over a four-year period based on the officer’s continuous service through each vesting date, with 25% of the shares vesting following completion of one year of service after the vesting commencement date indicated above, and 1/48th of the shares vesting on the same day of every month thereafter.</w:t>
      </w:r>
    </w:p>
    <w:p>
      <w:pPr>
        <w:ind w:left="660" w:hanging="544"/>
        <w:spacing w:after="0"/>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vesting commencement date is April 20, 2015.</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vesting commencement date is October 3, 2018.</w:t>
      </w:r>
    </w:p>
    <w:p>
      <w:pPr>
        <w:spacing w:after="0" w:line="1" w:lineRule="exact"/>
        <w:rPr>
          <w:rFonts w:ascii="Arial" w:cs="Arial" w:eastAsia="Arial" w:hAnsi="Arial"/>
          <w:sz w:val="14"/>
          <w:szCs w:val="14"/>
          <w:color w:val="auto"/>
        </w:rPr>
      </w:pPr>
    </w:p>
    <w:p>
      <w:pPr>
        <w:ind w:left="660" w:right="440" w:hanging="544"/>
        <w:spacing w:after="0" w:line="241"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 addition, 100% of any unvested shares shall accelerate and become fully vested in the event that the officer is terminated without cause or resigns for good reason within the 12 month period following a change in control.</w:t>
      </w:r>
    </w:p>
    <w:p>
      <w:pPr>
        <w:ind w:left="660" w:right="140" w:hanging="544"/>
        <w:spacing w:after="0" w:line="241"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 addition, in the event there is a change in control while the officer is still providing services to the Company prior to the second anniversary of the vesting commencement date indicated above, then vesting will be accelerated such that the option will be vested with respect to an additional 25% of the shares and such acceleration shall also disregard the one year cliff. In the event officer is terminated without cause or resigns for good reason, such shares will receive 6 months of accelerated vesting; provided, in the event the officer is terminated without cause or resigns for good reason within the three months prior to a change in control or within the 12 months following a change in control, such shares will receive 12 months of accelerated vesting (rather than 6).</w:t>
      </w:r>
    </w:p>
    <w:p>
      <w:pPr>
        <w:spacing w:after="0" w:line="1" w:lineRule="exact"/>
        <w:rPr>
          <w:rFonts w:ascii="Arial" w:cs="Arial" w:eastAsia="Arial" w:hAnsi="Arial"/>
          <w:sz w:val="14"/>
          <w:szCs w:val="14"/>
          <w:color w:val="auto"/>
        </w:rPr>
      </w:pPr>
    </w:p>
    <w:p>
      <w:pPr>
        <w:ind w:left="660" w:right="200" w:hanging="544"/>
        <w:spacing w:after="0" w:line="245"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Pursuant to the terms of Mr. Orgel’s offer letter, in the event the Company completes a change in control in which other employees receive a comparable 25% vesting acceleration benefit in connection with such change in control, Mr. Orgel will not be eligible for both the 25% acceleration contemplated in the stock option agreement, and the 25% acceleration benefit provided to the other employees; provided however, if the benefit to the other employees is greater than the 25% acceleration benefit provided in the stock option agreement (or occurs after the second anniversary such that the acceleration in the stock option agreement does not apply), then Mr. Orgel will be entitled to that greater acceleration benefit in lieu of the 25% provided in the stock option agreement.</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19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2009 Equity Incentive Plan</w:t>
      </w:r>
    </w:p>
    <w:p>
      <w:pPr>
        <w:spacing w:after="0" w:line="207"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Our board of directors adopted and our stockholders approved our 2009 Equity Incentive Plan (as amended and restated from time to time, the 2009 Plan) in August 2009. No further awards are currently being made under our 2009 Plan; however, awards outstanding under our 2009 Plan will continue to be governed by their existing terms.</w:t>
      </w:r>
    </w:p>
    <w:p>
      <w:pPr>
        <w:spacing w:after="0" w:line="144" w:lineRule="exact"/>
        <w:rPr>
          <w:sz w:val="20"/>
          <w:szCs w:val="20"/>
          <w:color w:val="auto"/>
        </w:rPr>
      </w:pPr>
    </w:p>
    <w:p>
      <w:pPr>
        <w:ind w:left="120" w:firstLine="440"/>
        <w:spacing w:after="0"/>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As of December 31, 2020, we have reserved 2,968,147 shares of our common stock for issuance under our 2009</w:t>
      </w:r>
      <w:r>
        <w:rPr>
          <w:rFonts w:ascii="Arial" w:cs="Arial" w:eastAsia="Arial" w:hAnsi="Arial"/>
          <w:sz w:val="18"/>
          <w:szCs w:val="18"/>
          <w:i w:val="1"/>
          <w:iCs w:val="1"/>
          <w:color w:val="auto"/>
        </w:rPr>
        <w:t xml:space="preserve"> </w:t>
      </w:r>
      <w:r>
        <w:rPr>
          <w:rFonts w:ascii="Arial" w:cs="Arial" w:eastAsia="Arial" w:hAnsi="Arial"/>
          <w:sz w:val="18"/>
          <w:szCs w:val="18"/>
          <w:color w:val="auto"/>
        </w:rPr>
        <w:t>Plan, all of which have been issued and are outstanding, none of which remain available for future issuance. As of December 31, 2020, options to purchase 2,968,147 shares of our common stock, at exercise prices ranging from $0.01 to $9.83 per share, or a weighted-average exercise price of $2.16 per share were outstanding under our 2009 Plan. Unissued shares subject to awards that expire or are cancelled, shares reacquired by us and shares withheld in payment of the purchase price or exercise price of an award or in satisfaction of withholding taxes will again become available for issuance under our 2018 Plan or, following consummation of this offering, under our 2021 Plan.</w:t>
      </w:r>
    </w:p>
    <w:p>
      <w:pPr>
        <w:spacing w:after="0" w:line="144" w:lineRule="exact"/>
        <w:rPr>
          <w:sz w:val="20"/>
          <w:szCs w:val="20"/>
          <w:color w:val="auto"/>
        </w:rPr>
      </w:pPr>
    </w:p>
    <w:p>
      <w:pPr>
        <w:ind w:left="120" w:firstLine="440"/>
        <w:spacing w:after="0" w:line="25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committee thereof, has administered our 2009 Plan since its adoption;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this offering, the compensation committee of our board of directors will generally administer our 2009 Plan. The administrator has complete discretion to make all decisions relating to our 2009 Plan and outstanding awards.</w:t>
      </w:r>
    </w:p>
    <w:p>
      <w:pPr>
        <w:spacing w:after="0" w:line="150" w:lineRule="exact"/>
        <w:rPr>
          <w:sz w:val="20"/>
          <w:szCs w:val="20"/>
          <w:color w:val="auto"/>
        </w:rPr>
      </w:pPr>
    </w:p>
    <w:p>
      <w:pPr>
        <w:ind w:left="120" w:right="600" w:firstLine="440"/>
        <w:spacing w:after="0" w:line="26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officers, directors, advisors and consultants are eligible to participate in our 2009 Plan. However, only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are eligible to receive incentive stock options.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2100" w:val="left"/>
        </w:tabs>
        <w:rPr>
          <w:sz w:val="20"/>
          <w:szCs w:val="20"/>
          <w:color w:val="auto"/>
        </w:rPr>
      </w:pPr>
      <w:r>
        <w:rPr>
          <w:rFonts w:ascii="Arial" w:cs="Arial" w:eastAsia="Arial" w:hAnsi="Arial"/>
          <w:sz w:val="18"/>
          <w:szCs w:val="18"/>
          <w:i w:val="1"/>
          <w:iCs w:val="1"/>
          <w:color w:val="auto"/>
        </w:rPr>
        <w:t>Types of awards.</w:t>
      </w:r>
      <w:r>
        <w:rPr>
          <w:sz w:val="20"/>
          <w:szCs w:val="20"/>
          <w:color w:val="auto"/>
        </w:rPr>
        <w:tab/>
      </w:r>
      <w:r>
        <w:rPr>
          <w:rFonts w:ascii="Arial" w:cs="Arial" w:eastAsia="Arial" w:hAnsi="Arial"/>
          <w:sz w:val="17"/>
          <w:szCs w:val="17"/>
          <w:color w:val="auto"/>
        </w:rPr>
        <w:t>Our 2009 Plan provides for the following types of awards granted with respect to shares of our common stock:</w:t>
      </w:r>
    </w:p>
    <w:p>
      <w:pPr>
        <w:spacing w:after="0" w:line="230" w:lineRule="exact"/>
        <w:rPr>
          <w:sz w:val="20"/>
          <w:szCs w:val="20"/>
          <w:color w:val="auto"/>
        </w:rPr>
      </w:pPr>
    </w:p>
    <w:p>
      <w:pPr>
        <w:ind w:left="880" w:hanging="22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incentive and nonstatutory stock options to purchase shares of our common stock;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direct award or sale of shares of our common stock, including restricted shares.</w:t>
      </w:r>
    </w:p>
    <w:p>
      <w:pPr>
        <w:spacing w:after="0" w:line="167"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exercise price for options granted under our 2009 Plan is determined by our board of directors, but the exercise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incentive stock options may not be less than 100% of the fair market value of our common stock on the grant date. Optionees may pay the exercise price in cash or cash equivalents or by one, or any combination of, the following forms of payment, as permitted by the administrator in its sole and absolute discretion:</w:t>
      </w:r>
    </w:p>
    <w:p>
      <w:pPr>
        <w:spacing w:after="0" w:line="199" w:lineRule="exact"/>
        <w:rPr>
          <w:sz w:val="20"/>
          <w:szCs w:val="20"/>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delivery of a full-recourse promissory note, and check in an amount equal to the par value of the shares purchased;</w:t>
      </w:r>
    </w:p>
    <w:p>
      <w:pPr>
        <w:spacing w:after="0" w:line="211"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immediate sale of the option shares through a company-approved broker, if the shares of our common stock are publicly traded;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delivery of shares of common stock that the optionee already owns; or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methods permitted by law as our board of directors may determine.</w:t>
      </w:r>
    </w:p>
    <w:p>
      <w:pPr>
        <w:spacing w:after="0" w:line="171" w:lineRule="exact"/>
        <w:rPr>
          <w:sz w:val="20"/>
          <w:szCs w:val="20"/>
          <w:color w:val="auto"/>
        </w:rPr>
      </w:pPr>
    </w:p>
    <w:p>
      <w:pPr>
        <w:ind w:left="120" w:right="440" w:firstLine="440"/>
        <w:spacing w:after="0" w:line="238" w:lineRule="auto"/>
        <w:rPr>
          <w:sz w:val="20"/>
          <w:szCs w:val="20"/>
          <w:color w:val="auto"/>
        </w:rPr>
      </w:pPr>
      <w:r>
        <w:rPr>
          <w:rFonts w:ascii="Arial" w:cs="Arial" w:eastAsia="Arial" w:hAnsi="Arial"/>
          <w:sz w:val="18"/>
          <w:szCs w:val="18"/>
          <w:color w:val="auto"/>
        </w:rPr>
        <w:t>Options vest as determined by the administrator. In general, we have granted options that vest over a four-year period. Options expire at the time determined by the administrator, but in no event more than ten years after they are granted. If the employment or engagement of an optionee is terminated for cause, our board of directors may terminate the option such that it is not exercisable whatsoever.</w:t>
      </w:r>
    </w:p>
    <w:p>
      <w:pPr>
        <w:spacing w:after="0" w:line="146" w:lineRule="exact"/>
        <w:rPr>
          <w:sz w:val="20"/>
          <w:szCs w:val="20"/>
          <w:color w:val="auto"/>
        </w:rPr>
      </w:pPr>
    </w:p>
    <w:p>
      <w:pPr>
        <w:jc w:val="both"/>
        <w:ind w:left="120" w:right="180" w:firstLine="440"/>
        <w:spacing w:after="0" w:line="250"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Restricted shares may be awarded or sold under our 2009 Plan in return for cash or cash equivalents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of the Company to repurchase all or part of such shares at their issue price or other stated formula price. Restricted shares vest as determined by the administrator.</w:t>
      </w:r>
    </w:p>
    <w:p>
      <w:pPr>
        <w:spacing w:after="0" w:line="150"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that we are a party to a merger or consolidation or in the event of a sale of all or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stock or assets, awards granted under our 2009 Plan will be subject to the agreement governing such transaction or, in the absence of such agreement, in the manner determined by the administrator. Such treatment may include one or more of the following with respect to outstanding awards:</w:t>
      </w:r>
    </w:p>
    <w:p>
      <w:pPr>
        <w:spacing w:after="0" w:line="199" w:lineRule="exact"/>
        <w:rPr>
          <w:sz w:val="20"/>
          <w:szCs w:val="20"/>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continuation, assumption or substitution of an award by the surviving entity or its parent;</w:t>
      </w:r>
    </w:p>
    <w:p>
      <w:pPr>
        <w:spacing w:after="0" w:line="211"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cancellation of the vested portion of the award in exchange for a payment equal to the excess, if any, of the value of the shares subject to the award over any exercise price per share applicable to the award; or</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cancellation of the award immediately prior to the completion of the transaction;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permit the exchange of the award for stock option of any successor corporation;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provide for termination of an award immediately prior to the transaction; or</w:t>
      </w:r>
    </w:p>
    <w:p>
      <w:pPr>
        <w:spacing w:after="0" w:line="211"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provide for purchase of award for an amount equal to the difference between consideration received per share in the transaction minus the per share exercise period.</w:t>
      </w:r>
    </w:p>
    <w:p>
      <w:pPr>
        <w:spacing w:after="0" w:line="156"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The administrator is not obligated to treat all awards in the same manner. The administrator has the discretion, at any time, to provide that an award under our 2009 Plan will vest on an accelerated basis in connection with a corporate transaction or to amend or modify an award so long as such</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9"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amendment or modification is not inconsistent with the terms of the 2009 Plan or would not result in the impairment of a participant’s rights without the participant’s consent.</w:t>
      </w:r>
    </w:p>
    <w:p>
      <w:pPr>
        <w:spacing w:after="0" w:line="152"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i w:val="1"/>
          <w:iCs w:val="1"/>
          <w:color w:val="auto"/>
        </w:rPr>
        <w:t xml:space="preserve">Changes in capitalization. </w:t>
      </w:r>
      <w:r>
        <w:rPr>
          <w:rFonts w:ascii="Arial" w:cs="Arial" w:eastAsia="Arial" w:hAnsi="Arial"/>
          <w:sz w:val="17"/>
          <w:szCs w:val="17"/>
          <w:color w:val="auto"/>
        </w:rPr>
        <w:t>In the event of certain specified changes in the capital structure of our common stock, such as a stock</w:t>
      </w:r>
      <w:r>
        <w:rPr>
          <w:rFonts w:ascii="Arial" w:cs="Arial" w:eastAsia="Arial" w:hAnsi="Arial"/>
          <w:sz w:val="17"/>
          <w:szCs w:val="17"/>
          <w:i w:val="1"/>
          <w:iCs w:val="1"/>
          <w:color w:val="auto"/>
        </w:rPr>
        <w:t xml:space="preserve"> </w:t>
      </w:r>
      <w:r>
        <w:rPr>
          <w:rFonts w:ascii="Arial" w:cs="Arial" w:eastAsia="Arial" w:hAnsi="Arial"/>
          <w:sz w:val="17"/>
          <w:szCs w:val="17"/>
          <w:color w:val="auto"/>
        </w:rPr>
        <w:t>split, reverse stock split, stock dividend, extraordinary cash dividend, recapitalization, reorganization, merger, consolidation, combination, exchange of shares, liquidation, spin-off, split-up, or other similar change in capitalization or similar event, proportionate adjustments will automatically be made in (i) each of the number and class of shares available for future grants under our 2009 Plan and the per-participant share limit, (ii) the number and class of securities, vesting schedule and exercise price per share subject to each outstanding option,</w:t>
      </w:r>
    </w:p>
    <w:p>
      <w:pPr>
        <w:ind w:left="120" w:right="220" w:hanging="4"/>
        <w:spacing w:after="0" w:line="246" w:lineRule="auto"/>
        <w:tabs>
          <w:tab w:leader="none" w:pos="41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repurchase price per security granted under our 2009 Plan subject to repurchase, and (iv) any other way as other determined by our board of directors, in good faith, that such an adjustment (or substitution) is appropriate.</w:t>
      </w:r>
    </w:p>
    <w:p>
      <w:pPr>
        <w:spacing w:after="0" w:line="138"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i w:val="1"/>
          <w:iCs w:val="1"/>
          <w:color w:val="auto"/>
        </w:rPr>
        <w:t xml:space="preserve">Amendments or termination. </w:t>
      </w:r>
      <w:r>
        <w:rPr>
          <w:rFonts w:ascii="Arial" w:cs="Arial" w:eastAsia="Arial" w:hAnsi="Arial"/>
          <w:sz w:val="18"/>
          <w:szCs w:val="18"/>
          <w:color w:val="auto"/>
        </w:rPr>
        <w:t>The administrator may at any time amend, suspect or terminate our 2009 Plan, subject to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in the case of an amendment if the amendment increases the number of shares available for issuance or materially changes the class of persons eligible to receive incentive stock options, or as otherwise required by law. Our 2009 Plan automatically terminated in 2018, but as noted above, awards outstanding under our 2009 Plan remain outstanding and continue to be governed by their existing terms.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Stock Incentive Plan</w:t>
      </w:r>
    </w:p>
    <w:p>
      <w:pPr>
        <w:spacing w:after="0" w:line="207"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Our board of directors adopted and our stockholders approved our 2018 Stock Incentive Plan in November 2018 (as amended and restated from time to time, the 2018 Plan). No further awards will be made under our 2018 Plan after this offering; however, awards outstanding under our 2018 Plan will continue to be governed by their existing terms.</w:t>
      </w:r>
    </w:p>
    <w:p>
      <w:pPr>
        <w:spacing w:after="0" w:line="144"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As of December 31, 2020, we have reserved 9,977,175 shares of our common stock for issuance under our 2018</w:t>
      </w:r>
      <w:r>
        <w:rPr>
          <w:rFonts w:ascii="Arial" w:cs="Arial" w:eastAsia="Arial" w:hAnsi="Arial"/>
          <w:sz w:val="18"/>
          <w:szCs w:val="18"/>
          <w:i w:val="1"/>
          <w:iCs w:val="1"/>
          <w:color w:val="auto"/>
        </w:rPr>
        <w:t xml:space="preserve"> </w:t>
      </w:r>
      <w:r>
        <w:rPr>
          <w:rFonts w:ascii="Arial" w:cs="Arial" w:eastAsia="Arial" w:hAnsi="Arial"/>
          <w:sz w:val="18"/>
          <w:szCs w:val="18"/>
          <w:color w:val="auto"/>
        </w:rPr>
        <w:t>Plan, plus such number as is equal to the number of shares of our common stock subject to awards granted under the 2009 Plan which awards expire, terminate or are otherwise surrendered, cancelled, forfeited or repurchased by the Company at their original purchase price pursuant to a contractual repurchase right, subject, however, in the case of incentive stock options to any limitations in the Code. As of December 31, 2020, options to purchase 2,605,968 shares of our common stock, at exercise prices ranging from $ 9.83 to $11.84 per share, or a weighted-average exercise price of $10.52 per share were outstanding under our 2018 Plan, and 785,252 shares of our common stock remained available for future issuance. Unissued shares subject to awards that expire or are cancelled, shares reacquired by us and shares withheld in payment of the purchase price or exercise price of an award or in satisfaction of withholding taxes will again become available for issuance under our 2018 Plan or, following consummation of this offering, under our 2021 Plan.</w:t>
      </w:r>
    </w:p>
    <w:p>
      <w:pPr>
        <w:spacing w:after="0" w:line="151" w:lineRule="exact"/>
        <w:rPr>
          <w:sz w:val="20"/>
          <w:szCs w:val="20"/>
          <w:color w:val="auto"/>
        </w:rPr>
      </w:pPr>
    </w:p>
    <w:p>
      <w:pPr>
        <w:ind w:left="120" w:firstLine="440"/>
        <w:spacing w:after="0" w:line="25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committee thereof, has administered our 2018 Plan since its adoption;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this offering, the compensation committee of our board of directors will generally administer our 2018 Plan. The administrator has complete discretion to make all decisions relating to our 2018 Plan and outstanding awards.</w:t>
      </w:r>
    </w:p>
    <w:p>
      <w:pPr>
        <w:spacing w:after="0" w:line="150" w:lineRule="exact"/>
        <w:rPr>
          <w:sz w:val="20"/>
          <w:szCs w:val="20"/>
          <w:color w:val="auto"/>
        </w:rPr>
      </w:pPr>
    </w:p>
    <w:p>
      <w:pPr>
        <w:ind w:left="120" w:right="600" w:firstLine="440"/>
        <w:spacing w:after="0" w:line="26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officers, directors, advisors and consultants are eligible to participate in our 2018 Plan. However, only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are eligible to receive incentive stock options.</w:t>
      </w:r>
    </w:p>
    <w:p>
      <w:pPr>
        <w:spacing w:after="0" w:line="120" w:lineRule="exact"/>
        <w:rPr>
          <w:sz w:val="20"/>
          <w:szCs w:val="20"/>
          <w:color w:val="auto"/>
        </w:rPr>
      </w:pPr>
    </w:p>
    <w:p>
      <w:pPr>
        <w:ind w:left="560"/>
        <w:spacing w:after="0"/>
        <w:tabs>
          <w:tab w:leader="none" w:pos="2100" w:val="left"/>
        </w:tabs>
        <w:rPr>
          <w:sz w:val="20"/>
          <w:szCs w:val="20"/>
          <w:color w:val="auto"/>
        </w:rPr>
      </w:pPr>
      <w:r>
        <w:rPr>
          <w:rFonts w:ascii="Arial" w:cs="Arial" w:eastAsia="Arial" w:hAnsi="Arial"/>
          <w:sz w:val="18"/>
          <w:szCs w:val="18"/>
          <w:i w:val="1"/>
          <w:iCs w:val="1"/>
          <w:color w:val="auto"/>
        </w:rPr>
        <w:t>Types of awards.</w:t>
      </w:r>
      <w:r>
        <w:rPr>
          <w:sz w:val="20"/>
          <w:szCs w:val="20"/>
          <w:color w:val="auto"/>
        </w:rPr>
        <w:tab/>
      </w:r>
      <w:r>
        <w:rPr>
          <w:rFonts w:ascii="Arial" w:cs="Arial" w:eastAsia="Arial" w:hAnsi="Arial"/>
          <w:sz w:val="17"/>
          <w:szCs w:val="17"/>
          <w:color w:val="auto"/>
        </w:rPr>
        <w:t>Our 2018 Plan provides for the following types of awards granted with respect to shares of our common stock:</w:t>
      </w:r>
    </w:p>
    <w:p>
      <w:pPr>
        <w:spacing w:after="0" w:line="230" w:lineRule="exact"/>
        <w:rPr>
          <w:sz w:val="20"/>
          <w:szCs w:val="20"/>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incentive and nonstatutory stock options to purchase shares of our common stock;</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direct award or sale of shares of our common stock, including restricted shares;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restricted stock units.</w:t>
      </w:r>
    </w:p>
    <w:p>
      <w:pPr>
        <w:spacing w:after="0" w:line="167" w:lineRule="exact"/>
        <w:rPr>
          <w:sz w:val="20"/>
          <w:szCs w:val="20"/>
          <w:color w:val="auto"/>
        </w:rPr>
      </w:pPr>
    </w:p>
    <w:p>
      <w:pPr>
        <w:jc w:val="both"/>
        <w:ind w:left="120" w:firstLine="440"/>
        <w:spacing w:after="0" w:line="245" w:lineRule="auto"/>
        <w:rPr>
          <w:sz w:val="20"/>
          <w:szCs w:val="20"/>
          <w:color w:val="auto"/>
        </w:rPr>
      </w:pPr>
      <w:r>
        <w:rPr>
          <w:rFonts w:ascii="Arial" w:cs="Arial" w:eastAsia="Arial" w:hAnsi="Arial"/>
          <w:sz w:val="18"/>
          <w:szCs w:val="18"/>
          <w:i w:val="1"/>
          <w:iCs w:val="1"/>
          <w:color w:val="auto"/>
        </w:rPr>
        <w:t xml:space="preserve">Options and stock appreciation rights. </w:t>
      </w:r>
      <w:r>
        <w:rPr>
          <w:rFonts w:ascii="Arial" w:cs="Arial" w:eastAsia="Arial" w:hAnsi="Arial"/>
          <w:sz w:val="18"/>
          <w:szCs w:val="18"/>
          <w:color w:val="auto"/>
        </w:rPr>
        <w:t>The exercise price for options and stock appreciation rights granted under our 2018 Plan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our board of directors, but may not be less than 100% of the fair market value of our common stock on the grant date. The exercise price may be paid in cash or cash equivalents or by one, or any combination of, the following forms of payment, as permitted by the administrator in its sole discretion:</w:t>
      </w:r>
    </w:p>
    <w:p>
      <w:pPr>
        <w:spacing w:after="0" w:line="199" w:lineRule="exact"/>
        <w:rPr>
          <w:sz w:val="20"/>
          <w:szCs w:val="20"/>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payment by cash or by check;</w:t>
      </w:r>
    </w:p>
    <w:p>
      <w:pPr>
        <w:spacing w:after="0" w:line="211" w:lineRule="exact"/>
        <w:rPr>
          <w:rFonts w:ascii="Arial" w:cs="Arial" w:eastAsia="Arial" w:hAnsi="Arial"/>
          <w:sz w:val="18"/>
          <w:szCs w:val="18"/>
          <w:color w:val="auto"/>
        </w:rPr>
      </w:pPr>
    </w:p>
    <w:p>
      <w:pPr>
        <w:ind w:left="880" w:right="320" w:hanging="224"/>
        <w:spacing w:after="0" w:line="246"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immediate sale of the option shares through a company-approved broker, if the shares of our common stock are publicly traded;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delivery of shares of common stock that the optionee already owns, if the shares of our common stock are publicly traded;</w:t>
      </w:r>
    </w:p>
    <w:p>
      <w:pPr>
        <w:spacing w:after="0" w:line="211" w:lineRule="exact"/>
        <w:rPr>
          <w:rFonts w:ascii="Arial" w:cs="Arial" w:eastAsia="Arial" w:hAnsi="Arial"/>
          <w:sz w:val="18"/>
          <w:szCs w:val="18"/>
          <w:color w:val="auto"/>
        </w:rPr>
      </w:pPr>
    </w:p>
    <w:p>
      <w:pPr>
        <w:ind w:left="880" w:right="4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surrendering a number of vested shares subject to the option having an aggregate fair market value no greater than the aggregate exercise price, or the sum of such exercise price plus all or a portion of the minimum amount required to be withheld under applicable law;</w:t>
      </w:r>
    </w:p>
    <w:p>
      <w:pPr>
        <w:spacing w:after="0" w:line="202"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delivery of a promissory note, on terms determined by our board of directors;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other methods permitted by law; or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combination of any of the permitted forms of payment.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we have granted options that vest over a four year period.</w:t>
      </w:r>
    </w:p>
    <w:p>
      <w:pPr>
        <w:spacing w:after="0" w:line="153" w:lineRule="exact"/>
        <w:rPr>
          <w:sz w:val="20"/>
          <w:szCs w:val="20"/>
          <w:color w:val="auto"/>
        </w:rPr>
      </w:pPr>
    </w:p>
    <w:p>
      <w:pPr>
        <w:ind w:left="120" w:right="80" w:firstLine="440"/>
        <w:spacing w:after="0" w:line="250" w:lineRule="auto"/>
        <w:rPr>
          <w:sz w:val="20"/>
          <w:szCs w:val="20"/>
          <w:color w:val="auto"/>
        </w:rPr>
      </w:pPr>
      <w:r>
        <w:rPr>
          <w:rFonts w:ascii="Arial" w:cs="Arial" w:eastAsia="Arial" w:hAnsi="Arial"/>
          <w:sz w:val="18"/>
          <w:szCs w:val="18"/>
          <w:i w:val="1"/>
          <w:iCs w:val="1"/>
          <w:color w:val="auto"/>
        </w:rPr>
        <w:t xml:space="preserve">Restricted shares and restricted stock units. </w:t>
      </w:r>
      <w:r>
        <w:rPr>
          <w:rFonts w:ascii="Arial" w:cs="Arial" w:eastAsia="Arial" w:hAnsi="Arial"/>
          <w:sz w:val="18"/>
          <w:szCs w:val="18"/>
          <w:color w:val="auto"/>
        </w:rPr>
        <w:t>Restricted shares and stock units may be awarded under our 2018 Plan in return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lawful consideration, and participants who receive restricted shares or stock units generally are not required to pay cash for their awards. In general, these awards will be subject to vesting.</w:t>
      </w:r>
    </w:p>
    <w:p>
      <w:pPr>
        <w:spacing w:after="0" w:line="150"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that we are a party to a merger or consolidation or in the event of a sale of all or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stock or assets, awards granted under our 2018 Plan will be subject to the agreement governing such transaction or, in the absence of such agreement, in the manner determined by the administrator. Such treatment may include, without limitation, one or more of the following with respect to outstanding awards:</w:t>
      </w:r>
    </w:p>
    <w:p>
      <w:pPr>
        <w:spacing w:after="0" w:line="199" w:lineRule="exact"/>
        <w:rPr>
          <w:sz w:val="20"/>
          <w:szCs w:val="20"/>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continuation, assumption or substitution of an award by the surviving entity or its parent;</w:t>
      </w:r>
    </w:p>
    <w:p>
      <w:pPr>
        <w:spacing w:after="0" w:line="211"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cancellation of any unvested/unexercised awards if not exercised within a specified period following notice of such cancellation to the participant; or</w:t>
      </w:r>
    </w:p>
    <w:p>
      <w:pPr>
        <w:spacing w:after="0" w:line="196"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cancellation of the vested portion of the award in exchange for a payment equal to the excess, if any, of the value of the shares subject to the award over any exercise price per share applicable to the award.</w:t>
      </w:r>
    </w:p>
    <w:p>
      <w:pPr>
        <w:spacing w:after="0" w:line="15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administrator is not obligated to treat all awards in the same manner. The administrator has the discretion, at any time, to provide that an award under our 2018 Plan will vest on an accelerated basis in connection with a corporate transaction or to amend or modify an award so long as such amendment or modification is not inconsistent with the terms of the 2018 Plan or would not result in the impairment of a participant’s rights without the participant’s consent.</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00"/>
          </w:cols>
          <w:pgMar w:left="320" w:top="459" w:right="5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certain specified changes in the capital structure of our common stock, such as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split, reverse stock split, stock dividend, reclassification, combination of shares, spin-off, or any dividend or distribution to holders of our common stock other than an ordinary cash dividend, proportionate adjustments will automatically be made in (i) each of the number and kind of shares available for future grants under our 2018 Plan, (ii) the number and kind of shares covered by each outstanding option and all restricted shares, (iii) the exercise price per share subject to each outstanding option, (iv) the number and per-share provisions and the measurement price of each outstanding stock appreciation right, (iv) any repurchase price applicable to shares granted under our 2018 Plan, and (v) the share and per-share-related provisions and the purchase price, if any, of each outstanding restricted stock unit.</w:t>
      </w:r>
    </w:p>
    <w:p>
      <w:pPr>
        <w:spacing w:after="0" w:line="158"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i w:val="1"/>
          <w:iCs w:val="1"/>
          <w:color w:val="auto"/>
        </w:rPr>
        <w:t xml:space="preserve">Amendments or termination. </w:t>
      </w:r>
      <w:r>
        <w:rPr>
          <w:rFonts w:ascii="Arial" w:cs="Arial" w:eastAsia="Arial" w:hAnsi="Arial"/>
          <w:sz w:val="18"/>
          <w:szCs w:val="18"/>
          <w:color w:val="auto"/>
        </w:rPr>
        <w:t>The administrator may at any time amend, suspect or terminate our 2018 Plan, subject to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in the case of an amendment if the amendment materially changes the class of persons eligible to receive incentive stock options or as otherwise required by applicable law. Our 2018 Plan will terminate automatically ten years after the earlier of the date when our board of directors adopted the plan or the date when the plan was approved by our stockholders, provided, however, that in any event, it will terminate upon the completion of this offering, but as noted above, awards outstanding under our 2018 Plan will remain outstanding and will continue to be governed by their existing terms.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9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Our board of directors intends to adopt our 2021 Plan, prior to the offering, and it will be submitted to our stockholders for approval. We expect that our 2021 Plan will become effective upon the effectiveness of the registration statement of which this prospectus is a part. Our 2021 Plan is intended to replace our 2018 Plan. However, awards outstanding under our 2018 Plan will continue to be governed by their existing terms. Although not yet adopted, we expect that our 2021 Plan will have the features described below.</w:t>
      </w:r>
    </w:p>
    <w:p>
      <w:pPr>
        <w:spacing w:after="0" w:line="160" w:lineRule="exact"/>
        <w:rPr>
          <w:sz w:val="20"/>
          <w:szCs w:val="20"/>
          <w:color w:val="auto"/>
        </w:rPr>
      </w:pPr>
    </w:p>
    <w:p>
      <w:pPr>
        <w:ind w:left="120" w:right="120" w:firstLine="440"/>
        <w:spacing w:after="0" w:line="245"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number of shares of our common stock available for issuance under our 2021 Plan will equal the sum of</w:t>
      </w:r>
      <w:r>
        <w:rPr>
          <w:rFonts w:ascii="Arial" w:cs="Arial" w:eastAsia="Arial" w:hAnsi="Arial"/>
          <w:sz w:val="18"/>
          <w:szCs w:val="18"/>
          <w:i w:val="1"/>
          <w:iCs w:val="1"/>
          <w:color w:val="auto"/>
        </w:rPr>
        <w:t xml:space="preserve"> </w:t>
      </w:r>
      <w:r>
        <w:rPr>
          <w:rFonts w:ascii="Arial" w:cs="Arial" w:eastAsia="Arial" w:hAnsi="Arial"/>
          <w:sz w:val="18"/>
          <w:szCs w:val="18"/>
          <w:color w:val="auto"/>
        </w:rPr>
        <w:t>9,201,156 shares plus up to 6,047,227 shares remaining available for issuance under, or issued pursuant to or subject to awards granted under, our 2018 Plan. The number of shares reserved for issuance under our 2021 Plan will be increased automatically on the first business day of each of our fiscal years, commencing in 2021 and ending in 2031, by a number equal to the smallest of:</w:t>
      </w:r>
    </w:p>
    <w:p>
      <w:pPr>
        <w:spacing w:after="0" w:line="199" w:lineRule="exact"/>
        <w:rPr>
          <w:sz w:val="20"/>
          <w:szCs w:val="20"/>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5% of the shares of common stock and non-voting common stock outstanding on the last business day of the prior fiscal year; or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number of shares determined by our board of directors.</w:t>
      </w:r>
    </w:p>
    <w:p>
      <w:pPr>
        <w:spacing w:after="0" w:line="171"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general, to the extent that any awards under our 2021 Plan are forfeited, terminate, expire or lapse without the issuance of shares, or if we repurchase the shares subject to awards granted under our 2021 Plan, those shares will again become available for issuance under our 2021 Plan, as will shares applied to pay the exercise or purchase price of an award or to satisfy tax withholding obligations related to any award.</w:t>
      </w:r>
    </w:p>
    <w:p>
      <w:pPr>
        <w:spacing w:after="0" w:line="146" w:lineRule="exact"/>
        <w:rPr>
          <w:sz w:val="20"/>
          <w:szCs w:val="20"/>
          <w:color w:val="auto"/>
        </w:rPr>
      </w:pPr>
    </w:p>
    <w:p>
      <w:pPr>
        <w:ind w:left="120" w:right="40" w:firstLine="440"/>
        <w:spacing w:after="0" w:line="25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compensation committee of our board of directors will administer our 2021 Plan.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will have complete discretion to make all decisions relating to our 2021 Plan and outstanding awards, including repricing outstanding options and modifying outstanding awards in other ways.</w:t>
      </w:r>
    </w:p>
    <w:p>
      <w:pPr>
        <w:spacing w:after="0" w:line="150" w:lineRule="exact"/>
        <w:rPr>
          <w:sz w:val="20"/>
          <w:szCs w:val="20"/>
          <w:color w:val="auto"/>
        </w:rPr>
      </w:pPr>
    </w:p>
    <w:p>
      <w:pPr>
        <w:ind w:left="560"/>
        <w:spacing w:after="0"/>
        <w:tabs>
          <w:tab w:leader="none" w:pos="1480" w:val="left"/>
        </w:tabs>
        <w:rPr>
          <w:sz w:val="20"/>
          <w:szCs w:val="20"/>
          <w:color w:val="auto"/>
        </w:rPr>
      </w:pPr>
      <w:r>
        <w:rPr>
          <w:rFonts w:ascii="Arial" w:cs="Arial" w:eastAsia="Arial" w:hAnsi="Arial"/>
          <w:sz w:val="18"/>
          <w:szCs w:val="18"/>
          <w:i w:val="1"/>
          <w:iCs w:val="1"/>
          <w:color w:val="auto"/>
        </w:rPr>
        <w:t>Eligibility.</w:t>
      </w:r>
      <w:r>
        <w:rPr>
          <w:sz w:val="20"/>
          <w:szCs w:val="20"/>
          <w:color w:val="auto"/>
        </w:rPr>
        <w:tab/>
      </w:r>
      <w:r>
        <w:rPr>
          <w:rFonts w:ascii="Arial" w:cs="Arial" w:eastAsia="Arial" w:hAnsi="Arial"/>
          <w:sz w:val="18"/>
          <w:szCs w:val="18"/>
          <w:color w:val="auto"/>
        </w:rPr>
        <w:t>Employees, non-employee directors, consultants and advisors will be eligible to participate in our 2021 Plan.</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Under our 2021 Plan, the aggregate grant date fair value of awards granted to our non-employee directors may not exceed $750,000 in any one fiscal year, except that the grant date fair value of awards granted to newly appointed non-employee directors may not exceed $1,000,000 in the fiscal year in which such non-employee director is initially appointed to our board of directors.</w:t>
      </w:r>
    </w:p>
    <w:p>
      <w:pPr>
        <w:spacing w:after="0" w:line="158" w:lineRule="exact"/>
        <w:rPr>
          <w:sz w:val="20"/>
          <w:szCs w:val="20"/>
          <w:color w:val="auto"/>
        </w:rPr>
      </w:pPr>
    </w:p>
    <w:p>
      <w:pPr>
        <w:ind w:left="560"/>
        <w:spacing w:after="0"/>
        <w:tabs>
          <w:tab w:leader="none" w:pos="2100" w:val="left"/>
        </w:tabs>
        <w:rPr>
          <w:sz w:val="20"/>
          <w:szCs w:val="20"/>
          <w:color w:val="auto"/>
        </w:rPr>
      </w:pPr>
      <w:r>
        <w:rPr>
          <w:rFonts w:ascii="Arial" w:cs="Arial" w:eastAsia="Arial" w:hAnsi="Arial"/>
          <w:sz w:val="18"/>
          <w:szCs w:val="18"/>
          <w:i w:val="1"/>
          <w:iCs w:val="1"/>
          <w:color w:val="auto"/>
        </w:rPr>
        <w:t>Types of awards.</w:t>
      </w:r>
      <w:r>
        <w:rPr>
          <w:sz w:val="20"/>
          <w:szCs w:val="20"/>
          <w:color w:val="auto"/>
        </w:rPr>
        <w:tab/>
      </w:r>
      <w:r>
        <w:rPr>
          <w:rFonts w:ascii="Arial" w:cs="Arial" w:eastAsia="Arial" w:hAnsi="Arial"/>
          <w:sz w:val="17"/>
          <w:szCs w:val="17"/>
          <w:color w:val="auto"/>
        </w:rPr>
        <w:t>Our 2021 Plan will provide for the following types of awards:</w:t>
      </w:r>
    </w:p>
    <w:p>
      <w:pPr>
        <w:spacing w:after="0" w:line="230" w:lineRule="exact"/>
        <w:rPr>
          <w:sz w:val="20"/>
          <w:szCs w:val="20"/>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incentive and nonstatutory stock options;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restricted shares;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stock units.</w:t>
      </w:r>
    </w:p>
    <w:p>
      <w:pPr>
        <w:spacing w:after="0" w:line="153" w:lineRule="exact"/>
        <w:rPr>
          <w:sz w:val="20"/>
          <w:szCs w:val="20"/>
          <w:color w:val="auto"/>
        </w:rPr>
      </w:pPr>
    </w:p>
    <w:p>
      <w:pPr>
        <w:ind w:left="120" w:right="240" w:firstLine="440"/>
        <w:spacing w:after="0" w:line="250" w:lineRule="auto"/>
        <w:rPr>
          <w:sz w:val="20"/>
          <w:szCs w:val="20"/>
          <w:color w:val="auto"/>
        </w:rPr>
      </w:pPr>
      <w:r>
        <w:rPr>
          <w:rFonts w:ascii="Arial" w:cs="Arial" w:eastAsia="Arial" w:hAnsi="Arial"/>
          <w:sz w:val="18"/>
          <w:szCs w:val="18"/>
          <w:i w:val="1"/>
          <w:iCs w:val="1"/>
          <w:color w:val="auto"/>
        </w:rPr>
        <w:t xml:space="preserve">Options and stock appreciation rights. </w:t>
      </w:r>
      <w:r>
        <w:rPr>
          <w:rFonts w:ascii="Arial" w:cs="Arial" w:eastAsia="Arial" w:hAnsi="Arial"/>
          <w:sz w:val="18"/>
          <w:szCs w:val="18"/>
          <w:color w:val="auto"/>
        </w:rPr>
        <w:t>The exercise price for options granted under our 2021 Plan may not be less than 100%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market value of our common stock on the grant date. Optionees will be permitted to pay the exercise price in cash or, with the consent of the compensation committee:</w:t>
      </w:r>
    </w:p>
    <w:p>
      <w:pPr>
        <w:spacing w:after="0" w:line="195" w:lineRule="exact"/>
        <w:rPr>
          <w:sz w:val="20"/>
          <w:szCs w:val="20"/>
          <w:color w:val="auto"/>
        </w:rPr>
      </w:pPr>
    </w:p>
    <w:p>
      <w:pPr>
        <w:ind w:left="880" w:hanging="224"/>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with shares of common stock that the optionee already owns;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by an immediate sale of shares through a broker approved by us;</w:t>
      </w:r>
    </w:p>
    <w:p>
      <w:pPr>
        <w:spacing w:after="0" w:line="211"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by instructing us to withhold a number of shares having an aggregate fair market value that does not exceed the exercise price; or</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by other methods permitted by applicable law.</w:t>
      </w:r>
    </w:p>
    <w:p>
      <w:pPr>
        <w:spacing w:after="0" w:line="171"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An optionee who exercises a stock appreciation right receives the increase in value of our common stock over the base price. The base price for stock appreciation rights may not be less than 100% of the fair market value of our common stock on the grant date. The settlement value of a stock appreciation right may be paid in cash, shares of our common stock or a combination.</w:t>
      </w:r>
    </w:p>
    <w:p>
      <w:pPr>
        <w:spacing w:after="0" w:line="176"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Options and stock appreciation rights vest as determined by the compensation committee. In general, they will vest over a four-year period following the date of grant. Options and stock appreciation rights expire at the time determined by the compensation committee but in no event more than ten years after they are granted. These awards generally expire earlier if the participant’s service terminates earlier.</w:t>
      </w:r>
    </w:p>
    <w:p>
      <w:pPr>
        <w:spacing w:after="0" w:line="146" w:lineRule="exact"/>
        <w:rPr>
          <w:sz w:val="20"/>
          <w:szCs w:val="20"/>
          <w:color w:val="auto"/>
        </w:rPr>
      </w:pPr>
    </w:p>
    <w:p>
      <w:pPr>
        <w:ind w:left="120" w:right="140" w:firstLine="440"/>
        <w:spacing w:after="0" w:line="245" w:lineRule="auto"/>
        <w:rPr>
          <w:sz w:val="20"/>
          <w:szCs w:val="20"/>
          <w:color w:val="auto"/>
        </w:rPr>
      </w:pPr>
      <w:r>
        <w:rPr>
          <w:rFonts w:ascii="Arial" w:cs="Arial" w:eastAsia="Arial" w:hAnsi="Arial"/>
          <w:sz w:val="18"/>
          <w:szCs w:val="18"/>
          <w:i w:val="1"/>
          <w:iCs w:val="1"/>
          <w:color w:val="auto"/>
        </w:rPr>
        <w:t xml:space="preserve">Restricted shares and stock units. </w:t>
      </w:r>
      <w:r>
        <w:rPr>
          <w:rFonts w:ascii="Arial" w:cs="Arial" w:eastAsia="Arial" w:hAnsi="Arial"/>
          <w:sz w:val="18"/>
          <w:szCs w:val="18"/>
          <w:color w:val="auto"/>
        </w:rPr>
        <w:t>Restricted shares and stock units may be awarded under our 2021 Plan in return for any lawful</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and participants who receive restricted shares or stock units generally are not required to pay cash for their awards. In general, these awards will be subject to vesting. Vesting may be based on length of service, the attainment of performance-based milestones or a combination of both, as determined by the compensation committee.</w:t>
      </w:r>
    </w:p>
    <w:p>
      <w:pPr>
        <w:spacing w:after="0" w:line="140" w:lineRule="exact"/>
        <w:rPr>
          <w:sz w:val="20"/>
          <w:szCs w:val="20"/>
          <w:color w:val="auto"/>
        </w:rPr>
      </w:pPr>
    </w:p>
    <w:p>
      <w:pPr>
        <w:ind w:left="120" w:right="440" w:firstLine="440"/>
        <w:spacing w:after="0" w:line="245"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we are a party to a merger, consolidation or certain change in control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awards granted under our 2021 Plan, and all shares acquired under our 2021 Plan, will be subject to the terms of the definitive transaction agreement (or, if there is no such agreement, as determined by our compensation committee). Unless an award agreement provides otherwise, such treatment may include any of the following with respect to each outstanding award:</w:t>
      </w:r>
    </w:p>
    <w:p>
      <w:pPr>
        <w:spacing w:after="0" w:line="199" w:lineRule="exact"/>
        <w:rPr>
          <w:sz w:val="20"/>
          <w:szCs w:val="20"/>
          <w:color w:val="auto"/>
        </w:rPr>
      </w:pPr>
    </w:p>
    <w:p>
      <w:pPr>
        <w:ind w:left="880" w:hanging="224"/>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continuation, assumption or substitution of an award by a surviving entity or its parent;</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cancellation of an award without payment of any consideration;</w:t>
      </w:r>
    </w:p>
    <w:p>
      <w:pPr>
        <w:spacing w:after="0" w:line="211" w:lineRule="exact"/>
        <w:rPr>
          <w:rFonts w:ascii="Arial" w:cs="Arial" w:eastAsia="Arial" w:hAnsi="Arial"/>
          <w:sz w:val="18"/>
          <w:szCs w:val="18"/>
          <w:color w:val="auto"/>
        </w:rPr>
      </w:pPr>
    </w:p>
    <w:p>
      <w:pPr>
        <w:ind w:left="880" w:right="920" w:hanging="224"/>
        <w:spacing w:after="0" w:line="246" w:lineRule="auto"/>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cancellation of the vested portion of an award (and any portion that becomes vested as of the effective time of the transaction) in exchange for a payment equal to the excess, if any, of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320"/>
        <w:spacing w:after="0" w:line="246" w:lineRule="auto"/>
        <w:rPr>
          <w:sz w:val="20"/>
          <w:szCs w:val="20"/>
          <w:color w:val="auto"/>
        </w:rPr>
      </w:pPr>
      <w:r>
        <w:rPr>
          <w:rFonts w:ascii="Arial" w:cs="Arial" w:eastAsia="Arial" w:hAnsi="Arial"/>
          <w:sz w:val="18"/>
          <w:szCs w:val="18"/>
          <w:color w:val="auto"/>
        </w:rPr>
        <w:t>the value that the holder of each share of our common stock receives in the transaction over (if applicable) the exercise price otherwise payable in connection with the award; or</w:t>
      </w:r>
    </w:p>
    <w:p>
      <w:pPr>
        <w:spacing w:after="0" w:line="197" w:lineRule="exact"/>
        <w:rPr>
          <w:sz w:val="20"/>
          <w:szCs w:val="20"/>
          <w:color w:val="auto"/>
        </w:rPr>
      </w:pPr>
    </w:p>
    <w:p>
      <w:pPr>
        <w:ind w:left="880" w:right="240" w:hanging="224"/>
        <w:spacing w:after="0" w:line="274" w:lineRule="auto"/>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assignment of any reacquisition or repurchase rights held by us in respect of an award of restricted shares to the surviving entity or its parent (with proportionate adjustments made to the price per share to be paid upon exercise of such rights).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compensation committee is not required to treat all awards, or portions thereof, in the same manner.</w:t>
      </w:r>
    </w:p>
    <w:p>
      <w:pPr>
        <w:spacing w:after="0" w:line="171"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vesting of an outstanding award may be accelerated by the administrator upon the occurrence of a change in control, whether or not the award is to be assumed or replaced in the transaction, or in connection with a termination of service following a change in control transaction.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change in control includes:</w:t>
      </w:r>
    </w:p>
    <w:p>
      <w:pPr>
        <w:spacing w:after="0" w:line="212" w:lineRule="exact"/>
        <w:rPr>
          <w:sz w:val="20"/>
          <w:szCs w:val="20"/>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person acquiring beneficial ownership of more than 50% of our total voting power;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our assets; or</w:t>
      </w:r>
    </w:p>
    <w:p>
      <w:pPr>
        <w:spacing w:after="0" w:line="211"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merger or consolidation after which our voting securities represent 50% or less of the total voting power of the surviving or acquiring entity.</w:t>
      </w:r>
    </w:p>
    <w:p>
      <w:pPr>
        <w:spacing w:after="0" w:line="152" w:lineRule="exact"/>
        <w:rPr>
          <w:sz w:val="20"/>
          <w:szCs w:val="20"/>
          <w:color w:val="auto"/>
        </w:rPr>
      </w:pPr>
    </w:p>
    <w:p>
      <w:pPr>
        <w:ind w:left="120" w:right="320" w:firstLine="440"/>
        <w:spacing w:after="0" w:line="267" w:lineRule="auto"/>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certain changes in our capital structure without our receipt of consideration, such as a</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reverse stock split or dividend paid in common stock, proportionate adjustments will automatically be made to:</w:t>
      </w:r>
    </w:p>
    <w:p>
      <w:pPr>
        <w:spacing w:after="0" w:line="178" w:lineRule="exact"/>
        <w:rPr>
          <w:sz w:val="20"/>
          <w:szCs w:val="20"/>
          <w:color w:val="auto"/>
        </w:rPr>
      </w:pPr>
    </w:p>
    <w:p>
      <w:pPr>
        <w:ind w:left="880" w:hanging="224"/>
        <w:spacing w:after="0" w:line="246"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maximum number and kind of shares available for issuance under our 2021 Plan, including the maximum number and kind of shares that may be issued upon the exercise of incentive stock options;</w:t>
      </w:r>
    </w:p>
    <w:p>
      <w:pPr>
        <w:spacing w:after="0" w:line="196"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maximum number and kind of shares covered by, and exercise price, base price or purchase price, if any, applicable to each outstanding stock award; and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maximum number and kind of shares by which the share reserve may increase automatically each year.</w:t>
      </w:r>
    </w:p>
    <w:p>
      <w:pPr>
        <w:spacing w:after="0" w:line="171"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In the event that there is a declaration of an extraordinary dividend payable in a form other than our common stock in an amount that has a material effect on the price of our common stock, a recapitalization, a spin-off or a similar occurrence, the compensation committee may make such adjustments to any of the foregoing as it deems appropriate, in its sole discretion.</w:t>
      </w:r>
    </w:p>
    <w:p>
      <w:pPr>
        <w:spacing w:after="0" w:line="144" w:lineRule="exact"/>
        <w:rPr>
          <w:sz w:val="20"/>
          <w:szCs w:val="20"/>
          <w:color w:val="auto"/>
        </w:rPr>
      </w:pPr>
    </w:p>
    <w:p>
      <w:pPr>
        <w:ind w:left="120" w:right="80" w:firstLine="440"/>
        <w:spacing w:after="0" w:line="245" w:lineRule="auto"/>
        <w:rPr>
          <w:sz w:val="20"/>
          <w:szCs w:val="20"/>
          <w:color w:val="auto"/>
        </w:rPr>
      </w:pPr>
      <w:r>
        <w:rPr>
          <w:rFonts w:ascii="Arial" w:cs="Arial" w:eastAsia="Arial" w:hAnsi="Arial"/>
          <w:sz w:val="18"/>
          <w:szCs w:val="18"/>
          <w:i w:val="1"/>
          <w:iCs w:val="1"/>
          <w:color w:val="auto"/>
        </w:rPr>
        <w:t>Amendments or termination</w:t>
      </w:r>
      <w:r>
        <w:rPr>
          <w:rFonts w:ascii="Arial" w:cs="Arial" w:eastAsia="Arial" w:hAnsi="Arial"/>
          <w:sz w:val="18"/>
          <w:szCs w:val="18"/>
          <w:color w:val="auto"/>
        </w:rPr>
        <w:t>. Our board of directors may amend, suspend or terminate our 2021 Plan at any time. If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amends our 2021 Plan, stockholder approval of the amendment is not needed unless required by applicable law, regulation or rules. Our 2021 Plan will terminate automatically 10 years after the later of the date when our board of directors adopted our 2021 Plan or approved the latest share increase that was also approved by our stockholders.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5" w:lineRule="exact"/>
        <w:rPr>
          <w:sz w:val="20"/>
          <w:szCs w:val="20"/>
          <w:color w:val="auto"/>
        </w:rPr>
      </w:pPr>
    </w:p>
    <w:p>
      <w:pPr>
        <w:ind w:left="120" w:right="40" w:firstLine="440"/>
        <w:spacing w:after="0" w:line="250"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board of directors intends to adopt our ESPP. Our ESPP will become effective as of the effective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of which this prospectus is a part. Our ESPP is intended to qualify under Section 423 of the Internal Revenue Code. Our ESPP has the features described below.</w:t>
      </w:r>
    </w:p>
    <w:p>
      <w:pPr>
        <w:spacing w:after="0" w:line="136" w:lineRule="exact"/>
        <w:rPr>
          <w:sz w:val="20"/>
          <w:szCs w:val="20"/>
          <w:color w:val="auto"/>
        </w:rPr>
      </w:pPr>
    </w:p>
    <w:p>
      <w:pPr>
        <w:ind w:left="120" w:right="300" w:firstLine="440"/>
        <w:spacing w:after="0" w:line="267"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1,639,810 shares of our common stock have been reserved for issuance under our ESPP.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reserved for issuance under our ESPP will automatically be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increased on the first business day of each of our fiscal years, commencing in 2022 and ending in 2041, by a number equal to the least of:</w:t>
      </w:r>
    </w:p>
    <w:p>
      <w:pPr>
        <w:spacing w:after="0" w:line="223" w:lineRule="exact"/>
        <w:rPr>
          <w:sz w:val="20"/>
          <w:szCs w:val="20"/>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2,000,000 shares;</w:t>
      </w:r>
    </w:p>
    <w:p>
      <w:pPr>
        <w:spacing w:after="0" w:line="211"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 of the shares of common stock and non-voting common stock issued and outstanding on the last business day of the prior fiscal year; or</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number of shares determined by our board of directors.</w:t>
      </w:r>
    </w:p>
    <w:p>
      <w:pPr>
        <w:spacing w:after="0" w:line="185"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The number of shares reserved under our ESPP will automatically be adjusted in the event of a stock split, stock dividend or a reverse stock split (including an adjustment to the per-purchase period share limit).</w:t>
      </w:r>
    </w:p>
    <w:p>
      <w:pPr>
        <w:spacing w:after="0" w:line="138" w:lineRule="exact"/>
        <w:rPr>
          <w:sz w:val="20"/>
          <w:szCs w:val="20"/>
          <w:color w:val="auto"/>
        </w:rPr>
      </w:pPr>
    </w:p>
    <w:p>
      <w:pPr>
        <w:ind w:left="560"/>
        <w:spacing w:after="0"/>
        <w:tabs>
          <w:tab w:leader="none" w:pos="1920" w:val="left"/>
        </w:tabs>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compensation committee of our board of directors will administer our 2021 ESPP.</w:t>
      </w:r>
    </w:p>
    <w:p>
      <w:pPr>
        <w:spacing w:after="0" w:line="171"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All of our employees will be eligible to participate in our ESPP, although the administrator may exclude certain categories</w:t>
      </w:r>
      <w:r>
        <w:rPr>
          <w:rFonts w:ascii="Arial" w:cs="Arial" w:eastAsia="Arial" w:hAnsi="Arial"/>
          <w:sz w:val="18"/>
          <w:szCs w:val="18"/>
          <w:i w:val="1"/>
          <w:iCs w:val="1"/>
          <w:color w:val="auto"/>
        </w:rPr>
        <w:t xml:space="preserve"> </w:t>
      </w:r>
      <w:r>
        <w:rPr>
          <w:rFonts w:ascii="Arial" w:cs="Arial" w:eastAsia="Arial" w:hAnsi="Arial"/>
          <w:sz w:val="18"/>
          <w:szCs w:val="18"/>
          <w:color w:val="auto"/>
        </w:rPr>
        <w:t>of employees from an offering period, as permitted by applicable law, including employees employed for less than two years, working less than 20 hours per week, who are employed less than five months per year, or are highly compensated employees. Eligible employees may begin participating in our ESPP at the start of any offering period.</w:t>
      </w:r>
    </w:p>
    <w:p>
      <w:pPr>
        <w:spacing w:after="0" w:line="154" w:lineRule="exact"/>
        <w:rPr>
          <w:sz w:val="20"/>
          <w:szCs w:val="20"/>
          <w:color w:val="auto"/>
        </w:rPr>
      </w:pPr>
    </w:p>
    <w:p>
      <w:pPr>
        <w:ind w:left="120" w:right="40" w:firstLine="440"/>
        <w:spacing w:after="0" w:line="250"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Each offering period will last a number of months determined by the compensation committee, not to exceed 27</w:t>
      </w:r>
      <w:r>
        <w:rPr>
          <w:rFonts w:ascii="Arial" w:cs="Arial" w:eastAsia="Arial" w:hAnsi="Arial"/>
          <w:sz w:val="18"/>
          <w:szCs w:val="18"/>
          <w:i w:val="1"/>
          <w:iCs w:val="1"/>
          <w:color w:val="auto"/>
        </w:rPr>
        <w:t xml:space="preserve"> </w:t>
      </w:r>
      <w:r>
        <w:rPr>
          <w:rFonts w:ascii="Arial" w:cs="Arial" w:eastAsia="Arial" w:hAnsi="Arial"/>
          <w:sz w:val="18"/>
          <w:szCs w:val="18"/>
          <w:color w:val="auto"/>
        </w:rPr>
        <w:t>months. A new offering period will begin periodically, as determined by the compensation committee. Offering periods may overlap or may be consecutive.</w:t>
      </w:r>
    </w:p>
    <w:p>
      <w:pPr>
        <w:spacing w:after="0" w:line="136"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i w:val="1"/>
          <w:iCs w:val="1"/>
          <w:color w:val="auto"/>
        </w:rPr>
        <w:t xml:space="preserve">Amount of Contributions. </w:t>
      </w:r>
      <w:r>
        <w:rPr>
          <w:rFonts w:ascii="Arial" w:cs="Arial" w:eastAsia="Arial" w:hAnsi="Arial"/>
          <w:sz w:val="18"/>
          <w:szCs w:val="18"/>
          <w:color w:val="auto"/>
        </w:rPr>
        <w:t>Our ESPP will permit each eligible employee to purchase common stock through payroll deductions.</w:t>
      </w:r>
      <w:r>
        <w:rPr>
          <w:rFonts w:ascii="Arial" w:cs="Arial" w:eastAsia="Arial" w:hAnsi="Arial"/>
          <w:sz w:val="18"/>
          <w:szCs w:val="18"/>
          <w:i w:val="1"/>
          <w:iCs w:val="1"/>
          <w:color w:val="auto"/>
        </w:rPr>
        <w:t xml:space="preserve"> </w:t>
      </w:r>
      <w:r>
        <w:rPr>
          <w:rFonts w:ascii="Arial" w:cs="Arial" w:eastAsia="Arial" w:hAnsi="Arial"/>
          <w:sz w:val="18"/>
          <w:szCs w:val="18"/>
          <w:color w:val="auto"/>
        </w:rPr>
        <w:t>Each employee’s payroll deductions may not exceed 15% of the employee’s cash compensation. Each participant may purchase up to the number of shares determined by our board of directors on any purchase date, not to exceed 3,000 shares. The value of the shares purchased in any calendar year may not exceed $25,000. Participants may withdraw their contributions at any time before stock is purchased.</w:t>
      </w:r>
    </w:p>
    <w:p>
      <w:pPr>
        <w:spacing w:after="0" w:line="144" w:lineRule="exact"/>
        <w:rPr>
          <w:sz w:val="20"/>
          <w:szCs w:val="20"/>
          <w:color w:val="auto"/>
        </w:rPr>
      </w:pPr>
    </w:p>
    <w:p>
      <w:pPr>
        <w:ind w:left="120" w:right="80" w:firstLine="440"/>
        <w:spacing w:after="0" w:line="250" w:lineRule="auto"/>
        <w:rPr>
          <w:sz w:val="20"/>
          <w:szCs w:val="20"/>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The price of each share of common stock purchased under our 2021 ESPP will not be less than 85% of the lower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fair market value per share of common stock on the first day of the applicable offering period or the fair market value per share of common stock on the purchase date.</w:t>
      </w:r>
    </w:p>
    <w:p>
      <w:pPr>
        <w:spacing w:after="0" w:line="150" w:lineRule="exact"/>
        <w:rPr>
          <w:sz w:val="20"/>
          <w:szCs w:val="20"/>
          <w:color w:val="auto"/>
        </w:rPr>
      </w:pPr>
    </w:p>
    <w:p>
      <w:pPr>
        <w:ind w:left="120" w:right="80" w:firstLine="440"/>
        <w:spacing w:after="0" w:line="242"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Employees may end their participation in our ESPP at any time. Participation ends automatically upon</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employment with us. If we experience a change in control, our ESPP will end and shares will be purchased with the payroll deductions accumulated to date by participating employees, unless the rights to purchase our common stock under the ESPP for an offering period then in progress are continued, assumed or substituted by the surviving entity. Our board of directors or our compensation committee may amend or terminate our ESPP at any time.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9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have established a 401(k) tax-deferred savings plan, which permits participants, including our named executive officers, to make contributions by salary deduction pursuant to Section 401(k) of the Internal Revenue Code. We are responsible for administrative costs of the 401(k) plan. We may, at our discretion, make matching contributions to the 401(k) plan. Through December 31, 2020, we have contributed approximately $1.8 million in employer matching contributions.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93"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Section 145 of the DGCL authorizes a court to award, or a corporation’s board of directors to grant, indemnity to directors and officers under certain circumstances and subject to certain limitations.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00"/>
        <w:spacing w:after="0" w:line="246" w:lineRule="auto"/>
        <w:rPr>
          <w:sz w:val="20"/>
          <w:szCs w:val="20"/>
          <w:color w:val="auto"/>
        </w:rPr>
      </w:pPr>
      <w:r>
        <w:rPr>
          <w:rFonts w:ascii="Arial" w:cs="Arial" w:eastAsia="Arial" w:hAnsi="Arial"/>
          <w:sz w:val="18"/>
          <w:szCs w:val="18"/>
          <w:color w:val="auto"/>
        </w:rPr>
        <w:t>terms of Section 145 of the DGCL are sufficiently broad to permit indemnification under certain circumstances for liabilities, including reimbursement of expenses incurred, arising under the Securities Act.</w:t>
      </w:r>
    </w:p>
    <w:p>
      <w:pPr>
        <w:spacing w:after="0" w:line="170"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205" w:lineRule="exact"/>
        <w:rPr>
          <w:sz w:val="20"/>
          <w:szCs w:val="20"/>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11"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DGCL; or</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171"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62"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78"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and certain other key employees, a form of which is attached as Exhibit 10.1.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Reference is made to the underwriting agreement contained in Exhibit 1.1 to this registration statement, indemnifying our directors and officers against limited liabilities. In addition, Section 2.8 of our amended and restated investors’ rights agreement contained in Exhibit 4.2 to this registration statement provides for indemnification of certain of our stockholders against liabilities described in our amended and restated investors’ rights agreement.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currently carry and intend to continue to carry liability insurance for our directors and officers.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07"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We describe below transactions since January 1, 2018, to which we were a party or will be a party, in which the amounts involved exceeded or will exceed $120,000 and any of our directors, executive officers, or beneficial holders of more than 5% of any class of our capital stock had or will have a direct or indirect material interest. Other than as described below, there have not been transactions to which we have been a party other than compensation arrangements, which are described under “Executive Compensation.”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F Preferred Stock Financing</w:t>
      </w:r>
    </w:p>
    <w:p>
      <w:pPr>
        <w:spacing w:after="0" w:line="193"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In February 2021, we sold an aggregate of 857,312 shares of our Series F preferred stock at a purchase price of $69.9862 per share for an aggregate purchase price of approximately $60.0 million. Each share of our Series F preferred stock converts automatically into one share of our common stock immediately prior to the completion of this offering.</w:t>
      </w:r>
    </w:p>
    <w:p>
      <w:pPr>
        <w:spacing w:after="0" w:line="176"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The purchasers of our Series F preferred stock are entitled to specified registration rights. For additional information, see “Description of Capital Stock—Registration Rights.” See the section titled “Principal Stockholders” for more details regarding the shares held by certain of these entities.</w:t>
      </w:r>
    </w:p>
    <w:p>
      <w:pPr>
        <w:spacing w:after="0" w:line="162"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The following table summarizes the Series F preferred stock purchased by affiliates of members of our board of directors and holders of more than 5% of our outstanding capital stock:</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Shares of</w:t>
            </w: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Series F</w:t>
            </w: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6260" w:type="dxa"/>
            <w:vAlign w:val="bottom"/>
            <w:vMerge w:val="restart"/>
          </w:tcPr>
          <w:p>
            <w:pPr>
              <w:spacing w:after="0"/>
              <w:rPr>
                <w:sz w:val="14"/>
                <w:szCs w:val="1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Preferred</w:t>
            </w: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6260" w:type="dxa"/>
            <w:vAlign w:val="bottom"/>
            <w:vMerge w:val="continue"/>
          </w:tcPr>
          <w:p>
            <w:pPr>
              <w:spacing w:after="0"/>
              <w:rPr>
                <w:sz w:val="15"/>
                <w:szCs w:val="15"/>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Stock</w:t>
            </w: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89"/>
        </w:trPr>
        <w:tc>
          <w:tcPr>
            <w:tcW w:w="7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Spark Capital</w:t>
            </w:r>
            <w:r>
              <w:rPr>
                <w:rFonts w:ascii="Arial" w:cs="Arial" w:eastAsia="Arial" w:hAnsi="Arial"/>
                <w:sz w:val="15"/>
                <w:szCs w:val="15"/>
                <w:color w:val="auto"/>
              </w:rPr>
              <w:t>(1)</w:t>
            </w: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136,095</w:t>
            </w:r>
          </w:p>
        </w:tc>
        <w:tc>
          <w:tcPr>
            <w:tcW w:w="78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9,524,772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Goldman Sachs</w:t>
            </w:r>
            <w:r>
              <w:rPr>
                <w:rFonts w:ascii="Arial" w:cs="Arial" w:eastAsia="Arial" w:hAnsi="Arial"/>
                <w:sz w:val="15"/>
                <w:szCs w:val="15"/>
                <w:color w:val="auto"/>
              </w:rPr>
              <w:t>(2)</w:t>
            </w:r>
          </w:p>
        </w:tc>
        <w:tc>
          <w:tcPr>
            <w:tcW w:w="150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57,375</w:t>
            </w:r>
          </w:p>
        </w:tc>
        <w:tc>
          <w:tcPr>
            <w:tcW w:w="1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4,015,458</w:t>
            </w:r>
          </w:p>
        </w:tc>
        <w:tc>
          <w:tcPr>
            <w:tcW w:w="0" w:type="dxa"/>
            <w:vAlign w:val="bottom"/>
          </w:tcPr>
          <w:p>
            <w:pPr>
              <w:spacing w:after="0"/>
              <w:rPr>
                <w:sz w:val="1"/>
                <w:szCs w:val="1"/>
                <w:color w:val="auto"/>
              </w:rPr>
            </w:pPr>
          </w:p>
        </w:tc>
      </w:tr>
      <w:tr>
        <w:trPr>
          <w:trHeight w:val="203"/>
        </w:trPr>
        <w:tc>
          <w:tcPr>
            <w:tcW w:w="7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Ossa Investments Pte. Ltd.</w:t>
            </w:r>
          </w:p>
        </w:tc>
        <w:tc>
          <w:tcPr>
            <w:tcW w:w="15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48,327</w:t>
            </w:r>
          </w:p>
        </w:tc>
        <w:tc>
          <w:tcPr>
            <w:tcW w:w="1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3,382,223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660" w:right="20" w:hanging="544"/>
        <w:spacing w:after="0" w:line="241" w:lineRule="auto"/>
        <w:tabs>
          <w:tab w:leader="none" w:pos="6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shares held by Spark Capital Growth Fund L.P., Spark Capital Growth Founders’ Fund, L.P., Spark Capital II, L.P. and Spark Capital Founders’ Fund II, L.P., which collectively hold more than 5% of our outstanding capital stock. Alex Finkelstein, a member of our board of directors, is a general partner of Spark Capital and a designee of Spark Capital.</w:t>
      </w:r>
    </w:p>
    <w:p>
      <w:pPr>
        <w:spacing w:after="0" w:line="1" w:lineRule="exact"/>
        <w:rPr>
          <w:rFonts w:ascii="Arial" w:cs="Arial" w:eastAsia="Arial" w:hAnsi="Arial"/>
          <w:sz w:val="14"/>
          <w:szCs w:val="14"/>
          <w:color w:val="auto"/>
        </w:rPr>
      </w:pPr>
    </w:p>
    <w:p>
      <w:pPr>
        <w:ind w:left="660" w:right="240" w:hanging="544"/>
        <w:spacing w:after="0" w:line="258" w:lineRule="auto"/>
        <w:tabs>
          <w:tab w:leader="none" w:pos="6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shares held by Goldman Sachs PSI Global Holdings, LLC, StoneBridge 2020, L.P. and StoneBridge 2020 Offshore Holdings II, L.P., which collectively hold more than 5% of our outstanding capital stock. Jo Natauri, a member of our board of directors, is a managing director and designee of Goldman Sachs.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E Preferred Stock Financing</w:t>
      </w:r>
    </w:p>
    <w:p>
      <w:pPr>
        <w:spacing w:after="0" w:line="193" w:lineRule="exact"/>
        <w:rPr>
          <w:sz w:val="20"/>
          <w:szCs w:val="20"/>
          <w:color w:val="auto"/>
        </w:rPr>
      </w:pPr>
    </w:p>
    <w:p>
      <w:pPr>
        <w:ind w:left="120" w:right="800" w:firstLine="440"/>
        <w:spacing w:after="0" w:line="248" w:lineRule="auto"/>
        <w:rPr>
          <w:sz w:val="20"/>
          <w:szCs w:val="20"/>
          <w:color w:val="auto"/>
        </w:rPr>
      </w:pPr>
      <w:r>
        <w:rPr>
          <w:rFonts w:ascii="Arial" w:cs="Arial" w:eastAsia="Arial" w:hAnsi="Arial"/>
          <w:sz w:val="17"/>
          <w:szCs w:val="17"/>
          <w:color w:val="auto"/>
        </w:rPr>
        <w:t>In February 2020, we sold an aggregate of 1,750,514 shares of our Series E-1 preferred stock and 1,996,126 shares of our Series E-2 preferred stock, each at a purchase price of $32.0287 per share for an aggregate purchase price of approximately</w:t>
      </w:r>
    </w:p>
    <w:p>
      <w:pPr>
        <w:spacing w:after="0" w:line="1" w:lineRule="exact"/>
        <w:rPr>
          <w:sz w:val="20"/>
          <w:szCs w:val="20"/>
          <w:color w:val="auto"/>
        </w:rPr>
      </w:pPr>
    </w:p>
    <w:p>
      <w:pPr>
        <w:jc w:val="both"/>
        <w:ind w:left="120" w:right="100"/>
        <w:spacing w:after="0"/>
        <w:rPr>
          <w:sz w:val="20"/>
          <w:szCs w:val="20"/>
          <w:color w:val="auto"/>
        </w:rPr>
      </w:pPr>
      <w:r>
        <w:rPr>
          <w:rFonts w:ascii="Arial" w:cs="Arial" w:eastAsia="Arial" w:hAnsi="Arial"/>
          <w:sz w:val="18"/>
          <w:szCs w:val="18"/>
          <w:color w:val="auto"/>
        </w:rPr>
        <w:t>$120.0 million. Each share of our Series E-1 preferred stock automatically converts into one share of our common stock immediately prior to the completion of this offering and each share of our Series E-2 preferred stock converts automatically into one share of our non-voting common stock immediately prior to the completion of this offering.</w:t>
      </w:r>
    </w:p>
    <w:p>
      <w:pPr>
        <w:spacing w:after="0" w:line="176"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The purchasers of our Series E-1 preferred stock and Series E-2 preferred stock are entitled to specified registration rights. For additional information, see “Description of Capital Stock—Registration Rights.” See the section titled “Principal Stockholders” for more details regarding the shares held by certain of these entities.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following table summarizes the Series E-1 preferred stock and Series E-2 preferred stock purchased by affiliates of members of our board of directors and holders of more than 5% of our outstanding capital stock:</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 of</w:t>
            </w: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Series</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Shares of</w:t>
            </w: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E-1</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Series E-2</w:t>
            </w: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5380" w:type="dxa"/>
            <w:vAlign w:val="bottom"/>
            <w:vMerge w:val="restart"/>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Preferred</w:t>
            </w: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Preferred</w:t>
            </w: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5380" w:type="dxa"/>
            <w:vAlign w:val="bottom"/>
            <w:vMerge w:val="continue"/>
          </w:tcPr>
          <w:p>
            <w:pPr>
              <w:spacing w:after="0"/>
              <w:rPr>
                <w:sz w:val="15"/>
                <w:szCs w:val="15"/>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Stock</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Stock</w:t>
            </w:r>
          </w:p>
        </w:tc>
        <w:tc>
          <w:tcPr>
            <w:tcW w:w="1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xml:space="preserve">Total Purchase </w:t>
            </w:r>
            <w:r>
              <w:rPr>
                <w:rFonts w:ascii="Arial" w:cs="Arial" w:eastAsia="Arial" w:hAnsi="Arial"/>
                <w:sz w:val="14"/>
                <w:szCs w:val="14"/>
                <w:b w:val="1"/>
                <w:bCs w:val="1"/>
                <w:u w:val="single" w:color="auto"/>
                <w:color w:val="auto"/>
              </w:rPr>
              <w:t>Price($</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6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Goldman Sachs</w:t>
            </w:r>
            <w:r>
              <w:rPr>
                <w:rFonts w:ascii="Arial" w:cs="Arial" w:eastAsia="Arial" w:hAnsi="Arial"/>
                <w:sz w:val="15"/>
                <w:szCs w:val="15"/>
                <w:color w:val="auto"/>
              </w:rPr>
              <w:t>(1)</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969,964</w:t>
            </w:r>
          </w:p>
        </w:tc>
        <w:tc>
          <w:tcPr>
            <w:tcW w:w="5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1,371,686</w:t>
            </w:r>
          </w:p>
        </w:tc>
        <w:tc>
          <w:tcPr>
            <w:tcW w:w="4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75,000,005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820" w:type="dxa"/>
            <w:vAlign w:val="bottom"/>
            <w:gridSpan w:val="2"/>
          </w:tcPr>
          <w:p>
            <w:pPr>
              <w:spacing w:after="0"/>
              <w:rPr>
                <w:sz w:val="20"/>
                <w:szCs w:val="20"/>
                <w:color w:val="auto"/>
              </w:rPr>
            </w:pPr>
            <w:r>
              <w:rPr>
                <w:rFonts w:ascii="Arial" w:cs="Arial" w:eastAsia="Arial" w:hAnsi="Arial"/>
                <w:sz w:val="18"/>
                <w:szCs w:val="18"/>
                <w:color w:val="auto"/>
              </w:rPr>
              <w:t>Ossa Investments Pte. Ltd.</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624,440</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20,000,001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7715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75" w:lineRule="exact"/>
        <w:rPr>
          <w:sz w:val="20"/>
          <w:szCs w:val="20"/>
          <w:color w:val="auto"/>
        </w:rPr>
      </w:pPr>
    </w:p>
    <w:p>
      <w:pPr>
        <w:ind w:left="660" w:right="240" w:hanging="544"/>
        <w:spacing w:after="0" w:line="258" w:lineRule="auto"/>
        <w:tabs>
          <w:tab w:leader="none" w:pos="6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Consists of shares held by Goldman Sachs PSI Global Holdings, LLC, StoneBridge 2020, L.P. and StoneBridge 2020 Offshore Holdings II, L.P., which collectively hold more than 5% of our outstanding capital stock. Jo Natauri, a member of our board of directors, is a managing director and designee of Goldman Sachs.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D Preferred Stock Financing</w:t>
      </w:r>
    </w:p>
    <w:p>
      <w:pPr>
        <w:spacing w:after="0" w:line="207"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In July 2018, we sold an aggregate of 2,208,334 shares of our Series D preferred stock to Ossa Investments Pte. Ltd (Ossa), at a purchase price of $22.6415 per share for an aggregate purchase price of approximately $50.0 million. Each share of our Series D preferred stock converts automatically into one share of our common stock immediately prior to the completion of this offering.</w:t>
      </w:r>
    </w:p>
    <w:p>
      <w:pPr>
        <w:spacing w:after="0" w:line="162"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The purchasers of our Series D preferred stock are entitled to specified registration rights. For additional information, see “Description of Capital Stock—Registration Rights.” See the section titled “Principal Stockholders” for more details regarding the shares held by certain of these entities.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Secondary Sales</w:t>
      </w:r>
    </w:p>
    <w:p>
      <w:pPr>
        <w:spacing w:after="0" w:line="207"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On February 23, 2021, certain members of our management and Board of Directors, in a series of individual transactions, sold an aggregate of 401,706 shares of our common stock to certain of our existing investors at a purchase price of $ 66.9862 per share, for an aggregate purchase price of approximately $26.7 million. No seller sold more than 10% of their total holdings or equity or 15% of their vested equity.</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Stockholders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93" w:lineRule="exact"/>
        <w:rPr>
          <w:sz w:val="20"/>
          <w:szCs w:val="20"/>
          <w:color w:val="auto"/>
        </w:rPr>
      </w:pPr>
    </w:p>
    <w:p>
      <w:pPr>
        <w:ind w:left="120" w:right="360" w:firstLine="440"/>
        <w:spacing w:after="0" w:line="238" w:lineRule="auto"/>
        <w:rPr>
          <w:sz w:val="20"/>
          <w:szCs w:val="20"/>
          <w:color w:val="auto"/>
        </w:rPr>
      </w:pPr>
      <w:r>
        <w:rPr>
          <w:rFonts w:ascii="Arial" w:cs="Arial" w:eastAsia="Arial" w:hAnsi="Arial"/>
          <w:sz w:val="18"/>
          <w:szCs w:val="18"/>
          <w:color w:val="auto"/>
        </w:rPr>
        <w:t>We have entered into an amended and restated investors’ rights agreement with certain holders of our preferred stock, including entities with which certain of our directors are affiliated. These stockholders are entitled to rights with respect to the registration of their shares following this offering. For a description of these registration rights, see the section titled “Description of Capital Stock— Registration Rights.” Other than these registration rights, all other terms of the amended and restated investors’ rights agreement will terminate in connection with this offering.</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93"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have entered into a voting agreement with certain holders of our preferred stock, including entities with which certain of our directors are affiliated. Under our voting agreement, certain holders of our capital stock have agreed as to the manner in which they will vote their shares of our capital stock on certain matters, including with respect to the election of directors. The voting agreement will terminate upon the completion of this offering, at which time there will be no further contractual obligations regarding the manner in which shares are voted with respect to the election of our directors.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of First Refusal and Co-Sale Agreement</w:t>
      </w:r>
    </w:p>
    <w:p>
      <w:pPr>
        <w:spacing w:after="0" w:line="20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have entered into a first refusal and co-sale agreement with certain holders of our preferred stock, including entities with which certain of our directors are affiliated. Under our first refusal and co-sale agreement, certain holders of our capital stock have the right of first refusal and co-sale relating to the shares of our common stock held by the parties to the agreement. Upon the consummation of this offering our first refusal and co-sale agreement will terminate.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9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will enter into indemnification agreements with each of our directors and executive officers. The indemnification agreements and our restated bylaws will require us to indemnify our directors to the fullest extent not prohibited by DGCL. Subject to very limited exceptions, our restated bylaws will also require us to advance expenses incurred by our directors and officers. For more information regarding these agreements, see the section titled “Executive Compensation—Limitations on Liability and Indemnification Matters.”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Effective upon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Our audit committee will have the primary responsibility for reviewing and approving or disapproving such “related party transactions.” The charter of our audit committee will provide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67"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all of the transactions described above. Prior to approving such a transaction, the material facts as to the relationship or interest of the relevant director, officer or holder of 5% or more of any class of our voting securities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80"/>
          </w:cols>
          <w:pgMar w:left="320" w:top="459"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07"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and non-voting common stock as of April 23, 2021, and as adjusted to reflect the sale of common stock in this offering, for:</w:t>
      </w:r>
    </w:p>
    <w:p>
      <w:pPr>
        <w:spacing w:after="0" w:line="197" w:lineRule="exact"/>
        <w:rPr>
          <w:sz w:val="20"/>
          <w:szCs w:val="20"/>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211"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 and non-voting common stock.</w:t>
      </w:r>
    </w:p>
    <w:p>
      <w:pPr>
        <w:spacing w:after="0" w:line="156" w:lineRule="exact"/>
        <w:rPr>
          <w:sz w:val="20"/>
          <w:szCs w:val="20"/>
          <w:color w:val="auto"/>
        </w:rPr>
      </w:pPr>
    </w:p>
    <w:p>
      <w:pPr>
        <w:ind w:left="120" w:right="180" w:firstLine="440"/>
        <w:spacing w:after="0" w:line="248"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and non-voting common stock that they beneficially owned, subject to applicable community property laws. Applicable</w:t>
      </w:r>
    </w:p>
    <w:p>
      <w:pPr>
        <w:spacing w:after="0" w:line="2" w:lineRule="exact"/>
        <w:rPr>
          <w:sz w:val="20"/>
          <w:szCs w:val="20"/>
          <w:color w:val="auto"/>
        </w:rPr>
      </w:pPr>
    </w:p>
    <w:p>
      <w:pPr>
        <w:ind w:left="120" w:right="340"/>
        <w:spacing w:after="0" w:line="234" w:lineRule="auto"/>
        <w:rPr>
          <w:sz w:val="20"/>
          <w:szCs w:val="20"/>
          <w:color w:val="auto"/>
        </w:rPr>
      </w:pPr>
      <w:r>
        <w:rPr>
          <w:rFonts w:ascii="Arial" w:cs="Arial" w:eastAsia="Arial" w:hAnsi="Arial"/>
          <w:sz w:val="18"/>
          <w:szCs w:val="18"/>
          <w:color w:val="auto"/>
        </w:rPr>
        <w:t>percentage ownership is based on 35,670,088 shares of our common stock and shares of our non-voting common stock outstanding as of April 23, 2021, and assumes the conversion of all outstanding shares of preferred stock into an aggregate of 22,673,439 shares of our common stock and shares of our non-voting common stock. In computing the number of shares of</w:t>
      </w:r>
    </w:p>
    <w:p>
      <w:pPr>
        <w:spacing w:after="0" w:line="2"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common stock and non-voting common stock beneficially owned by a person and the percentage ownership of that person, we deemed to be outstanding all shares of common stock subject to options held by that person or entity that are currently exercisable or that will become exercisable within 60 days of April 23, 2021. We did not deem these shares outstanding, however, for the purpose of computing the percentage ownership of any other person. Unless otherwise indicated, the address of each beneficial owner in the table below is c/o Flywire Corporation, 141 Tremont St #10, Boston, MA 02111.</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640" w:type="dxa"/>
            <w:vAlign w:val="bottom"/>
            <w:gridSpan w:val="11"/>
          </w:tcPr>
          <w:p>
            <w:pPr>
              <w:ind w:left="460"/>
              <w:spacing w:after="0"/>
              <w:rPr>
                <w:sz w:val="20"/>
                <w:szCs w:val="20"/>
                <w:color w:val="auto"/>
              </w:rPr>
            </w:pPr>
            <w:r>
              <w:rPr>
                <w:rFonts w:ascii="Arial" w:cs="Arial" w:eastAsia="Arial" w:hAnsi="Arial"/>
                <w:sz w:val="13"/>
                <w:szCs w:val="13"/>
                <w:b w:val="1"/>
                <w:bCs w:val="1"/>
                <w:color w:val="auto"/>
              </w:rPr>
              <w:t>Shares Beneficially Owned Prior To This</w:t>
            </w:r>
          </w:p>
        </w:tc>
        <w:tc>
          <w:tcPr>
            <w:tcW w:w="3380" w:type="dxa"/>
            <w:vAlign w:val="bottom"/>
            <w:gridSpan w:val="11"/>
          </w:tcPr>
          <w:p>
            <w:pPr>
              <w:jc w:val="center"/>
              <w:ind w:right="60"/>
              <w:spacing w:after="0"/>
              <w:rPr>
                <w:sz w:val="20"/>
                <w:szCs w:val="20"/>
                <w:color w:val="auto"/>
              </w:rPr>
            </w:pPr>
            <w:r>
              <w:rPr>
                <w:rFonts w:ascii="Arial" w:cs="Arial" w:eastAsia="Arial" w:hAnsi="Arial"/>
                <w:sz w:val="13"/>
                <w:szCs w:val="13"/>
                <w:b w:val="1"/>
                <w:bCs w:val="1"/>
                <w:color w:val="auto"/>
                <w:w w:val="97"/>
              </w:rPr>
              <w:t>Shares Beneficially Owned After This</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w w:val="94"/>
              </w:rPr>
              <w:t>Offering</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3"/>
                <w:szCs w:val="13"/>
                <w:b w:val="1"/>
                <w:bCs w:val="1"/>
                <w:color w:val="auto"/>
                <w:w w:val="94"/>
              </w:rPr>
              <w:t>Offering</w:t>
            </w: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5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 Of Total</w:t>
            </w: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 Of Total</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80" w:type="dxa"/>
            <w:vAlign w:val="bottom"/>
            <w:gridSpan w:val="2"/>
            <w:vMerge w:val="restart"/>
          </w:tcPr>
          <w:p>
            <w:pPr>
              <w:ind w:left="460"/>
              <w:spacing w:after="0"/>
              <w:rPr>
                <w:sz w:val="20"/>
                <w:szCs w:val="20"/>
                <w:color w:val="auto"/>
              </w:rPr>
            </w:pPr>
            <w:r>
              <w:rPr>
                <w:rFonts w:ascii="Arial" w:cs="Arial" w:eastAsia="Arial" w:hAnsi="Arial"/>
                <w:sz w:val="13"/>
                <w:szCs w:val="13"/>
                <w:b w:val="1"/>
                <w:bCs w:val="1"/>
                <w:color w:val="auto"/>
              </w:rPr>
              <w:t>Voting</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4"/>
            <w:vMerge w:val="restart"/>
          </w:tcPr>
          <w:p>
            <w:pPr>
              <w:jc w:val="center"/>
              <w:ind w:right="220"/>
              <w:spacing w:after="0"/>
              <w:rPr>
                <w:sz w:val="20"/>
                <w:szCs w:val="20"/>
                <w:color w:val="auto"/>
              </w:rPr>
            </w:pPr>
            <w:r>
              <w:rPr>
                <w:rFonts w:ascii="Arial" w:cs="Arial" w:eastAsia="Arial" w:hAnsi="Arial"/>
                <w:sz w:val="13"/>
                <w:szCs w:val="13"/>
                <w:b w:val="1"/>
                <w:bCs w:val="1"/>
                <w:color w:val="auto"/>
                <w:w w:val="96"/>
              </w:rPr>
              <w:t>Non-voting</w:t>
            </w: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Outstanding</w:t>
            </w:r>
          </w:p>
        </w:tc>
        <w:tc>
          <w:tcPr>
            <w:tcW w:w="960" w:type="dxa"/>
            <w:vAlign w:val="bottom"/>
            <w:gridSpan w:val="2"/>
            <w:vMerge w:val="restart"/>
          </w:tcPr>
          <w:p>
            <w:pPr>
              <w:jc w:val="center"/>
              <w:ind w:left="270"/>
              <w:spacing w:after="0"/>
              <w:rPr>
                <w:sz w:val="20"/>
                <w:szCs w:val="20"/>
                <w:color w:val="auto"/>
              </w:rPr>
            </w:pPr>
            <w:r>
              <w:rPr>
                <w:rFonts w:ascii="Arial" w:cs="Arial" w:eastAsia="Arial" w:hAnsi="Arial"/>
                <w:sz w:val="13"/>
                <w:szCs w:val="13"/>
                <w:b w:val="1"/>
                <w:bCs w:val="1"/>
                <w:color w:val="auto"/>
                <w:w w:val="93"/>
              </w:rPr>
              <w:t>Voting</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4"/>
            <w:vMerge w:val="restart"/>
          </w:tcPr>
          <w:p>
            <w:pPr>
              <w:jc w:val="center"/>
              <w:ind w:right="180"/>
              <w:spacing w:after="0"/>
              <w:rPr>
                <w:sz w:val="20"/>
                <w:szCs w:val="20"/>
                <w:color w:val="auto"/>
              </w:rPr>
            </w:pPr>
            <w:r>
              <w:rPr>
                <w:rFonts w:ascii="Arial" w:cs="Arial" w:eastAsia="Arial" w:hAnsi="Arial"/>
                <w:sz w:val="13"/>
                <w:szCs w:val="13"/>
                <w:b w:val="1"/>
                <w:bCs w:val="1"/>
                <w:color w:val="auto"/>
                <w:w w:val="96"/>
              </w:rPr>
              <w:t>Non-voting</w:t>
            </w:r>
          </w:p>
        </w:tc>
        <w:tc>
          <w:tcPr>
            <w:tcW w:w="8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9"/>
              </w:rPr>
              <w:t>Outstanding</w:t>
            </w: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04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Capital</w:t>
            </w:r>
          </w:p>
        </w:tc>
        <w:tc>
          <w:tcPr>
            <w:tcW w:w="9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800" w:type="dxa"/>
            <w:vAlign w:val="bottom"/>
            <w:gridSpan w:val="2"/>
            <w:vMerge w:val="restart"/>
          </w:tcPr>
          <w:p>
            <w:pPr>
              <w:jc w:val="center"/>
              <w:ind w:right="20"/>
              <w:spacing w:after="0" w:line="135" w:lineRule="exact"/>
              <w:rPr>
                <w:sz w:val="20"/>
                <w:szCs w:val="20"/>
                <w:color w:val="auto"/>
              </w:rPr>
            </w:pPr>
            <w:r>
              <w:rPr>
                <w:rFonts w:ascii="Arial" w:cs="Arial" w:eastAsia="Arial" w:hAnsi="Arial"/>
                <w:sz w:val="13"/>
                <w:szCs w:val="13"/>
                <w:b w:val="1"/>
                <w:bCs w:val="1"/>
                <w:color w:val="auto"/>
                <w:w w:val="96"/>
              </w:rPr>
              <w:t>Capital</w:t>
            </w: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980" w:type="dxa"/>
            <w:vAlign w:val="bottom"/>
            <w:gridSpan w:val="2"/>
            <w:vMerge w:val="restart"/>
          </w:tcPr>
          <w:p>
            <w:pPr>
              <w:ind w:left="380"/>
              <w:spacing w:after="0" w:line="135" w:lineRule="exact"/>
              <w:rPr>
                <w:sz w:val="20"/>
                <w:szCs w:val="20"/>
                <w:color w:val="auto"/>
              </w:rPr>
            </w:pPr>
            <w:r>
              <w:rPr>
                <w:rFonts w:ascii="Arial" w:cs="Arial" w:eastAsia="Arial" w:hAnsi="Arial"/>
                <w:sz w:val="13"/>
                <w:szCs w:val="13"/>
                <w:b w:val="1"/>
                <w:bCs w:val="1"/>
                <w:color w:val="auto"/>
              </w:rPr>
              <w:t>Common</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4"/>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Common</w:t>
            </w:r>
          </w:p>
        </w:tc>
        <w:tc>
          <w:tcPr>
            <w:tcW w:w="1040" w:type="dxa"/>
            <w:vAlign w:val="bottom"/>
            <w:gridSpan w:val="2"/>
            <w:vMerge w:val="continue"/>
          </w:tcPr>
          <w:p>
            <w:pPr>
              <w:spacing w:after="0"/>
              <w:rPr>
                <w:sz w:val="7"/>
                <w:szCs w:val="7"/>
                <w:color w:val="auto"/>
              </w:rPr>
            </w:pPr>
          </w:p>
        </w:tc>
        <w:tc>
          <w:tcPr>
            <w:tcW w:w="960" w:type="dxa"/>
            <w:vAlign w:val="bottom"/>
            <w:gridSpan w:val="2"/>
            <w:vMerge w:val="restart"/>
          </w:tcPr>
          <w:p>
            <w:pPr>
              <w:jc w:val="center"/>
              <w:ind w:left="270"/>
              <w:spacing w:after="0" w:line="135" w:lineRule="exact"/>
              <w:rPr>
                <w:sz w:val="20"/>
                <w:szCs w:val="20"/>
                <w:color w:val="auto"/>
              </w:rPr>
            </w:pPr>
            <w:r>
              <w:rPr>
                <w:rFonts w:ascii="Arial" w:cs="Arial" w:eastAsia="Arial" w:hAnsi="Arial"/>
                <w:sz w:val="13"/>
                <w:szCs w:val="13"/>
                <w:b w:val="1"/>
                <w:bCs w:val="1"/>
                <w:color w:val="auto"/>
                <w:w w:val="95"/>
              </w:rPr>
              <w:t>Common</w:t>
            </w: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4"/>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Common</w:t>
            </w: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04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Stock</w:t>
            </w:r>
          </w:p>
        </w:tc>
        <w:tc>
          <w:tcPr>
            <w:tcW w:w="9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800" w:type="dxa"/>
            <w:vAlign w:val="bottom"/>
            <w:gridSpan w:val="2"/>
            <w:vMerge w:val="restart"/>
          </w:tcPr>
          <w:p>
            <w:pPr>
              <w:jc w:val="center"/>
              <w:ind w:right="40"/>
              <w:spacing w:after="0" w:line="135" w:lineRule="exact"/>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980" w:type="dxa"/>
            <w:vAlign w:val="bottom"/>
            <w:gridSpan w:val="2"/>
            <w:vMerge w:val="restart"/>
          </w:tcPr>
          <w:p>
            <w:pPr>
              <w:ind w:left="480"/>
              <w:spacing w:after="0"/>
              <w:rPr>
                <w:sz w:val="20"/>
                <w:szCs w:val="20"/>
                <w:color w:val="auto"/>
              </w:rPr>
            </w:pPr>
            <w:r>
              <w:rPr>
                <w:rFonts w:ascii="Arial" w:cs="Arial" w:eastAsia="Arial" w:hAnsi="Arial"/>
                <w:sz w:val="13"/>
                <w:szCs w:val="13"/>
                <w:b w:val="1"/>
                <w:bCs w:val="1"/>
                <w:color w:val="auto"/>
              </w:rPr>
              <w:t>Stock</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gridSpan w:val="2"/>
            <w:vMerge w:val="restart"/>
          </w:tcPr>
          <w:p>
            <w:pPr>
              <w:jc w:val="center"/>
              <w:ind w:left="77"/>
              <w:spacing w:after="0"/>
              <w:rPr>
                <w:sz w:val="20"/>
                <w:szCs w:val="20"/>
                <w:color w:val="auto"/>
              </w:rPr>
            </w:pPr>
            <w:r>
              <w:rPr>
                <w:rFonts w:ascii="Arial" w:cs="Arial" w:eastAsia="Arial" w:hAnsi="Arial"/>
                <w:sz w:val="13"/>
                <w:szCs w:val="13"/>
                <w:b w:val="1"/>
                <w:bCs w:val="1"/>
                <w:color w:val="auto"/>
                <w:w w:val="95"/>
              </w:rPr>
              <w:t>Stock</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60" w:type="dxa"/>
            <w:vAlign w:val="bottom"/>
            <w:gridSpan w:val="2"/>
            <w:vMerge w:val="restart"/>
          </w:tcPr>
          <w:p>
            <w:pPr>
              <w:jc w:val="center"/>
              <w:ind w:left="270"/>
              <w:spacing w:after="0"/>
              <w:rPr>
                <w:sz w:val="20"/>
                <w:szCs w:val="20"/>
                <w:color w:val="auto"/>
              </w:rPr>
            </w:pPr>
            <w:r>
              <w:rPr>
                <w:rFonts w:ascii="Arial" w:cs="Arial" w:eastAsia="Arial" w:hAnsi="Arial"/>
                <w:sz w:val="13"/>
                <w:szCs w:val="13"/>
                <w:b w:val="1"/>
                <w:bCs w:val="1"/>
                <w:color w:val="auto"/>
                <w:w w:val="95"/>
              </w:rPr>
              <w:t>Stock</w:t>
            </w: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2"/>
            <w:vMerge w:val="restart"/>
          </w:tcPr>
          <w:p>
            <w:pPr>
              <w:jc w:val="center"/>
              <w:ind w:left="97"/>
              <w:spacing w:after="0"/>
              <w:rPr>
                <w:sz w:val="20"/>
                <w:szCs w:val="20"/>
                <w:color w:val="auto"/>
              </w:rPr>
            </w:pPr>
            <w:r>
              <w:rPr>
                <w:rFonts w:ascii="Arial" w:cs="Arial" w:eastAsia="Arial" w:hAnsi="Arial"/>
                <w:sz w:val="13"/>
                <w:szCs w:val="13"/>
                <w:b w:val="1"/>
                <w:bCs w:val="1"/>
                <w:color w:val="auto"/>
                <w:w w:val="95"/>
              </w:rPr>
              <w:t>Stock</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5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980" w:type="dxa"/>
            <w:vAlign w:val="bottom"/>
            <w:tcBorders>
              <w:bottom w:val="single" w:sz="8" w:color="auto"/>
            </w:tcBorders>
            <w:gridSpan w:val="2"/>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Borders>
              <w:bottom w:val="single" w:sz="8" w:color="auto"/>
            </w:tcBorders>
            <w:gridSpan w:val="2"/>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Before This</w:t>
            </w:r>
          </w:p>
        </w:tc>
        <w:tc>
          <w:tcPr>
            <w:tcW w:w="960" w:type="dxa"/>
            <w:vAlign w:val="bottom"/>
            <w:tcBorders>
              <w:bottom w:val="single" w:sz="8" w:color="auto"/>
            </w:tcBorders>
            <w:gridSpan w:val="2"/>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Borders>
              <w:bottom w:val="single" w:sz="8" w:color="auto"/>
            </w:tcBorders>
            <w:gridSpan w:val="2"/>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restart"/>
          </w:tcPr>
          <w:p>
            <w:pPr>
              <w:jc w:val="center"/>
              <w:ind w:right="40"/>
              <w:spacing w:after="0" w:line="135" w:lineRule="exact"/>
              <w:rPr>
                <w:sz w:val="20"/>
                <w:szCs w:val="20"/>
                <w:color w:val="auto"/>
              </w:rPr>
            </w:pPr>
            <w:r>
              <w:rPr>
                <w:rFonts w:ascii="Arial" w:cs="Arial" w:eastAsia="Arial" w:hAnsi="Arial"/>
                <w:sz w:val="13"/>
                <w:szCs w:val="13"/>
                <w:b w:val="1"/>
                <w:bCs w:val="1"/>
                <w:color w:val="auto"/>
                <w:w w:val="98"/>
              </w:rPr>
              <w:t>After This</w:t>
            </w:r>
          </w:p>
        </w:tc>
        <w:tc>
          <w:tcPr>
            <w:tcW w:w="0" w:type="dxa"/>
            <w:vAlign w:val="bottom"/>
          </w:tcPr>
          <w:p>
            <w:pPr>
              <w:spacing w:after="0"/>
              <w:rPr>
                <w:sz w:val="1"/>
                <w:szCs w:val="1"/>
                <w:color w:val="auto"/>
              </w:rPr>
            </w:pPr>
          </w:p>
        </w:tc>
      </w:tr>
      <w:tr>
        <w:trPr>
          <w:trHeight w:val="39"/>
        </w:trPr>
        <w:tc>
          <w:tcPr>
            <w:tcW w:w="1580" w:type="dxa"/>
            <w:vAlign w:val="bottom"/>
            <w:vMerge w:val="restart"/>
          </w:tcPr>
          <w:p>
            <w:pPr>
              <w:spacing w:after="0"/>
              <w:rPr>
                <w:sz w:val="20"/>
                <w:szCs w:val="20"/>
                <w:color w:val="auto"/>
              </w:rPr>
            </w:pPr>
            <w:r>
              <w:rPr>
                <w:rFonts w:ascii="Arial" w:cs="Arial" w:eastAsia="Arial" w:hAnsi="Arial"/>
                <w:sz w:val="13"/>
                <w:szCs w:val="13"/>
                <w:b w:val="1"/>
                <w:bCs w:val="1"/>
                <w:color w:val="auto"/>
                <w:w w:val="95"/>
              </w:rPr>
              <w:t>Name Of Beneficial Owner</w:t>
            </w:r>
          </w:p>
        </w:tc>
        <w:tc>
          <w:tcPr>
            <w:tcW w:w="2420" w:type="dxa"/>
            <w:vAlign w:val="bottom"/>
            <w:vMerge w:val="restart"/>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580" w:type="dxa"/>
            <w:vAlign w:val="bottom"/>
            <w:tcBorders>
              <w:bottom w:val="single" w:sz="8" w:color="auto"/>
            </w:tcBorders>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980" w:type="dxa"/>
            <w:vAlign w:val="bottom"/>
            <w:gridSpan w:val="2"/>
          </w:tcPr>
          <w:p>
            <w:pPr>
              <w:ind w:left="180"/>
              <w:spacing w:after="0" w:line="144" w:lineRule="exact"/>
              <w:rPr>
                <w:sz w:val="20"/>
                <w:szCs w:val="20"/>
                <w:color w:val="auto"/>
              </w:rPr>
            </w:pPr>
            <w:r>
              <w:rPr>
                <w:rFonts w:ascii="Arial" w:cs="Arial" w:eastAsia="Arial" w:hAnsi="Arial"/>
                <w:sz w:val="13"/>
                <w:szCs w:val="13"/>
                <w:b w:val="1"/>
                <w:bCs w:val="1"/>
                <w:color w:val="auto"/>
              </w:rPr>
              <w:t>Shares</w:t>
            </w:r>
          </w:p>
        </w:tc>
        <w:tc>
          <w:tcPr>
            <w:tcW w:w="320" w:type="dxa"/>
            <w:vAlign w:val="bottom"/>
          </w:tcPr>
          <w:p>
            <w:pPr>
              <w:jc w:val="right"/>
              <w:ind w:right="27"/>
              <w:spacing w:after="0" w:line="144"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200"/>
              <w:spacing w:after="0" w:line="144" w:lineRule="exact"/>
              <w:rPr>
                <w:sz w:val="20"/>
                <w:szCs w:val="20"/>
                <w:color w:val="auto"/>
              </w:rPr>
            </w:pPr>
            <w:r>
              <w:rPr>
                <w:rFonts w:ascii="Arial" w:cs="Arial" w:eastAsia="Arial" w:hAnsi="Arial"/>
                <w:sz w:val="13"/>
                <w:szCs w:val="13"/>
                <w:b w:val="1"/>
                <w:bCs w:val="1"/>
                <w:color w:val="auto"/>
                <w:w w:val="96"/>
              </w:rPr>
              <w:t>Shares</w:t>
            </w:r>
          </w:p>
        </w:tc>
        <w:tc>
          <w:tcPr>
            <w:tcW w:w="1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10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8"/>
              </w:rPr>
              <w:t>Offering</w:t>
            </w:r>
          </w:p>
        </w:tc>
        <w:tc>
          <w:tcPr>
            <w:tcW w:w="960" w:type="dxa"/>
            <w:vAlign w:val="bottom"/>
            <w:gridSpan w:val="2"/>
          </w:tcPr>
          <w:p>
            <w:pPr>
              <w:jc w:val="right"/>
              <w:ind w:right="360"/>
              <w:spacing w:after="0" w:line="144" w:lineRule="exact"/>
              <w:rPr>
                <w:sz w:val="20"/>
                <w:szCs w:val="20"/>
                <w:color w:val="auto"/>
              </w:rPr>
            </w:pPr>
            <w:r>
              <w:rPr>
                <w:rFonts w:ascii="Arial" w:cs="Arial" w:eastAsia="Arial" w:hAnsi="Arial"/>
                <w:sz w:val="13"/>
                <w:szCs w:val="13"/>
                <w:b w:val="1"/>
                <w:bCs w:val="1"/>
                <w:color w:val="auto"/>
              </w:rPr>
              <w:t>Shares</w:t>
            </w:r>
          </w:p>
        </w:tc>
        <w:tc>
          <w:tcPr>
            <w:tcW w:w="340" w:type="dxa"/>
            <w:vAlign w:val="bottom"/>
          </w:tcPr>
          <w:p>
            <w:pPr>
              <w:jc w:val="right"/>
              <w:ind w:right="49"/>
              <w:spacing w:after="0" w:line="144"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jc w:val="right"/>
              <w:spacing w:after="0" w:line="144" w:lineRule="exact"/>
              <w:rPr>
                <w:sz w:val="20"/>
                <w:szCs w:val="20"/>
                <w:color w:val="auto"/>
              </w:rPr>
            </w:pPr>
            <w:r>
              <w:rPr>
                <w:rFonts w:ascii="Arial" w:cs="Arial" w:eastAsia="Arial" w:hAnsi="Arial"/>
                <w:sz w:val="13"/>
                <w:szCs w:val="13"/>
                <w:b w:val="1"/>
                <w:bCs w:val="1"/>
                <w:color w:val="auto"/>
                <w:w w:val="86"/>
              </w:rPr>
              <w:t>%</w:t>
            </w:r>
          </w:p>
        </w:tc>
        <w:tc>
          <w:tcPr>
            <w:tcW w:w="200" w:type="dxa"/>
            <w:vAlign w:val="bottom"/>
          </w:tcPr>
          <w:p>
            <w:pPr>
              <w:spacing w:after="0"/>
              <w:rPr>
                <w:sz w:val="14"/>
                <w:szCs w:val="14"/>
                <w:color w:val="auto"/>
              </w:rPr>
            </w:pPr>
          </w:p>
        </w:tc>
        <w:tc>
          <w:tcPr>
            <w:tcW w:w="80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color w:val="auto"/>
                <w:w w:val="94"/>
              </w:rPr>
              <w:t>Offering</w:t>
            </w:r>
          </w:p>
        </w:tc>
        <w:tc>
          <w:tcPr>
            <w:tcW w:w="0" w:type="dxa"/>
            <w:vAlign w:val="bottom"/>
          </w:tcPr>
          <w:p>
            <w:pPr>
              <w:spacing w:after="0"/>
              <w:rPr>
                <w:sz w:val="1"/>
                <w:szCs w:val="1"/>
                <w:color w:val="auto"/>
              </w:rPr>
            </w:pPr>
          </w:p>
        </w:tc>
      </w:tr>
      <w:tr>
        <w:trPr>
          <w:trHeight w:val="135"/>
        </w:trPr>
        <w:tc>
          <w:tcPr>
            <w:tcW w:w="400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5% or Greater Stockholders</w:t>
            </w: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spacing w:after="0" w:line="162" w:lineRule="exact"/>
              <w:rPr>
                <w:sz w:val="20"/>
                <w:szCs w:val="20"/>
                <w:color w:val="auto"/>
              </w:rPr>
            </w:pPr>
            <w:r>
              <w:rPr>
                <w:rFonts w:ascii="Arial" w:cs="Arial" w:eastAsia="Arial" w:hAnsi="Arial"/>
                <w:sz w:val="11"/>
                <w:szCs w:val="11"/>
                <w:color w:val="auto"/>
              </w:rPr>
              <w:t>Entities affiliated with Spark Capital</w:t>
            </w:r>
            <w:r>
              <w:rPr>
                <w:rFonts w:ascii="Arial" w:cs="Arial" w:eastAsia="Arial" w:hAnsi="Arial"/>
                <w:sz w:val="18"/>
                <w:szCs w:val="18"/>
                <w:color w:val="auto"/>
                <w:vertAlign w:val="superscript"/>
              </w:rPr>
              <w:t>(1)</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5,184,749</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14.5%</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14.5%</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5,184,749</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14.5%</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Ossa Investments Pte. Ltd.</w:t>
            </w:r>
            <w:r>
              <w:rPr>
                <w:rFonts w:ascii="Arial" w:cs="Arial" w:eastAsia="Arial" w:hAnsi="Arial"/>
                <w:sz w:val="18"/>
                <w:szCs w:val="18"/>
                <w:color w:val="auto"/>
                <w:vertAlign w:val="superscript"/>
              </w:rPr>
              <w:t>(2)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4,169,631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4,169,631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spacing w:after="0" w:line="162" w:lineRule="exact"/>
              <w:rPr>
                <w:sz w:val="20"/>
                <w:szCs w:val="20"/>
                <w:color w:val="auto"/>
              </w:rPr>
            </w:pPr>
            <w:r>
              <w:rPr>
                <w:rFonts w:ascii="Arial" w:cs="Arial" w:eastAsia="Arial" w:hAnsi="Arial"/>
                <w:sz w:val="11"/>
                <w:szCs w:val="11"/>
                <w:color w:val="auto"/>
              </w:rPr>
              <w:t>F-Prime Capital Partners</w:t>
            </w:r>
            <w:r>
              <w:rPr>
                <w:rFonts w:ascii="Arial" w:cs="Arial" w:eastAsia="Arial" w:hAnsi="Arial"/>
                <w:sz w:val="18"/>
                <w:szCs w:val="18"/>
                <w:color w:val="auto"/>
                <w:vertAlign w:val="superscript"/>
              </w:rPr>
              <w:t>(3)</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2,486,776</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7.0%</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7.0%</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2,486,776</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7.0%</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Entities affiliated with Goldman Sachs</w:t>
            </w:r>
            <w:r>
              <w:rPr>
                <w:rFonts w:ascii="Arial" w:cs="Arial" w:eastAsia="Arial" w:hAnsi="Arial"/>
                <w:sz w:val="18"/>
                <w:szCs w:val="18"/>
                <w:color w:val="auto"/>
                <w:vertAlign w:val="superscript"/>
              </w:rPr>
              <w:t>(4)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2,399,025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2,399,025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spacing w:after="0" w:line="162" w:lineRule="exact"/>
              <w:rPr>
                <w:sz w:val="20"/>
                <w:szCs w:val="20"/>
                <w:color w:val="auto"/>
              </w:rPr>
            </w:pPr>
            <w:r>
              <w:rPr>
                <w:rFonts w:ascii="Arial" w:cs="Arial" w:eastAsia="Arial" w:hAnsi="Arial"/>
                <w:sz w:val="11"/>
                <w:szCs w:val="11"/>
                <w:color w:val="auto"/>
              </w:rPr>
              <w:t>Entities affiliated with Bain Capital Venture Investors, LLC</w:t>
            </w:r>
            <w:r>
              <w:rPr>
                <w:rFonts w:ascii="Arial" w:cs="Arial" w:eastAsia="Arial" w:hAnsi="Arial"/>
                <w:sz w:val="18"/>
                <w:szCs w:val="18"/>
                <w:color w:val="auto"/>
                <w:vertAlign w:val="superscript"/>
              </w:rPr>
              <w:t>(5)</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5,513,288</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15.5%</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15.5%</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5,513,288</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15.5%</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Named Executive Officers, Other Officers, and</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Directors:</w:t>
            </w: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spacing w:after="0" w:line="162" w:lineRule="exact"/>
              <w:rPr>
                <w:sz w:val="20"/>
                <w:szCs w:val="20"/>
                <w:color w:val="auto"/>
              </w:rPr>
            </w:pPr>
            <w:r>
              <w:rPr>
                <w:rFonts w:ascii="Arial" w:cs="Arial" w:eastAsia="Arial" w:hAnsi="Arial"/>
                <w:sz w:val="11"/>
                <w:szCs w:val="11"/>
                <w:color w:val="auto"/>
              </w:rPr>
              <w:t>Michael Massaro</w:t>
            </w:r>
            <w:r>
              <w:rPr>
                <w:rFonts w:ascii="Arial" w:cs="Arial" w:eastAsia="Arial" w:hAnsi="Arial"/>
                <w:sz w:val="18"/>
                <w:szCs w:val="18"/>
                <w:color w:val="auto"/>
                <w:vertAlign w:val="superscript"/>
              </w:rPr>
              <w:t>(6)</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938,670</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2.6%</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938,670</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Rob Orgel</w:t>
            </w:r>
            <w:r>
              <w:rPr>
                <w:rFonts w:ascii="Arial" w:cs="Arial" w:eastAsia="Arial" w:hAnsi="Arial"/>
                <w:sz w:val="18"/>
                <w:szCs w:val="18"/>
                <w:color w:val="auto"/>
                <w:vertAlign w:val="superscript"/>
              </w:rPr>
              <w:t>(7)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60,937</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60,937</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spacing w:after="0" w:line="162" w:lineRule="exact"/>
              <w:rPr>
                <w:sz w:val="20"/>
                <w:szCs w:val="20"/>
                <w:color w:val="auto"/>
              </w:rPr>
            </w:pPr>
            <w:r>
              <w:rPr>
                <w:rFonts w:ascii="Arial" w:cs="Arial" w:eastAsia="Arial" w:hAnsi="Arial"/>
                <w:sz w:val="11"/>
                <w:szCs w:val="11"/>
                <w:color w:val="auto"/>
              </w:rPr>
              <w:t>Michael Ellis</w:t>
            </w:r>
            <w:r>
              <w:rPr>
                <w:rFonts w:ascii="Arial" w:cs="Arial" w:eastAsia="Arial" w:hAnsi="Arial"/>
                <w:sz w:val="18"/>
                <w:szCs w:val="18"/>
                <w:color w:val="auto"/>
                <w:vertAlign w:val="superscript"/>
              </w:rPr>
              <w:t>(8)</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143,076</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143,076</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Alex Finkelstein</w:t>
            </w:r>
            <w:r>
              <w:rPr>
                <w:rFonts w:ascii="Arial" w:cs="Arial" w:eastAsia="Arial" w:hAnsi="Arial"/>
                <w:sz w:val="18"/>
                <w:szCs w:val="18"/>
                <w:color w:val="auto"/>
                <w:vertAlign w:val="superscript"/>
              </w:rPr>
              <w:t>(1)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5,184,749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5,184,749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spacing w:after="0" w:line="162" w:lineRule="exact"/>
              <w:rPr>
                <w:sz w:val="20"/>
                <w:szCs w:val="20"/>
                <w:color w:val="auto"/>
              </w:rPr>
            </w:pPr>
            <w:r>
              <w:rPr>
                <w:rFonts w:ascii="Arial" w:cs="Arial" w:eastAsia="Arial" w:hAnsi="Arial"/>
                <w:sz w:val="11"/>
                <w:szCs w:val="11"/>
                <w:color w:val="auto"/>
              </w:rPr>
              <w:t>Matt Harris</w:t>
            </w:r>
            <w:r>
              <w:rPr>
                <w:rFonts w:ascii="Arial" w:cs="Arial" w:eastAsia="Arial" w:hAnsi="Arial"/>
                <w:sz w:val="18"/>
                <w:szCs w:val="18"/>
                <w:color w:val="auto"/>
                <w:vertAlign w:val="superscript"/>
              </w:rPr>
              <w:t>(5)</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5,513,288</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15.5%</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15.5%</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5,513,288</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15.5%</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Jo Natauri</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spacing w:after="0" w:line="162" w:lineRule="exact"/>
              <w:rPr>
                <w:sz w:val="20"/>
                <w:szCs w:val="20"/>
                <w:color w:val="auto"/>
              </w:rPr>
            </w:pPr>
            <w:r>
              <w:rPr>
                <w:rFonts w:ascii="Arial" w:cs="Arial" w:eastAsia="Arial" w:hAnsi="Arial"/>
                <w:sz w:val="11"/>
                <w:szCs w:val="11"/>
                <w:color w:val="auto"/>
              </w:rPr>
              <w:t>Phillip Riese</w:t>
            </w:r>
            <w:r>
              <w:rPr>
                <w:rFonts w:ascii="Arial" w:cs="Arial" w:eastAsia="Arial" w:hAnsi="Arial"/>
                <w:sz w:val="18"/>
                <w:szCs w:val="18"/>
                <w:color w:val="auto"/>
                <w:vertAlign w:val="superscript"/>
              </w:rPr>
              <w:t>(9)</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161,032</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161,032</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Edwin Santos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0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All executive officers and directors as a group</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6"/>
        </w:trPr>
        <w:tc>
          <w:tcPr>
            <w:tcW w:w="4000" w:type="dxa"/>
            <w:vAlign w:val="bottom"/>
            <w:gridSpan w:val="2"/>
          </w:tcPr>
          <w:p>
            <w:pPr>
              <w:ind w:left="140"/>
              <w:spacing w:after="0"/>
              <w:rPr>
                <w:sz w:val="20"/>
                <w:szCs w:val="20"/>
                <w:color w:val="auto"/>
              </w:rPr>
            </w:pPr>
            <w:r>
              <w:rPr>
                <w:rFonts w:ascii="Arial" w:cs="Arial" w:eastAsia="Arial" w:hAnsi="Arial"/>
                <w:sz w:val="14"/>
                <w:szCs w:val="14"/>
                <w:b w:val="1"/>
                <w:bCs w:val="1"/>
                <w:color w:val="auto"/>
              </w:rPr>
              <w:t>(12 persons)</w:t>
            </w:r>
            <w:r>
              <w:rPr>
                <w:rFonts w:ascii="Arial" w:cs="Arial" w:eastAsia="Arial" w:hAnsi="Arial"/>
                <w:sz w:val="24"/>
                <w:szCs w:val="24"/>
                <w:b w:val="1"/>
                <w:bCs w:val="1"/>
                <w:color w:val="auto"/>
                <w:vertAlign w:val="superscript"/>
              </w:rPr>
              <w:t>(10)</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11,966,613</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35.2%</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35.2%</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11,966,613</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35.2%</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4"/>
          </w:tcPr>
          <w:p>
            <w:pPr>
              <w:jc w:val="right"/>
              <w:ind w:right="317"/>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0" w:type="dxa"/>
            <w:vAlign w:val="bottom"/>
          </w:tcPr>
          <w:p>
            <w:pPr>
              <w:jc w:val="right"/>
              <w:ind w:right="108"/>
              <w:spacing w:after="0"/>
              <w:rPr>
                <w:sz w:val="20"/>
                <w:szCs w:val="20"/>
                <w:color w:val="auto"/>
              </w:rPr>
            </w:pPr>
            <w:r>
              <w:rPr>
                <w:rFonts w:ascii="Arial" w:cs="Arial" w:eastAsia="Arial" w:hAnsi="Arial"/>
                <w:sz w:val="14"/>
                <w:szCs w:val="14"/>
                <w:color w:val="auto"/>
                <w:w w:val="93"/>
              </w:rPr>
              <w:t>(1)</w:t>
            </w:r>
          </w:p>
        </w:tc>
        <w:tc>
          <w:tcPr>
            <w:tcW w:w="1260" w:type="dxa"/>
            <w:vAlign w:val="bottom"/>
          </w:tcPr>
          <w:p>
            <w:pPr>
              <w:ind w:left="180"/>
              <w:spacing w:after="0"/>
              <w:rPr>
                <w:sz w:val="20"/>
                <w:szCs w:val="20"/>
                <w:color w:val="auto"/>
              </w:rPr>
            </w:pPr>
            <w:r>
              <w:rPr>
                <w:rFonts w:ascii="Arial" w:cs="Arial" w:eastAsia="Arial" w:hAnsi="Arial"/>
                <w:sz w:val="14"/>
                <w:szCs w:val="14"/>
                <w:color w:val="auto"/>
              </w:rPr>
              <w:t>Consists of (i)</w:t>
            </w:r>
          </w:p>
        </w:tc>
        <w:tc>
          <w:tcPr>
            <w:tcW w:w="5040" w:type="dxa"/>
            <w:vAlign w:val="bottom"/>
            <w:gridSpan w:val="5"/>
          </w:tcPr>
          <w:p>
            <w:pPr>
              <w:ind w:left="320"/>
              <w:spacing w:after="0"/>
              <w:rPr>
                <w:sz w:val="20"/>
                <w:szCs w:val="20"/>
                <w:color w:val="auto"/>
              </w:rPr>
            </w:pPr>
            <w:r>
              <w:rPr>
                <w:rFonts w:ascii="Arial" w:cs="Arial" w:eastAsia="Arial" w:hAnsi="Arial"/>
                <w:sz w:val="14"/>
                <w:szCs w:val="14"/>
                <w:color w:val="auto"/>
              </w:rPr>
              <w:t>shares of our common stock held by Spark Capital Growth Fund, L.P, (ii)</w:t>
            </w:r>
          </w:p>
        </w:tc>
        <w:tc>
          <w:tcPr>
            <w:tcW w:w="300" w:type="dxa"/>
            <w:vAlign w:val="bottom"/>
          </w:tcPr>
          <w:p>
            <w:pPr>
              <w:spacing w:after="0"/>
              <w:rPr>
                <w:sz w:val="14"/>
                <w:szCs w:val="14"/>
                <w:color w:val="auto"/>
              </w:rPr>
            </w:pPr>
          </w:p>
        </w:tc>
        <w:tc>
          <w:tcPr>
            <w:tcW w:w="4040" w:type="dxa"/>
            <w:vAlign w:val="bottom"/>
            <w:gridSpan w:val="2"/>
          </w:tcPr>
          <w:p>
            <w:pPr>
              <w:ind w:left="100"/>
              <w:spacing w:after="0"/>
              <w:rPr>
                <w:sz w:val="20"/>
                <w:szCs w:val="20"/>
                <w:color w:val="auto"/>
              </w:rPr>
            </w:pPr>
            <w:r>
              <w:rPr>
                <w:rFonts w:ascii="Arial" w:cs="Arial" w:eastAsia="Arial" w:hAnsi="Arial"/>
                <w:sz w:val="14"/>
                <w:szCs w:val="14"/>
                <w:color w:val="auto"/>
              </w:rPr>
              <w:t>shares of our common stock held by Spark Capital Growth</w:t>
            </w:r>
          </w:p>
        </w:tc>
      </w:tr>
      <w:tr>
        <w:trPr>
          <w:trHeight w:val="162"/>
        </w:trPr>
        <w:tc>
          <w:tcPr>
            <w:tcW w:w="360" w:type="dxa"/>
            <w:vAlign w:val="bottom"/>
          </w:tcPr>
          <w:p>
            <w:pPr>
              <w:spacing w:after="0"/>
              <w:rPr>
                <w:sz w:val="14"/>
                <w:szCs w:val="14"/>
                <w:color w:val="auto"/>
              </w:rPr>
            </w:pPr>
          </w:p>
        </w:tc>
        <w:tc>
          <w:tcPr>
            <w:tcW w:w="2200" w:type="dxa"/>
            <w:vAlign w:val="bottom"/>
            <w:gridSpan w:val="2"/>
          </w:tcPr>
          <w:p>
            <w:pPr>
              <w:ind w:left="180"/>
              <w:spacing w:after="0"/>
              <w:rPr>
                <w:sz w:val="20"/>
                <w:szCs w:val="20"/>
                <w:color w:val="auto"/>
              </w:rPr>
            </w:pPr>
            <w:r>
              <w:rPr>
                <w:rFonts w:ascii="Arial" w:cs="Arial" w:eastAsia="Arial" w:hAnsi="Arial"/>
                <w:sz w:val="14"/>
                <w:szCs w:val="14"/>
                <w:color w:val="auto"/>
              </w:rPr>
              <w:t>Founders’ Fund, L.P., (iii)</w:t>
            </w:r>
          </w:p>
        </w:tc>
        <w:tc>
          <w:tcPr>
            <w:tcW w:w="4400" w:type="dxa"/>
            <w:vAlign w:val="bottom"/>
            <w:gridSpan w:val="5"/>
          </w:tcPr>
          <w:p>
            <w:pPr>
              <w:ind w:left="140"/>
              <w:spacing w:after="0"/>
              <w:rPr>
                <w:sz w:val="20"/>
                <w:szCs w:val="20"/>
                <w:color w:val="auto"/>
              </w:rPr>
            </w:pPr>
            <w:r>
              <w:rPr>
                <w:rFonts w:ascii="Arial" w:cs="Arial" w:eastAsia="Arial" w:hAnsi="Arial"/>
                <w:sz w:val="14"/>
                <w:szCs w:val="14"/>
                <w:color w:val="auto"/>
              </w:rPr>
              <w:t>shares of our common stock held by Spark Capital II, L.P. and (iv)</w:t>
            </w:r>
          </w:p>
        </w:tc>
        <w:tc>
          <w:tcPr>
            <w:tcW w:w="4040" w:type="dxa"/>
            <w:vAlign w:val="bottom"/>
            <w:gridSpan w:val="2"/>
          </w:tcPr>
          <w:p>
            <w:pPr>
              <w:ind w:left="420"/>
              <w:spacing w:after="0"/>
              <w:rPr>
                <w:sz w:val="20"/>
                <w:szCs w:val="20"/>
                <w:color w:val="auto"/>
              </w:rPr>
            </w:pPr>
            <w:r>
              <w:rPr>
                <w:rFonts w:ascii="Arial" w:cs="Arial" w:eastAsia="Arial" w:hAnsi="Arial"/>
                <w:sz w:val="14"/>
                <w:szCs w:val="14"/>
                <w:color w:val="auto"/>
              </w:rPr>
              <w:t>shares of our common stock held by Spark Capital</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Founders’ Fund II, L.P. Spark Management Partners II, LLC is the general partner of each of Spark Capital II, L.P. and Spark Capital Founders’ Fund II, L.P. and</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Spark Growth Management Partners, LLC is the general partner of each of Spark Capital Growh Fund, L.P. and Spark Capital Growth Founders’ Fund, L.P. Paul</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Conway, Bijan Sabet, Santo Politi, and Alexander J. Finkelstein are the managing members of each of Spark Management Partners II, LLC and Spark Growth</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Management Partners, LLC and hold voting and dispositive power over the shares held by each of Spark Capital II, L.P., Spark Capital Founders’ Fund II, L.P.,</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Spark Capital Growth Fund, L.P. and Spark Capital Growth Founders’ Fund, L.P. The address for these entities is 137 Newbury Street, 8th Floor, Boston,</w:t>
            </w:r>
          </w:p>
        </w:tc>
      </w:tr>
      <w:tr>
        <w:trPr>
          <w:trHeight w:val="162"/>
        </w:trPr>
        <w:tc>
          <w:tcPr>
            <w:tcW w:w="360" w:type="dxa"/>
            <w:vAlign w:val="bottom"/>
          </w:tcPr>
          <w:p>
            <w:pPr>
              <w:spacing w:after="0"/>
              <w:rPr>
                <w:sz w:val="14"/>
                <w:szCs w:val="14"/>
                <w:color w:val="auto"/>
              </w:rPr>
            </w:pPr>
          </w:p>
        </w:tc>
        <w:tc>
          <w:tcPr>
            <w:tcW w:w="2200" w:type="dxa"/>
            <w:vAlign w:val="bottom"/>
            <w:gridSpan w:val="2"/>
          </w:tcPr>
          <w:p>
            <w:pPr>
              <w:ind w:left="180"/>
              <w:spacing w:after="0"/>
              <w:rPr>
                <w:sz w:val="20"/>
                <w:szCs w:val="20"/>
                <w:color w:val="auto"/>
              </w:rPr>
            </w:pPr>
            <w:r>
              <w:rPr>
                <w:rFonts w:ascii="Arial" w:cs="Arial" w:eastAsia="Arial" w:hAnsi="Arial"/>
                <w:sz w:val="14"/>
                <w:szCs w:val="14"/>
                <w:color w:val="auto"/>
              </w:rPr>
              <w:t>Massachusetts 02116.</w:t>
            </w:r>
          </w:p>
        </w:tc>
        <w:tc>
          <w:tcPr>
            <w:tcW w:w="1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360" w:type="dxa"/>
            <w:vAlign w:val="bottom"/>
          </w:tcPr>
          <w:p>
            <w:pPr>
              <w:jc w:val="right"/>
              <w:ind w:right="108"/>
              <w:spacing w:after="0"/>
              <w:rPr>
                <w:sz w:val="20"/>
                <w:szCs w:val="20"/>
                <w:color w:val="auto"/>
              </w:rPr>
            </w:pPr>
            <w:r>
              <w:rPr>
                <w:rFonts w:ascii="Arial" w:cs="Arial" w:eastAsia="Arial" w:hAnsi="Arial"/>
                <w:sz w:val="14"/>
                <w:szCs w:val="14"/>
                <w:color w:val="auto"/>
                <w:w w:val="93"/>
              </w:rPr>
              <w:t>(2)</w:t>
            </w:r>
          </w:p>
        </w:tc>
        <w:tc>
          <w:tcPr>
            <w:tcW w:w="1260" w:type="dxa"/>
            <w:vAlign w:val="bottom"/>
          </w:tcPr>
          <w:p>
            <w:pPr>
              <w:ind w:left="180"/>
              <w:spacing w:after="0"/>
              <w:rPr>
                <w:sz w:val="20"/>
                <w:szCs w:val="20"/>
                <w:color w:val="auto"/>
              </w:rPr>
            </w:pPr>
            <w:r>
              <w:rPr>
                <w:rFonts w:ascii="Arial" w:cs="Arial" w:eastAsia="Arial" w:hAnsi="Arial"/>
                <w:sz w:val="14"/>
                <w:szCs w:val="14"/>
                <w:color w:val="auto"/>
              </w:rPr>
              <w:t>Consists of</w:t>
            </w:r>
          </w:p>
        </w:tc>
        <w:tc>
          <w:tcPr>
            <w:tcW w:w="2420" w:type="dxa"/>
            <w:vAlign w:val="bottom"/>
            <w:gridSpan w:val="2"/>
          </w:tcPr>
          <w:p>
            <w:pPr>
              <w:ind w:left="180"/>
              <w:spacing w:after="0"/>
              <w:rPr>
                <w:sz w:val="20"/>
                <w:szCs w:val="20"/>
                <w:color w:val="auto"/>
              </w:rPr>
            </w:pPr>
            <w:r>
              <w:rPr>
                <w:rFonts w:ascii="Arial" w:cs="Arial" w:eastAsia="Arial" w:hAnsi="Arial"/>
                <w:sz w:val="14"/>
                <w:szCs w:val="14"/>
                <w:color w:val="auto"/>
              </w:rPr>
              <w:t>shares of our common stock and</w:t>
            </w:r>
          </w:p>
        </w:tc>
        <w:tc>
          <w:tcPr>
            <w:tcW w:w="6960" w:type="dxa"/>
            <w:vAlign w:val="bottom"/>
            <w:gridSpan w:val="6"/>
          </w:tcPr>
          <w:p>
            <w:pPr>
              <w:jc w:val="center"/>
              <w:ind w:left="328"/>
              <w:spacing w:after="0"/>
              <w:rPr>
                <w:sz w:val="20"/>
                <w:szCs w:val="20"/>
                <w:color w:val="auto"/>
              </w:rPr>
            </w:pPr>
            <w:r>
              <w:rPr>
                <w:rFonts w:ascii="Arial" w:cs="Arial" w:eastAsia="Arial" w:hAnsi="Arial"/>
                <w:sz w:val="14"/>
                <w:szCs w:val="14"/>
                <w:color w:val="auto"/>
              </w:rPr>
              <w:t>shares of our non-voting common stock held by Ossa Investments Pte. Ltd. Ossa Investments Pte.</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Ltd. is a direct wholly-owned subsidiary of Hotham Investments Pte Ltd (Hotham), which in turn is a direct wholly-owned subsidiary of Fullerton Management Pte Ltd</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(Fullerton), which in turn is a direct wholly-owned subsidiary of Temasek Holdings (Private) Limited (Temasek). In such capacities, each of Hotham, Fullerton and</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Temasek may be deemed to have voting and dispositive power over the shares held by Ossa Investments Pte. Ltd. The address for Ossa Investments Pte. Ltd.,</w:t>
            </w:r>
          </w:p>
        </w:tc>
      </w:tr>
      <w:tr>
        <w:trPr>
          <w:trHeight w:val="162"/>
        </w:trPr>
        <w:tc>
          <w:tcPr>
            <w:tcW w:w="360" w:type="dxa"/>
            <w:vAlign w:val="bottom"/>
          </w:tcPr>
          <w:p>
            <w:pPr>
              <w:spacing w:after="0"/>
              <w:rPr>
                <w:sz w:val="14"/>
                <w:szCs w:val="14"/>
                <w:color w:val="auto"/>
              </w:rPr>
            </w:pPr>
          </w:p>
        </w:tc>
        <w:tc>
          <w:tcPr>
            <w:tcW w:w="9320" w:type="dxa"/>
            <w:vAlign w:val="bottom"/>
            <w:gridSpan w:val="8"/>
          </w:tcPr>
          <w:p>
            <w:pPr>
              <w:ind w:left="180"/>
              <w:spacing w:after="0"/>
              <w:rPr>
                <w:sz w:val="20"/>
                <w:szCs w:val="20"/>
                <w:color w:val="auto"/>
              </w:rPr>
            </w:pPr>
            <w:r>
              <w:rPr>
                <w:rFonts w:ascii="Arial" w:cs="Arial" w:eastAsia="Arial" w:hAnsi="Arial"/>
                <w:sz w:val="14"/>
                <w:szCs w:val="14"/>
                <w:color w:val="auto"/>
              </w:rPr>
              <w:t>Fullerton and Temasek is 60B Orchard Road #06-18 Tower 2, The Atrium@Orchard, Singapore 238891.</w:t>
            </w:r>
          </w:p>
        </w:tc>
        <w:tc>
          <w:tcPr>
            <w:tcW w:w="1320" w:type="dxa"/>
            <w:vAlign w:val="bottom"/>
          </w:tcPr>
          <w:p>
            <w:pPr>
              <w:spacing w:after="0"/>
              <w:rPr>
                <w:sz w:val="14"/>
                <w:szCs w:val="14"/>
                <w:color w:val="auto"/>
              </w:rPr>
            </w:pPr>
          </w:p>
        </w:tc>
      </w:tr>
      <w:tr>
        <w:trPr>
          <w:trHeight w:val="162"/>
        </w:trPr>
        <w:tc>
          <w:tcPr>
            <w:tcW w:w="360" w:type="dxa"/>
            <w:vAlign w:val="bottom"/>
          </w:tcPr>
          <w:p>
            <w:pPr>
              <w:jc w:val="right"/>
              <w:ind w:right="108"/>
              <w:spacing w:after="0"/>
              <w:rPr>
                <w:sz w:val="20"/>
                <w:szCs w:val="20"/>
                <w:color w:val="auto"/>
              </w:rPr>
            </w:pPr>
            <w:r>
              <w:rPr>
                <w:rFonts w:ascii="Arial" w:cs="Arial" w:eastAsia="Arial" w:hAnsi="Arial"/>
                <w:sz w:val="14"/>
                <w:szCs w:val="14"/>
                <w:color w:val="auto"/>
                <w:w w:val="93"/>
              </w:rPr>
              <w:t>(3)</w:t>
            </w:r>
          </w:p>
        </w:tc>
        <w:tc>
          <w:tcPr>
            <w:tcW w:w="1260" w:type="dxa"/>
            <w:vAlign w:val="bottom"/>
          </w:tcPr>
          <w:p>
            <w:pPr>
              <w:ind w:left="180"/>
              <w:spacing w:after="0"/>
              <w:rPr>
                <w:sz w:val="20"/>
                <w:szCs w:val="20"/>
                <w:color w:val="auto"/>
              </w:rPr>
            </w:pPr>
            <w:r>
              <w:rPr>
                <w:rFonts w:ascii="Arial" w:cs="Arial" w:eastAsia="Arial" w:hAnsi="Arial"/>
                <w:sz w:val="14"/>
                <w:szCs w:val="14"/>
                <w:color w:val="auto"/>
              </w:rPr>
              <w:t>Consists of</w:t>
            </w:r>
          </w:p>
        </w:tc>
        <w:tc>
          <w:tcPr>
            <w:tcW w:w="9380" w:type="dxa"/>
            <w:vAlign w:val="bottom"/>
            <w:gridSpan w:val="8"/>
          </w:tcPr>
          <w:p>
            <w:pPr>
              <w:ind w:left="180"/>
              <w:spacing w:after="0"/>
              <w:rPr>
                <w:sz w:val="20"/>
                <w:szCs w:val="20"/>
                <w:color w:val="auto"/>
              </w:rPr>
            </w:pPr>
            <w:r>
              <w:rPr>
                <w:rFonts w:ascii="Arial" w:cs="Arial" w:eastAsia="Arial" w:hAnsi="Arial"/>
                <w:sz w:val="14"/>
                <w:szCs w:val="14"/>
                <w:color w:val="auto"/>
              </w:rPr>
              <w:t>shares of our common stock held by F-Prime Capital Partners Tech Fund LP. F-Prime Capital Partners Tech Advisors Fund LP is the general</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partner of F-Prime Capital Partners Tech Fund LP. F-Prime Capital Partners Tech Advisors Fund LP is solely managed by Impresa Management LLC, the managing</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member of its general partner and its investment manager. Impresa Management LLC is owned, directly or indirectly, by various shareholders and employees of</w:t>
            </w:r>
          </w:p>
        </w:tc>
      </w:tr>
      <w:tr>
        <w:trPr>
          <w:trHeight w:val="162"/>
        </w:trPr>
        <w:tc>
          <w:tcPr>
            <w:tcW w:w="360" w:type="dxa"/>
            <w:vAlign w:val="bottom"/>
          </w:tcPr>
          <w:p>
            <w:pPr>
              <w:spacing w:after="0"/>
              <w:rPr>
                <w:sz w:val="14"/>
                <w:szCs w:val="14"/>
                <w:color w:val="auto"/>
              </w:rPr>
            </w:pPr>
          </w:p>
        </w:tc>
        <w:tc>
          <w:tcPr>
            <w:tcW w:w="5960" w:type="dxa"/>
            <w:vAlign w:val="bottom"/>
            <w:gridSpan w:val="5"/>
          </w:tcPr>
          <w:p>
            <w:pPr>
              <w:ind w:left="180"/>
              <w:spacing w:after="0"/>
              <w:rPr>
                <w:sz w:val="20"/>
                <w:szCs w:val="20"/>
                <w:color w:val="auto"/>
              </w:rPr>
            </w:pPr>
            <w:r>
              <w:rPr>
                <w:rFonts w:ascii="Arial" w:cs="Arial" w:eastAsia="Arial" w:hAnsi="Arial"/>
                <w:sz w:val="14"/>
                <w:szCs w:val="14"/>
                <w:color w:val="auto"/>
              </w:rPr>
              <w:t>FMR LLC. The address of these entities is 245 Summer Street, Boston, MA 02210.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360" w:type="dxa"/>
            <w:vAlign w:val="bottom"/>
          </w:tcPr>
          <w:p>
            <w:pPr>
              <w:jc w:val="right"/>
              <w:ind w:right="108"/>
              <w:spacing w:after="0"/>
              <w:rPr>
                <w:sz w:val="20"/>
                <w:szCs w:val="20"/>
                <w:color w:val="auto"/>
              </w:rPr>
            </w:pPr>
            <w:r>
              <w:rPr>
                <w:rFonts w:ascii="Arial" w:cs="Arial" w:eastAsia="Arial" w:hAnsi="Arial"/>
                <w:sz w:val="14"/>
                <w:szCs w:val="14"/>
                <w:color w:val="auto"/>
                <w:w w:val="93"/>
              </w:rPr>
              <w:t>(4)</w:t>
            </w:r>
          </w:p>
        </w:tc>
        <w:tc>
          <w:tcPr>
            <w:tcW w:w="1260" w:type="dxa"/>
            <w:vAlign w:val="bottom"/>
          </w:tcPr>
          <w:p>
            <w:pPr>
              <w:ind w:left="180"/>
              <w:spacing w:after="0"/>
              <w:rPr>
                <w:sz w:val="20"/>
                <w:szCs w:val="20"/>
                <w:color w:val="auto"/>
              </w:rPr>
            </w:pPr>
            <w:r>
              <w:rPr>
                <w:rFonts w:ascii="Arial" w:cs="Arial" w:eastAsia="Arial" w:hAnsi="Arial"/>
                <w:sz w:val="14"/>
                <w:szCs w:val="14"/>
                <w:color w:val="auto"/>
              </w:rPr>
              <w:t>Consists of</w:t>
            </w:r>
          </w:p>
        </w:tc>
        <w:tc>
          <w:tcPr>
            <w:tcW w:w="2420" w:type="dxa"/>
            <w:vAlign w:val="bottom"/>
            <w:gridSpan w:val="2"/>
          </w:tcPr>
          <w:p>
            <w:pPr>
              <w:ind w:left="180"/>
              <w:spacing w:after="0"/>
              <w:rPr>
                <w:sz w:val="20"/>
                <w:szCs w:val="20"/>
                <w:color w:val="auto"/>
              </w:rPr>
            </w:pPr>
            <w:r>
              <w:rPr>
                <w:rFonts w:ascii="Arial" w:cs="Arial" w:eastAsia="Arial" w:hAnsi="Arial"/>
                <w:sz w:val="14"/>
                <w:szCs w:val="14"/>
                <w:color w:val="auto"/>
              </w:rPr>
              <w:t>shares of common stock and</w:t>
            </w:r>
          </w:p>
        </w:tc>
        <w:tc>
          <w:tcPr>
            <w:tcW w:w="6960" w:type="dxa"/>
            <w:vAlign w:val="bottom"/>
            <w:gridSpan w:val="6"/>
          </w:tcPr>
          <w:p>
            <w:pPr>
              <w:ind w:left="160"/>
              <w:spacing w:after="0"/>
              <w:rPr>
                <w:sz w:val="20"/>
                <w:szCs w:val="20"/>
                <w:color w:val="auto"/>
              </w:rPr>
            </w:pPr>
            <w:r>
              <w:rPr>
                <w:rFonts w:ascii="Arial" w:cs="Arial" w:eastAsia="Arial" w:hAnsi="Arial"/>
                <w:sz w:val="14"/>
                <w:szCs w:val="14"/>
                <w:color w:val="auto"/>
              </w:rPr>
              <w:t>shares of our non-voting common stock held by Goldman Sachs PSI Global Holdings, LLC , StoneBridge</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2020, L.P. and StoneBridge 2020 Offshore Holdings II, L.P., (collectively, the GS Entities). Affiliates of Goldman Sachs and The Goldman Sachs Group, Inc. are the</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general partner, managing partner, managing member or investment manager of each of the GS Entities, and the GS Entities may share voting and investment</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power with certain of their respective affiliates. Goldman Sachs is a direct and indirect wholly owned subsidiary of The Goldman Sachs Group, Inc. Jo Natauri is a</w:t>
            </w:r>
          </w:p>
        </w:tc>
      </w:tr>
      <w:tr>
        <w:trPr>
          <w:trHeight w:val="162"/>
        </w:trPr>
        <w:tc>
          <w:tcPr>
            <w:tcW w:w="360" w:type="dxa"/>
            <w:vAlign w:val="bottom"/>
          </w:tcPr>
          <w:p>
            <w:pPr>
              <w:spacing w:after="0"/>
              <w:rPr>
                <w:sz w:val="14"/>
                <w:szCs w:val="14"/>
                <w:color w:val="auto"/>
              </w:rPr>
            </w:pPr>
          </w:p>
        </w:tc>
        <w:tc>
          <w:tcPr>
            <w:tcW w:w="9320" w:type="dxa"/>
            <w:vAlign w:val="bottom"/>
            <w:gridSpan w:val="8"/>
          </w:tcPr>
          <w:p>
            <w:pPr>
              <w:ind w:left="180"/>
              <w:spacing w:after="0"/>
              <w:rPr>
                <w:sz w:val="20"/>
                <w:szCs w:val="20"/>
                <w:color w:val="auto"/>
              </w:rPr>
            </w:pPr>
            <w:r>
              <w:rPr>
                <w:rFonts w:ascii="Arial" w:cs="Arial" w:eastAsia="Arial" w:hAnsi="Arial"/>
                <w:sz w:val="14"/>
                <w:szCs w:val="14"/>
                <w:color w:val="auto"/>
              </w:rPr>
              <w:t>Managing Director of Goldman Sachs. The address of the GS Entities and Ms. Natauri is 200 West Street, New York, NY 10282.</w:t>
            </w:r>
          </w:p>
        </w:tc>
        <w:tc>
          <w:tcPr>
            <w:tcW w:w="1320" w:type="dxa"/>
            <w:vAlign w:val="bottom"/>
          </w:tcPr>
          <w:p>
            <w:pPr>
              <w:spacing w:after="0"/>
              <w:rPr>
                <w:sz w:val="14"/>
                <w:szCs w:val="14"/>
                <w:color w:val="auto"/>
              </w:rPr>
            </w:pPr>
          </w:p>
        </w:tc>
      </w:tr>
      <w:tr>
        <w:trPr>
          <w:trHeight w:val="162"/>
        </w:trPr>
        <w:tc>
          <w:tcPr>
            <w:tcW w:w="360" w:type="dxa"/>
            <w:vAlign w:val="bottom"/>
          </w:tcPr>
          <w:p>
            <w:pPr>
              <w:jc w:val="right"/>
              <w:ind w:right="108"/>
              <w:spacing w:after="0"/>
              <w:rPr>
                <w:sz w:val="20"/>
                <w:szCs w:val="20"/>
                <w:color w:val="auto"/>
              </w:rPr>
            </w:pPr>
            <w:r>
              <w:rPr>
                <w:rFonts w:ascii="Arial" w:cs="Arial" w:eastAsia="Arial" w:hAnsi="Arial"/>
                <w:sz w:val="14"/>
                <w:szCs w:val="14"/>
                <w:color w:val="auto"/>
                <w:w w:val="93"/>
              </w:rPr>
              <w:t>(5)</w:t>
            </w:r>
          </w:p>
        </w:tc>
        <w:tc>
          <w:tcPr>
            <w:tcW w:w="1260" w:type="dxa"/>
            <w:vAlign w:val="bottom"/>
          </w:tcPr>
          <w:p>
            <w:pPr>
              <w:ind w:left="180"/>
              <w:spacing w:after="0"/>
              <w:rPr>
                <w:sz w:val="20"/>
                <w:szCs w:val="20"/>
                <w:color w:val="auto"/>
              </w:rPr>
            </w:pPr>
            <w:r>
              <w:rPr>
                <w:rFonts w:ascii="Arial" w:cs="Arial" w:eastAsia="Arial" w:hAnsi="Arial"/>
                <w:sz w:val="14"/>
                <w:szCs w:val="14"/>
                <w:color w:val="auto"/>
              </w:rPr>
              <w:t>Consists of (i)</w:t>
            </w:r>
          </w:p>
        </w:tc>
        <w:tc>
          <w:tcPr>
            <w:tcW w:w="8060" w:type="dxa"/>
            <w:vAlign w:val="bottom"/>
            <w:gridSpan w:val="7"/>
          </w:tcPr>
          <w:p>
            <w:pPr>
              <w:ind w:left="320"/>
              <w:spacing w:after="0"/>
              <w:rPr>
                <w:sz w:val="20"/>
                <w:szCs w:val="20"/>
                <w:color w:val="auto"/>
              </w:rPr>
            </w:pPr>
            <w:r>
              <w:rPr>
                <w:rFonts w:ascii="Arial" w:cs="Arial" w:eastAsia="Arial" w:hAnsi="Arial"/>
                <w:sz w:val="14"/>
                <w:szCs w:val="14"/>
                <w:color w:val="auto"/>
              </w:rPr>
              <w:t>shares of our common stock held by Bain Capital Venture Coinvestment Fund II, L.P. (Venture Coinvestment Fund II), (ii)</w:t>
            </w:r>
          </w:p>
        </w:tc>
        <w:tc>
          <w:tcPr>
            <w:tcW w:w="1320" w:type="dxa"/>
            <w:vAlign w:val="bottom"/>
          </w:tcPr>
          <w:p>
            <w:pPr>
              <w:ind w:left="440"/>
              <w:spacing w:after="0"/>
              <w:rPr>
                <w:sz w:val="20"/>
                <w:szCs w:val="20"/>
                <w:color w:val="auto"/>
              </w:rPr>
            </w:pPr>
            <w:r>
              <w:rPr>
                <w:rFonts w:ascii="Arial" w:cs="Arial" w:eastAsia="Arial" w:hAnsi="Arial"/>
                <w:sz w:val="14"/>
                <w:szCs w:val="14"/>
                <w:color w:val="auto"/>
              </w:rPr>
              <w:t>shares of our</w:t>
            </w:r>
          </w:p>
        </w:tc>
      </w:tr>
      <w:tr>
        <w:trPr>
          <w:trHeight w:val="162"/>
        </w:trPr>
        <w:tc>
          <w:tcPr>
            <w:tcW w:w="360" w:type="dxa"/>
            <w:vAlign w:val="bottom"/>
          </w:tcPr>
          <w:p>
            <w:pPr>
              <w:spacing w:after="0"/>
              <w:rPr>
                <w:sz w:val="14"/>
                <w:szCs w:val="14"/>
                <w:color w:val="auto"/>
              </w:rPr>
            </w:pPr>
          </w:p>
        </w:tc>
        <w:tc>
          <w:tcPr>
            <w:tcW w:w="5960" w:type="dxa"/>
            <w:vAlign w:val="bottom"/>
            <w:gridSpan w:val="5"/>
          </w:tcPr>
          <w:p>
            <w:pPr>
              <w:ind w:left="180"/>
              <w:spacing w:after="0"/>
              <w:rPr>
                <w:sz w:val="20"/>
                <w:szCs w:val="20"/>
                <w:color w:val="auto"/>
              </w:rPr>
            </w:pPr>
            <w:r>
              <w:rPr>
                <w:rFonts w:ascii="Arial" w:cs="Arial" w:eastAsia="Arial" w:hAnsi="Arial"/>
                <w:sz w:val="14"/>
                <w:szCs w:val="14"/>
                <w:color w:val="auto"/>
              </w:rPr>
              <w:t>common stock held by BCV 2019-MD Coinvestment II, L.P. (MD Coinvestment), (iii)</w:t>
            </w:r>
          </w:p>
        </w:tc>
        <w:tc>
          <w:tcPr>
            <w:tcW w:w="4680" w:type="dxa"/>
            <w:vAlign w:val="bottom"/>
            <w:gridSpan w:val="4"/>
          </w:tcPr>
          <w:p>
            <w:pPr>
              <w:ind w:left="40"/>
              <w:spacing w:after="0"/>
              <w:rPr>
                <w:sz w:val="20"/>
                <w:szCs w:val="20"/>
                <w:color w:val="auto"/>
              </w:rPr>
            </w:pPr>
            <w:r>
              <w:rPr>
                <w:rFonts w:ascii="Arial" w:cs="Arial" w:eastAsia="Arial" w:hAnsi="Arial"/>
                <w:sz w:val="14"/>
                <w:szCs w:val="14"/>
                <w:color w:val="auto"/>
              </w:rPr>
              <w:t>shares of our common stock held by Bain Capital Venture Fund 2014,</w:t>
            </w:r>
          </w:p>
        </w:tc>
      </w:tr>
      <w:tr>
        <w:trPr>
          <w:trHeight w:val="162"/>
        </w:trPr>
        <w:tc>
          <w:tcPr>
            <w:tcW w:w="360" w:type="dxa"/>
            <w:vAlign w:val="bottom"/>
          </w:tcPr>
          <w:p>
            <w:pPr>
              <w:spacing w:after="0"/>
              <w:rPr>
                <w:sz w:val="14"/>
                <w:szCs w:val="14"/>
                <w:color w:val="auto"/>
              </w:rPr>
            </w:pPr>
          </w:p>
        </w:tc>
        <w:tc>
          <w:tcPr>
            <w:tcW w:w="2200" w:type="dxa"/>
            <w:vAlign w:val="bottom"/>
            <w:gridSpan w:val="2"/>
          </w:tcPr>
          <w:p>
            <w:pPr>
              <w:ind w:left="180"/>
              <w:spacing w:after="0"/>
              <w:rPr>
                <w:sz w:val="20"/>
                <w:szCs w:val="20"/>
                <w:color w:val="auto"/>
              </w:rPr>
            </w:pPr>
            <w:r>
              <w:rPr>
                <w:rFonts w:ascii="Arial" w:cs="Arial" w:eastAsia="Arial" w:hAnsi="Arial"/>
                <w:sz w:val="14"/>
                <w:szCs w:val="14"/>
                <w:color w:val="auto"/>
              </w:rPr>
              <w:t>L.P. (Venture Fund 2014), (iv)</w:t>
            </w:r>
          </w:p>
        </w:tc>
        <w:tc>
          <w:tcPr>
            <w:tcW w:w="7120" w:type="dxa"/>
            <w:vAlign w:val="bottom"/>
            <w:gridSpan w:val="6"/>
          </w:tcPr>
          <w:p>
            <w:pPr>
              <w:ind w:left="380"/>
              <w:spacing w:after="0"/>
              <w:rPr>
                <w:sz w:val="20"/>
                <w:szCs w:val="20"/>
                <w:color w:val="auto"/>
              </w:rPr>
            </w:pPr>
            <w:r>
              <w:rPr>
                <w:rFonts w:ascii="Arial" w:cs="Arial" w:eastAsia="Arial" w:hAnsi="Arial"/>
                <w:sz w:val="14"/>
                <w:szCs w:val="14"/>
                <w:color w:val="auto"/>
              </w:rPr>
              <w:t>shares of our common stock held by Bain Capital Venture Fund 2016, L.P. (Venture Fund 2016), (v)</w:t>
            </w:r>
          </w:p>
        </w:tc>
        <w:tc>
          <w:tcPr>
            <w:tcW w:w="1320" w:type="dxa"/>
            <w:vAlign w:val="bottom"/>
          </w:tcPr>
          <w:p>
            <w:pPr>
              <w:ind w:left="80"/>
              <w:spacing w:after="0"/>
              <w:rPr>
                <w:sz w:val="20"/>
                <w:szCs w:val="20"/>
                <w:color w:val="auto"/>
              </w:rPr>
            </w:pPr>
            <w:r>
              <w:rPr>
                <w:rFonts w:ascii="Arial" w:cs="Arial" w:eastAsia="Arial" w:hAnsi="Arial"/>
                <w:sz w:val="14"/>
                <w:szCs w:val="14"/>
                <w:color w:val="auto"/>
              </w:rPr>
              <w:t>shares of our</w:t>
            </w:r>
          </w:p>
        </w:tc>
      </w:tr>
      <w:tr>
        <w:trPr>
          <w:trHeight w:val="162"/>
        </w:trPr>
        <w:tc>
          <w:tcPr>
            <w:tcW w:w="360" w:type="dxa"/>
            <w:vAlign w:val="bottom"/>
          </w:tcPr>
          <w:p>
            <w:pPr>
              <w:spacing w:after="0"/>
              <w:rPr>
                <w:sz w:val="14"/>
                <w:szCs w:val="14"/>
                <w:color w:val="auto"/>
              </w:rPr>
            </w:pPr>
          </w:p>
        </w:tc>
        <w:tc>
          <w:tcPr>
            <w:tcW w:w="4480" w:type="dxa"/>
            <w:vAlign w:val="bottom"/>
            <w:gridSpan w:val="4"/>
          </w:tcPr>
          <w:p>
            <w:pPr>
              <w:ind w:left="180"/>
              <w:spacing w:after="0"/>
              <w:rPr>
                <w:sz w:val="20"/>
                <w:szCs w:val="20"/>
                <w:color w:val="auto"/>
              </w:rPr>
            </w:pPr>
            <w:r>
              <w:rPr>
                <w:rFonts w:ascii="Arial" w:cs="Arial" w:eastAsia="Arial" w:hAnsi="Arial"/>
                <w:sz w:val="14"/>
                <w:szCs w:val="14"/>
                <w:color w:val="auto"/>
              </w:rPr>
              <w:t>common stock held by BCIP Venture Associates (BCIP VA), (vi)</w:t>
            </w:r>
          </w:p>
        </w:tc>
        <w:tc>
          <w:tcPr>
            <w:tcW w:w="6160" w:type="dxa"/>
            <w:vAlign w:val="bottom"/>
            <w:gridSpan w:val="5"/>
          </w:tcPr>
          <w:p>
            <w:pPr>
              <w:jc w:val="center"/>
              <w:ind w:right="308"/>
              <w:spacing w:after="0"/>
              <w:rPr>
                <w:sz w:val="20"/>
                <w:szCs w:val="20"/>
                <w:color w:val="auto"/>
              </w:rPr>
            </w:pPr>
            <w:r>
              <w:rPr>
                <w:rFonts w:ascii="Arial" w:cs="Arial" w:eastAsia="Arial" w:hAnsi="Arial"/>
                <w:sz w:val="14"/>
                <w:szCs w:val="14"/>
                <w:color w:val="auto"/>
              </w:rPr>
              <w:t>shares of our common stock held by BCIP Venture Associates-B (BCIP VA-B), (vii)</w:t>
            </w:r>
          </w:p>
        </w:tc>
      </w:tr>
      <w:tr>
        <w:trPr>
          <w:trHeight w:val="162"/>
        </w:trPr>
        <w:tc>
          <w:tcPr>
            <w:tcW w:w="360" w:type="dxa"/>
            <w:vAlign w:val="bottom"/>
          </w:tcPr>
          <w:p>
            <w:pPr>
              <w:spacing w:after="0"/>
              <w:rPr>
                <w:sz w:val="14"/>
                <w:szCs w:val="14"/>
                <w:color w:val="auto"/>
              </w:rPr>
            </w:pPr>
          </w:p>
        </w:tc>
        <w:tc>
          <w:tcPr>
            <w:tcW w:w="5960" w:type="dxa"/>
            <w:vAlign w:val="bottom"/>
            <w:gridSpan w:val="5"/>
          </w:tcPr>
          <w:p>
            <w:pPr>
              <w:ind w:left="180"/>
              <w:spacing w:after="0"/>
              <w:rPr>
                <w:sz w:val="20"/>
                <w:szCs w:val="20"/>
                <w:color w:val="auto"/>
              </w:rPr>
            </w:pPr>
            <w:r>
              <w:rPr>
                <w:rFonts w:ascii="Arial" w:cs="Arial" w:eastAsia="Arial" w:hAnsi="Arial"/>
                <w:sz w:val="14"/>
                <w:szCs w:val="14"/>
                <w:color w:val="auto"/>
              </w:rPr>
              <w:t>shares of our common stock held by BCIP Venture Associates II, LP (BCIP VA II) and (viii)</w:t>
            </w:r>
          </w:p>
        </w:tc>
        <w:tc>
          <w:tcPr>
            <w:tcW w:w="340" w:type="dxa"/>
            <w:vAlign w:val="bottom"/>
          </w:tcPr>
          <w:p>
            <w:pPr>
              <w:spacing w:after="0"/>
              <w:rPr>
                <w:sz w:val="14"/>
                <w:szCs w:val="14"/>
                <w:color w:val="auto"/>
              </w:rPr>
            </w:pPr>
          </w:p>
        </w:tc>
        <w:tc>
          <w:tcPr>
            <w:tcW w:w="4340" w:type="dxa"/>
            <w:vAlign w:val="bottom"/>
            <w:gridSpan w:val="3"/>
          </w:tcPr>
          <w:p>
            <w:pPr>
              <w:ind w:left="120"/>
              <w:spacing w:after="0"/>
              <w:rPr>
                <w:sz w:val="20"/>
                <w:szCs w:val="20"/>
                <w:color w:val="auto"/>
              </w:rPr>
            </w:pPr>
            <w:r>
              <w:rPr>
                <w:rFonts w:ascii="Arial" w:cs="Arial" w:eastAsia="Arial" w:hAnsi="Arial"/>
                <w:sz w:val="14"/>
                <w:szCs w:val="14"/>
                <w:color w:val="auto"/>
              </w:rPr>
              <w:t>shares of our common stock held by BCIP Venture Associates II-</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B, LP (BCIP VA II-B and, together with Venture Fund 2014, Venture Fund 2016, Venture Coinvestment Fund II, MD Coinvestment, BCIP VA, BCIP VA-B and BCIP</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VA II, the Bain Capital Venture Entities). Bain Capital Venture Investors, LLC (BCVI), the Executive Committee of which consists of Enrique Salem and Ajay Agarwal,</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is the (i) ultimate general partner of Venture Fund 2014, (ii) the ultimate general partner of Venture Fund 2016 and (iii) manager of Bain Capital Venture</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Coinvestment II Investors, LLC (Venture Coinvestment II Investors), which is the general partner of each of Venture Coinvestment Fund II and MD Coinvestment,</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and governs the investment strategy and decision-making process with respect to investments held by BCIP VA, BCIP VA-B, BCIP VA II and BCIP VA II-B. By virtue</w:t>
            </w:r>
          </w:p>
        </w:tc>
      </w:tr>
      <w:tr>
        <w:trPr>
          <w:trHeight w:val="162"/>
        </w:trPr>
        <w:tc>
          <w:tcPr>
            <w:tcW w:w="360" w:type="dxa"/>
            <w:vAlign w:val="bottom"/>
          </w:tcPr>
          <w:p>
            <w:pPr>
              <w:spacing w:after="0"/>
              <w:rPr>
                <w:sz w:val="14"/>
                <w:szCs w:val="14"/>
                <w:color w:val="auto"/>
              </w:rPr>
            </w:pPr>
          </w:p>
        </w:tc>
        <w:tc>
          <w:tcPr>
            <w:tcW w:w="10640" w:type="dxa"/>
            <w:vAlign w:val="bottom"/>
            <w:gridSpan w:val="9"/>
          </w:tcPr>
          <w:p>
            <w:pPr>
              <w:ind w:left="180"/>
              <w:spacing w:after="0"/>
              <w:rPr>
                <w:sz w:val="20"/>
                <w:szCs w:val="20"/>
                <w:color w:val="auto"/>
              </w:rPr>
            </w:pPr>
            <w:r>
              <w:rPr>
                <w:rFonts w:ascii="Arial" w:cs="Arial" w:eastAsia="Arial" w:hAnsi="Arial"/>
                <w:sz w:val="14"/>
                <w:szCs w:val="14"/>
                <w:color w:val="auto"/>
              </w:rPr>
              <w:t>of the relationships described in this footnote, each of BCVI, Messrs. Salem and Agarwal may be deemed to share voting and dispositive power over the shares held</w:t>
            </w:r>
          </w:p>
        </w:tc>
      </w:tr>
      <w:tr>
        <w:trPr>
          <w:trHeight w:val="162"/>
        </w:trPr>
        <w:tc>
          <w:tcPr>
            <w:tcW w:w="360" w:type="dxa"/>
            <w:vAlign w:val="bottom"/>
          </w:tcPr>
          <w:p>
            <w:pPr>
              <w:spacing w:after="0"/>
              <w:rPr>
                <w:sz w:val="14"/>
                <w:szCs w:val="14"/>
                <w:color w:val="auto"/>
              </w:rPr>
            </w:pPr>
          </w:p>
        </w:tc>
        <w:tc>
          <w:tcPr>
            <w:tcW w:w="9320" w:type="dxa"/>
            <w:vAlign w:val="bottom"/>
            <w:gridSpan w:val="8"/>
          </w:tcPr>
          <w:p>
            <w:pPr>
              <w:ind w:left="180"/>
              <w:spacing w:after="0"/>
              <w:rPr>
                <w:sz w:val="20"/>
                <w:szCs w:val="20"/>
                <w:color w:val="auto"/>
              </w:rPr>
            </w:pPr>
            <w:r>
              <w:rPr>
                <w:rFonts w:ascii="Arial" w:cs="Arial" w:eastAsia="Arial" w:hAnsi="Arial"/>
                <w:sz w:val="14"/>
                <w:szCs w:val="14"/>
                <w:color w:val="auto"/>
              </w:rPr>
              <w:t>by the Bain Capital Venture Entities. The business address of the Bain Capital Venture Entities is 200 Clarendon Street, Boston, MA 02116.</w:t>
            </w:r>
          </w:p>
        </w:tc>
        <w:tc>
          <w:tcPr>
            <w:tcW w:w="1320" w:type="dxa"/>
            <w:vAlign w:val="bottom"/>
          </w:tcPr>
          <w:p>
            <w:pPr>
              <w:spacing w:after="0"/>
              <w:rPr>
                <w:sz w:val="14"/>
                <w:szCs w:val="14"/>
                <w:color w:val="auto"/>
              </w:rPr>
            </w:pPr>
          </w:p>
        </w:tc>
      </w:tr>
    </w:tbl>
    <w:p>
      <w:pPr>
        <w:ind w:left="660" w:right="300" w:hanging="544"/>
        <w:spacing w:after="0" w:line="241" w:lineRule="auto"/>
        <w:tabs>
          <w:tab w:leader="none" w:pos="6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(i) 508,510 shares of our common stock held by Mr. Massaro and (ii) 430,160 shares of our common stock issuable to Mr. Massaro upon exercise of stock options within 60 days of April 23, 2021.</w:t>
      </w:r>
    </w:p>
    <w:p>
      <w:pPr>
        <w:ind w:left="660" w:right="480" w:hanging="544"/>
        <w:spacing w:after="0" w:line="241" w:lineRule="auto"/>
        <w:tabs>
          <w:tab w:leader="none" w:pos="6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(i) 25,000 shares of our common stock held by Mr. Orgel and (ii) 35,937 shares of our common stock issuable to Mr. Orgel upon exercise of stock options within 60 days of April 23, 2021.</w:t>
      </w:r>
    </w:p>
    <w:p>
      <w:pPr>
        <w:ind w:left="660" w:right="80" w:hanging="544"/>
        <w:spacing w:after="0" w:line="241" w:lineRule="auto"/>
        <w:tabs>
          <w:tab w:leader="none" w:pos="6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(i) 32,500 shares of our common stock held by Mr. Ellis and (ii) 110,576 shares of our common stock issuable to Mr. Ellis upon exercise of stock options within 60 days of April 23, 2021.</w:t>
      </w:r>
    </w:p>
    <w:p>
      <w:pPr>
        <w:ind w:left="660" w:hanging="544"/>
        <w:spacing w:after="0"/>
        <w:tabs>
          <w:tab w:leader="none" w:pos="6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161,032 shares of our common stock issuable to Mr. Riese upon exercise of stock options within 60 days of April 23, 2021.</w:t>
      </w:r>
    </w:p>
    <w:p>
      <w:pPr>
        <w:spacing w:after="0" w:line="1" w:lineRule="exact"/>
        <w:rPr>
          <w:rFonts w:ascii="Arial" w:cs="Arial" w:eastAsia="Arial" w:hAnsi="Arial"/>
          <w:sz w:val="14"/>
          <w:szCs w:val="14"/>
          <w:color w:val="auto"/>
        </w:rPr>
      </w:pPr>
    </w:p>
    <w:p>
      <w:pPr>
        <w:ind w:left="660" w:right="280" w:hanging="544"/>
        <w:spacing w:after="0" w:line="258" w:lineRule="auto"/>
        <w:tabs>
          <w:tab w:leader="none" w:pos="6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(i) 14,365,638 shares of our common stock held directly and indirectly by our executive officers and directors; and (ii) 921,202 shares of our common stock issuable to them upon exercise of stock options within 60 days of April 23, 2021.</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following description summarizes the most important terms of our capital stock, as they will be in effect following this offering. Because it is only a summary, it does not contain all the information that may be important to you. We expect to adopt a restated certificate of incorporation and restated bylaws that will become effective immediately prior to the completion of this offering, and this description summarizes provisions that are expected to be included in these documents. For a complete description, you should refer to our restated certificate of incorporation and restated bylaws, which are included as exhibits to the registration statement of which this prospectus forms a part, and to the applicable provisions of Delaware law.</w:t>
      </w:r>
    </w:p>
    <w:p>
      <w:pPr>
        <w:sectPr>
          <w:pgSz w:w="11900" w:h="16838" w:orient="portrait"/>
          <w:cols w:equalWidth="0" w:num="1">
            <w:col w:w="11120"/>
          </w:cols>
          <w:pgMar w:left="320" w:top="459" w:right="459" w:bottom="1440" w:gutter="0" w:footer="0" w:header="0"/>
        </w:sectPr>
      </w:pP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the completion of this offering, our authorized capital stock will consist of</w:t>
      </w:r>
    </w:p>
    <w:p>
      <w:pPr>
        <w:ind w:left="120"/>
        <w:spacing w:after="0"/>
        <w:tabs>
          <w:tab w:leader="none" w:pos="1760" w:val="left"/>
        </w:tabs>
        <w:rPr>
          <w:sz w:val="20"/>
          <w:szCs w:val="20"/>
          <w:color w:val="auto"/>
        </w:rPr>
      </w:pPr>
      <w:r>
        <w:rPr>
          <w:rFonts w:ascii="Arial" w:cs="Arial" w:eastAsia="Arial" w:hAnsi="Arial"/>
          <w:sz w:val="18"/>
          <w:szCs w:val="18"/>
          <w:color w:val="auto"/>
        </w:rPr>
        <w:t>per share,</w:t>
      </w:r>
      <w:r>
        <w:rPr>
          <w:sz w:val="20"/>
          <w:szCs w:val="20"/>
          <w:color w:val="auto"/>
        </w:rPr>
        <w:tab/>
      </w:r>
      <w:r>
        <w:rPr>
          <w:rFonts w:ascii="Arial" w:cs="Arial" w:eastAsia="Arial" w:hAnsi="Arial"/>
          <w:sz w:val="17"/>
          <w:szCs w:val="17"/>
          <w:color w:val="auto"/>
        </w:rPr>
        <w:t>shares of non-voting common stock, $0.0001 par value per share,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 $0.0001 par value per share.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hanging="532"/>
        <w:spacing w:after="0" w:line="246" w:lineRule="auto"/>
        <w:rPr>
          <w:sz w:val="20"/>
          <w:szCs w:val="20"/>
          <w:color w:val="auto"/>
        </w:rPr>
      </w:pPr>
      <w:r>
        <w:rPr>
          <w:rFonts w:ascii="Arial" w:cs="Arial" w:eastAsia="Arial" w:hAnsi="Arial"/>
          <w:sz w:val="18"/>
          <w:szCs w:val="18"/>
          <w:color w:val="auto"/>
        </w:rPr>
        <w:t>shares of common stock, $0.0001 par value shares of undesignated preferred</w:t>
      </w:r>
    </w:p>
    <w:p>
      <w:pPr>
        <w:spacing w:after="0" w:line="358" w:lineRule="exact"/>
        <w:rPr>
          <w:sz w:val="20"/>
          <w:szCs w:val="20"/>
          <w:color w:val="auto"/>
        </w:rPr>
      </w:pPr>
    </w:p>
    <w:p>
      <w:pPr>
        <w:sectPr>
          <w:pgSz w:w="11900" w:h="16838" w:orient="portrait"/>
          <w:cols w:equalWidth="0" w:num="2">
            <w:col w:w="7440" w:space="720"/>
            <w:col w:w="2960"/>
          </w:cols>
          <w:pgMar w:left="320" w:top="459" w:right="459" w:bottom="1440" w:gutter="0" w:footer="0" w:header="0"/>
          <w:type w:val="continuous"/>
        </w:sectPr>
      </w:pPr>
    </w:p>
    <w:p>
      <w:pPr>
        <w:ind w:left="120" w:right="40" w:firstLine="440"/>
        <w:spacing w:after="0" w:line="248" w:lineRule="auto"/>
        <w:rPr>
          <w:sz w:val="20"/>
          <w:szCs w:val="20"/>
          <w:color w:val="auto"/>
        </w:rPr>
      </w:pPr>
      <w:r>
        <w:rPr>
          <w:rFonts w:ascii="Arial" w:cs="Arial" w:eastAsia="Arial" w:hAnsi="Arial"/>
          <w:sz w:val="17"/>
          <w:szCs w:val="17"/>
          <w:color w:val="auto"/>
        </w:rPr>
        <w:t>Pursuant to the provisions of our current certificate of incorporation, immediately prior to the completion of this offering, each outstanding share of our preferred stock (except our Series E-2 preferred stock) will automatically convert into one share of our common stock and each outstanding share of our Series E-2 preferred stock will convert into one share of our non-voting common stock. Assuming</w:t>
      </w:r>
    </w:p>
    <w:p>
      <w:pPr>
        <w:spacing w:after="0" w:line="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the conversion of all outstanding shares of our preferred stock, into shares of our common stock and shares of our non-voting common stock, and the issuance of shares of our common stock based upon an assumed initial public offering price of $ per share, which is the midpoint of the estimated price range set forth on the cover of this prospectus, as of March 31, 2021, there were:</w:t>
      </w:r>
    </w:p>
    <w:p>
      <w:pPr>
        <w:sectPr>
          <w:pgSz w:w="11900" w:h="16838" w:orient="portrait"/>
          <w:cols w:equalWidth="0" w:num="1">
            <w:col w:w="11120"/>
          </w:cols>
          <w:pgMar w:left="320" w:top="459" w:right="45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shares of our common stock outstanding, held by</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stockholders of record;</w:t>
      </w:r>
    </w:p>
    <w:p>
      <w:pPr>
        <w:spacing w:after="0" w:line="200" w:lineRule="exact"/>
        <w:rPr>
          <w:sz w:val="20"/>
          <w:szCs w:val="20"/>
          <w:color w:val="auto"/>
        </w:rPr>
      </w:pPr>
    </w:p>
    <w:p>
      <w:pPr>
        <w:sectPr>
          <w:pgSz w:w="11900" w:h="16838" w:orient="portrait"/>
          <w:cols w:equalWidth="0" w:num="3">
            <w:col w:w="760" w:space="720"/>
            <w:col w:w="4000" w:space="720"/>
            <w:col w:w="4920"/>
          </w:cols>
          <w:pgMar w:left="320" w:top="459" w:right="459" w:bottom="1440" w:gutter="0" w:footer="0" w:header="0"/>
          <w:type w:val="continuous"/>
        </w:sectPr>
      </w:pPr>
    </w:p>
    <w:p>
      <w:pPr>
        <w:spacing w:after="0" w:line="23" w:lineRule="exact"/>
        <w:rPr>
          <w:sz w:val="20"/>
          <w:szCs w:val="20"/>
          <w:color w:val="auto"/>
        </w:rPr>
      </w:pPr>
    </w:p>
    <w:p>
      <w:pPr>
        <w:ind w:left="1480" w:hanging="824"/>
        <w:spacing w:after="0"/>
        <w:tabs>
          <w:tab w:leader="none" w:pos="14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shares of our non-voting common stock outstanding, held by four stockholders of record;</w:t>
      </w:r>
    </w:p>
    <w:p>
      <w:pPr>
        <w:spacing w:after="0" w:line="211" w:lineRule="exact"/>
        <w:rPr>
          <w:rFonts w:ascii="Arial" w:cs="Arial" w:eastAsia="Arial" w:hAnsi="Arial"/>
          <w:sz w:val="18"/>
          <w:szCs w:val="18"/>
          <w:color w:val="auto"/>
        </w:rPr>
      </w:pPr>
    </w:p>
    <w:p>
      <w:pPr>
        <w:ind w:left="1480" w:hanging="824"/>
        <w:spacing w:after="0"/>
        <w:tabs>
          <w:tab w:leader="none" w:pos="14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shares of our common stock issuable upon exercise of outstanding stock options;</w:t>
      </w:r>
    </w:p>
    <w:p>
      <w:pPr>
        <w:spacing w:after="0" w:line="211"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25,000 shares of our common stock issuable upon the exercise of outstanding warrants to purchase common stock outstanding as of March 31, 2021, with an exercise price of $0.50 per share; and</w:t>
      </w:r>
    </w:p>
    <w:p>
      <w:pPr>
        <w:spacing w:after="0" w:line="196" w:lineRule="exact"/>
        <w:rPr>
          <w:rFonts w:ascii="Arial" w:cs="Arial" w:eastAsia="Arial" w:hAnsi="Arial"/>
          <w:sz w:val="18"/>
          <w:szCs w:val="18"/>
          <w:color w:val="auto"/>
        </w:rPr>
      </w:pPr>
    </w:p>
    <w:p>
      <w:pPr>
        <w:ind w:left="880" w:right="360" w:hanging="224"/>
        <w:spacing w:after="0" w:line="238"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127,000 shares of our common stock issuable upon the exercise of outstanding warrants to purchase shares of our Series C preferred stock outstanding as of March 31, 2021, with an exercise price of $4.44 per share, which will become warrants to purchase 127,000 shares of our common stock at an exercise price of $4.44 per share in connection with the closing of this offering.</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and Non-voting Common Stock</w:t>
      </w:r>
    </w:p>
    <w:p>
      <w:pPr>
        <w:spacing w:after="0" w:line="193"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The holders of our common stock and non-voting common stock have identical rights, provided that, (i) except as otherwise expressly provided in our amended and restated certificate of incorporation or as required by applicable law, on any matter that is submitted to a vote by our stockholders, holders of our common stock are entitled to one vote per share of common stock, and holders of our non-voting common stock are not entitled to any votes per share of non-voting common stock, including for the election of directors, and (ii) holders of our common stock have no conversion rights, while the non-voting common stock automatically converts into common stock upon certain transfers and the holders of our non-voting common stock have the right to convert each share of our non-voting common stock into one share of common stock at such holder’s election, provided that as a result of such conversion, such holder, together with its affiliates and any members of a Schedule 13(d) group with such holder, would not beneficially own in excess of 4.99% of our common stock immediately prior to and following such conversion, unless otherwise as expressly provided for in our amended and restated certificate of incorporation.</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type w:val="continuous"/>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0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and non-voting common stock are entitled to receive dividends out of funds legally available if our board of directors, in its discretion, determines to issue dividends and only then at the times and in the amounts that our board of directors may determine. See “Dividend policy” for more information.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9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Holders of shares of our non-voting common stock are not entitled to vote on any matters on which stockholders are entitled to vote generally, including the election or removal of directors elected by our stockholders. Accordingly, holders of a majority of our common stock entitled to vote at an election of directors may elect all of the directors standing for election. Our amended and restated certificate of incorporation and amended and restated bylaws that will be in effect upon the completion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93"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Our common stock and non-voting common stock is not entitled to preemptive rights and is not subject to conversion, redemption or sinking fund provisions.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0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9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Upon the completion of this offering, no shares of preferred stock will be outstanding, but we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associated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93"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As of March 31, 2021, we had outstanding stock options to purchase an aggregate of 5,498,741 shares of our common stock, with a weighted-average exercise price of $8.88 per share. Subsequent to March 31, 2021, we granted stock options to purchase 343,500 shares of our common stock under the 2018 Plan, with a weighted-average exercise price of $50.45 per share.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20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As of March 31, 2021, we had outstanding warrants to purchase an aggregate of 25,000 shares of our common stock, with an exercise price of $0.50 per share. We also had warrants to purchase 127,000 shares of our Series C preferred stock outstanding, with an exercise price of $4.44 per share, which will become warrants to purchase shares of our common stock at an exercise price of $4.44 per share in connection with the closing of this offering.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Following the completion of this offering, the holders of shares of our common stock and non-voting common stock or their permitted transferees will be entitled to rights with respect to the registration of these shares under the Securities Act. These rights are provided under the terms of an amended and restated investors’ rights agreement between us and the holders of these shares, which was entered into in connection with our preferred stock financings, and includes demand registration rights, Form S-3 registration rights, and piggyback registration rights. In any registration made pursuant to such amended and restated investors’ rights agreement, all fees, costs, and expenses of underwritten registrations will be borne by us and all selling expenses, including estimated underwriting discounts, selling commissions, and stock transfer taxes, will be borne by the holders of the shares being registered.</w:t>
      </w:r>
    </w:p>
    <w:p>
      <w:pPr>
        <w:spacing w:after="0" w:line="176"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The registration rights terminate five years following the completion of this offering or, with respect to any particular stockholder, at the time that stockholder can sell all of its shares during any 90-day period pursuant to Rule 144 of the Securities Act.</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Demand Registration Rights</w:t>
      </w:r>
    </w:p>
    <w:p>
      <w:pPr>
        <w:spacing w:after="0" w:line="19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holders of an aggregate of shares of our common stock and shares of our non-voting common stock or their permitted transferees, are entitled to demand registration rights at any time after the earlier of (a) four years after the date of the amended and restated investors rights agreement or (b) 180 days after the effective date of the registration statement for this offering. Under the terms of the amended and restated investors’ rights agreement, we will be required, upon the request of holders of at least 40% of the shares that are entitled to registration rights under the amended and restated investors’ rights agreement, to file a registration statement on Form S-1 to register, as soon as practicable and in any event within 60 days of the date of the request, all or a portion of these shares for public resale, if the aggregate price to the public of the shares offered is at least $10.0 million, net of selling expenses. We are required to effect only two registrations pursuant to this provision of the amended and restated investors’ rights agreement. We may postpone the filing of a registration statement for up to 90 days in a 12-month period if our board of directors determines that the filing would be materially detrimental to us. We are not required to effect a demand registration under certain additional circumstances specified in the amended and restated investors’ rights agreement, including at any time earlier than 180 days after the effective date of this offering.</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S-3 Registration Rights</w:t>
      </w:r>
    </w:p>
    <w:p>
      <w:pPr>
        <w:spacing w:after="0" w:line="189" w:lineRule="exact"/>
        <w:rPr>
          <w:sz w:val="20"/>
          <w:szCs w:val="20"/>
          <w:color w:val="auto"/>
        </w:rPr>
      </w:pPr>
    </w:p>
    <w:p>
      <w:pPr>
        <w:ind w:left="560"/>
        <w:spacing w:after="0"/>
        <w:tabs>
          <w:tab w:leader="none" w:pos="3800" w:val="left"/>
          <w:tab w:leader="none" w:pos="7200" w:val="left"/>
        </w:tabs>
        <w:rPr>
          <w:sz w:val="20"/>
          <w:szCs w:val="20"/>
          <w:color w:val="auto"/>
        </w:rPr>
      </w:pPr>
      <w:r>
        <w:rPr>
          <w:rFonts w:ascii="Arial" w:cs="Arial" w:eastAsia="Arial" w:hAnsi="Arial"/>
          <w:sz w:val="18"/>
          <w:szCs w:val="18"/>
          <w:color w:val="auto"/>
        </w:rPr>
        <w:t>The holders of an aggregate of</w:t>
      </w:r>
      <w:r>
        <w:rPr>
          <w:sz w:val="20"/>
          <w:szCs w:val="20"/>
          <w:color w:val="auto"/>
        </w:rPr>
        <w:tab/>
      </w:r>
      <w:r>
        <w:rPr>
          <w:rFonts w:ascii="Arial" w:cs="Arial" w:eastAsia="Arial" w:hAnsi="Arial"/>
          <w:sz w:val="18"/>
          <w:szCs w:val="18"/>
          <w:color w:val="auto"/>
        </w:rPr>
        <w:t>shares of our common stock and</w:t>
      </w:r>
      <w:r>
        <w:rPr>
          <w:sz w:val="20"/>
          <w:szCs w:val="20"/>
          <w:color w:val="auto"/>
        </w:rPr>
        <w:tab/>
      </w:r>
      <w:r>
        <w:rPr>
          <w:rFonts w:ascii="Arial" w:cs="Arial" w:eastAsia="Arial" w:hAnsi="Arial"/>
          <w:sz w:val="17"/>
          <w:szCs w:val="17"/>
          <w:color w:val="auto"/>
        </w:rPr>
        <w:t>shares of our non-voting common stock or their</w:t>
      </w:r>
    </w:p>
    <w:p>
      <w:pPr>
        <w:ind w:left="120" w:right="60"/>
        <w:spacing w:after="0" w:line="237" w:lineRule="auto"/>
        <w:rPr>
          <w:sz w:val="20"/>
          <w:szCs w:val="20"/>
          <w:color w:val="auto"/>
        </w:rPr>
      </w:pPr>
      <w:r>
        <w:rPr>
          <w:rFonts w:ascii="Arial" w:cs="Arial" w:eastAsia="Arial" w:hAnsi="Arial"/>
          <w:sz w:val="18"/>
          <w:szCs w:val="18"/>
          <w:color w:val="auto"/>
        </w:rPr>
        <w:t>permitted transferees are also entitled to Form S-3 registration rights. Under the terms of the amended and restated investors’ rights agreement, we will be required, upon request of the holders of at least 20% of the shares that are entitled to registration rights under the amended and restated investors’ rights agreement, to file a registration statement on Form S-3 if the aggregate price to the public of the shares offered is at least $1.0 million, net of selling expenses. We will be required, as soon as practicable and in any event within 45 days of the request, to file a registration statement on Form S-3 to register these shares for public resale. The holders may only require us to effect at most two registration statements on Form S-3 in any 12-month period. We may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postpone the filing of a registration statement for up to 90 days in a 12-month period if our board of directors determines that the filing would be materially detrimental to us. We are not required to effect a demand registration under certain additional circumstances specified in the amended and restated investors’ rights agreement.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Piggyback Registration Rights</w:t>
      </w:r>
    </w:p>
    <w:p>
      <w:pPr>
        <w:spacing w:after="0" w:line="193" w:lineRule="exact"/>
        <w:rPr>
          <w:sz w:val="20"/>
          <w:szCs w:val="20"/>
          <w:color w:val="auto"/>
        </w:rPr>
      </w:pPr>
    </w:p>
    <w:p>
      <w:pPr>
        <w:ind w:left="120" w:firstLine="440"/>
        <w:spacing w:after="0" w:line="234" w:lineRule="auto"/>
        <w:rPr>
          <w:sz w:val="20"/>
          <w:szCs w:val="20"/>
          <w:color w:val="auto"/>
        </w:rPr>
      </w:pPr>
      <w:r>
        <w:rPr>
          <w:rFonts w:ascii="Arial" w:cs="Arial" w:eastAsia="Arial" w:hAnsi="Arial"/>
          <w:sz w:val="18"/>
          <w:szCs w:val="18"/>
          <w:color w:val="auto"/>
        </w:rPr>
        <w:t>If we register any of our common stock and shares of our non-voting common stock for public sale under the Securities Act, holders of an aggregate of shares of our common stock and shares of our non-voting common stock or their permitted</w:t>
      </w:r>
    </w:p>
    <w:p>
      <w:pPr>
        <w:spacing w:after="0" w:line="1" w:lineRule="exact"/>
        <w:rPr>
          <w:sz w:val="20"/>
          <w:szCs w:val="20"/>
          <w:color w:val="auto"/>
        </w:rPr>
      </w:pPr>
    </w:p>
    <w:p>
      <w:pPr>
        <w:ind w:left="120" w:right="60"/>
        <w:spacing w:after="0" w:line="248" w:lineRule="auto"/>
        <w:rPr>
          <w:sz w:val="20"/>
          <w:szCs w:val="20"/>
          <w:color w:val="auto"/>
        </w:rPr>
      </w:pPr>
      <w:r>
        <w:rPr>
          <w:rFonts w:ascii="Arial" w:cs="Arial" w:eastAsia="Arial" w:hAnsi="Arial"/>
          <w:sz w:val="17"/>
          <w:szCs w:val="17"/>
          <w:color w:val="auto"/>
        </w:rPr>
        <w:t>transferees having registration rights will have the right to include their shares in the registration statement. However, this right does not apply to a registration relating to employee benefit plans, a registration relating to an SEC Rule 145 transaction, a registration on any form that does not include substantially the same information as would be required to be included in a registration statement covering the sale</w:t>
      </w:r>
    </w:p>
    <w:p>
      <w:pPr>
        <w:ind w:left="120"/>
        <w:spacing w:after="0" w:line="236" w:lineRule="auto"/>
        <w:tabs>
          <w:tab w:leader="none" w:pos="2900" w:val="left"/>
        </w:tabs>
        <w:rPr>
          <w:sz w:val="20"/>
          <w:szCs w:val="20"/>
          <w:color w:val="auto"/>
        </w:rPr>
      </w:pPr>
      <w:r>
        <w:rPr>
          <w:rFonts w:ascii="Arial" w:cs="Arial" w:eastAsia="Arial" w:hAnsi="Arial"/>
          <w:sz w:val="18"/>
          <w:szCs w:val="18"/>
          <w:color w:val="auto"/>
        </w:rPr>
        <w:t>of the common stock and</w:t>
      </w:r>
      <w:r>
        <w:rPr>
          <w:sz w:val="20"/>
          <w:szCs w:val="20"/>
          <w:color w:val="auto"/>
        </w:rPr>
        <w:tab/>
      </w:r>
      <w:r>
        <w:rPr>
          <w:rFonts w:ascii="Arial" w:cs="Arial" w:eastAsia="Arial" w:hAnsi="Arial"/>
          <w:sz w:val="18"/>
          <w:szCs w:val="18"/>
          <w:color w:val="auto"/>
        </w:rPr>
        <w:t>shares of our non-voting common stock, or a registration in which the only common stock</w:t>
      </w:r>
    </w:p>
    <w:p>
      <w:pPr>
        <w:ind w:left="120"/>
        <w:spacing w:after="0" w:line="235" w:lineRule="auto"/>
        <w:tabs>
          <w:tab w:leader="none" w:pos="12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shares of our non-voting common stock being registered is common stock issuable upon conversion of debt securities that</w:t>
      </w:r>
    </w:p>
    <w:p>
      <w:pPr>
        <w:ind w:left="120"/>
        <w:spacing w:after="0" w:line="237" w:lineRule="auto"/>
        <w:rPr>
          <w:sz w:val="20"/>
          <w:szCs w:val="20"/>
          <w:color w:val="auto"/>
        </w:rPr>
      </w:pPr>
      <w:r>
        <w:rPr>
          <w:rFonts w:ascii="Arial" w:cs="Arial" w:eastAsia="Arial" w:hAnsi="Arial"/>
          <w:sz w:val="18"/>
          <w:szCs w:val="18"/>
          <w:color w:val="auto"/>
        </w:rPr>
        <w:t>are also being registered. The underwriters of any underwritten offering will have the right to limit the number of shares registered by these holders if they determine that marketing factors require limitation, in which case the number of shares to be registered will be apportioned among the holders in such other proportion as shall mutually be agreed to by all such selling holders. However, the number of shares to be registered by these holders cannot be reduced (i) unless all other securities (other than securities to be sold by our company) are first excluded from the offering or (ii) below 30% of the total shares covered by the registration statement, other than in the initial public offering.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20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Upon the completion of this offering, we will be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202" w:lineRule="exact"/>
        <w:rPr>
          <w:sz w:val="20"/>
          <w:szCs w:val="20"/>
          <w:color w:val="auto"/>
        </w:rPr>
      </w:pPr>
    </w:p>
    <w:p>
      <w:pPr>
        <w:ind w:left="880" w:right="560" w:hanging="224"/>
        <w:spacing w:after="0" w:line="246"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time that the interested stockholder became an interested stockholder;</w:t>
      </w:r>
    </w:p>
    <w:p>
      <w:pPr>
        <w:spacing w:after="0" w:line="196" w:lineRule="exact"/>
        <w:rPr>
          <w:rFonts w:ascii="Arial" w:cs="Arial" w:eastAsia="Arial" w:hAnsi="Arial"/>
          <w:sz w:val="18"/>
          <w:szCs w:val="18"/>
          <w:color w:val="auto"/>
        </w:rPr>
      </w:pPr>
    </w:p>
    <w:p>
      <w:pPr>
        <w:ind w:left="880" w:right="160" w:hanging="224"/>
        <w:spacing w:after="0" w:line="248" w:lineRule="auto"/>
        <w:tabs>
          <w:tab w:leader="none" w:pos="8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those shares owned (i) by persons who are directors and also officers and</w:t>
      </w:r>
    </w:p>
    <w:p>
      <w:pPr>
        <w:spacing w:after="0" w:line="1" w:lineRule="exact"/>
        <w:rPr>
          <w:rFonts w:ascii="Arial" w:cs="Arial" w:eastAsia="Arial" w:hAnsi="Arial"/>
          <w:sz w:val="17"/>
          <w:szCs w:val="17"/>
          <w:color w:val="auto"/>
        </w:rPr>
      </w:pPr>
    </w:p>
    <w:p>
      <w:pPr>
        <w:ind w:left="880" w:right="260"/>
        <w:spacing w:after="0" w:line="246" w:lineRule="auto"/>
        <w:rPr>
          <w:rFonts w:ascii="Arial" w:cs="Arial" w:eastAsia="Arial" w:hAnsi="Arial"/>
          <w:sz w:val="17"/>
          <w:szCs w:val="17"/>
          <w:color w:val="auto"/>
        </w:rPr>
      </w:pPr>
      <w:r>
        <w:rPr>
          <w:rFonts w:ascii="Arial" w:cs="Arial" w:eastAsia="Arial" w:hAnsi="Arial"/>
          <w:sz w:val="18"/>
          <w:szCs w:val="18"/>
          <w:color w:val="auto"/>
        </w:rPr>
        <w:t>(ii) employee stock plans in which employee participants do not have the right to determine confidentially whether shares held subject to the plan will be tendered in a tender or exchange offer; or</w:t>
      </w:r>
    </w:p>
    <w:p>
      <w:pPr>
        <w:spacing w:after="0" w:line="196" w:lineRule="exact"/>
        <w:rPr>
          <w:rFonts w:ascii="Arial" w:cs="Arial" w:eastAsia="Arial" w:hAnsi="Arial"/>
          <w:sz w:val="17"/>
          <w:szCs w:val="17"/>
          <w:color w:val="auto"/>
        </w:rPr>
      </w:pPr>
    </w:p>
    <w:p>
      <w:pPr>
        <w:ind w:left="880" w:right="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62"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outstanding voting shares. We have not opted out of these provisions. As a result, mergers or other takeover or change in control attempts of us may be discouraged or prevented.</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Certificate of Incorporation and Bylaw Provisions</w:t>
      </w:r>
    </w:p>
    <w:p>
      <w:pPr>
        <w:spacing w:after="0" w:line="19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Upon the completion of this offering, our amended and restated certificate of incorporation and our amended and restated bylaws will include a number of provisions that may have the effect of deterring hostile takeovers or delaying or preventing changes in control of our management team, including the following:</w:t>
      </w:r>
    </w:p>
    <w:p>
      <w:pPr>
        <w:spacing w:after="0" w:line="185" w:lineRule="exact"/>
        <w:rPr>
          <w:sz w:val="20"/>
          <w:szCs w:val="20"/>
          <w:color w:val="auto"/>
        </w:rPr>
      </w:pPr>
    </w:p>
    <w:p>
      <w:pPr>
        <w:ind w:left="880" w:right="60" w:hanging="224"/>
        <w:spacing w:after="0" w:line="242"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 our board of directors to fill vacant directorships, including newly-created seats. In addition, the number of directors constituting our board of directors will be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184" w:lineRule="exact"/>
        <w:rPr>
          <w:rFonts w:ascii="Arial" w:cs="Arial" w:eastAsia="Arial" w:hAnsi="Arial"/>
          <w:sz w:val="18"/>
          <w:szCs w:val="18"/>
          <w:color w:val="auto"/>
        </w:rPr>
      </w:pPr>
    </w:p>
    <w:p>
      <w:pPr>
        <w:ind w:left="880" w:right="20" w:hanging="224"/>
        <w:spacing w:after="0" w:line="241"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will provide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will be classified into three classes of directors, each of which will hold office for a three-year term. In addition, directors may only be removed from the board of directors for cause and only by the approval of 66 2/3% of our then-outstanding shares of our common stock.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83" w:lineRule="exact"/>
        <w:rPr>
          <w:rFonts w:ascii="Arial" w:cs="Arial" w:eastAsia="Arial" w:hAnsi="Arial"/>
          <w:sz w:val="18"/>
          <w:szCs w:val="18"/>
          <w:color w:val="auto"/>
        </w:rPr>
      </w:pPr>
    </w:p>
    <w:p>
      <w:pPr>
        <w:ind w:left="880" w:right="140" w:hanging="224"/>
        <w:spacing w:after="0" w:line="242"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will provide that</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will not be able to take action by written consent, and will only be able to take action at annual or special meetings of our stockholders. Stockholders will not be permitted to cumulate their votes for the election of directors. Our amended and restated bylaws will further provide that special meetings of our stockholders may be called only by a majority vote of our entire board of directors, the chairman of our board of directors or our chief executive officer.</w:t>
      </w:r>
    </w:p>
    <w:p>
      <w:pPr>
        <w:spacing w:after="0" w:line="184" w:lineRule="exact"/>
        <w:rPr>
          <w:rFonts w:ascii="Arial" w:cs="Arial" w:eastAsia="Arial" w:hAnsi="Arial"/>
          <w:sz w:val="18"/>
          <w:szCs w:val="18"/>
          <w:color w:val="auto"/>
        </w:rPr>
      </w:pPr>
    </w:p>
    <w:p>
      <w:pPr>
        <w:ind w:left="880" w:right="40" w:hanging="224"/>
        <w:spacing w:after="0" w:line="241"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 will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advance notice procedures for stockholders seeking to bring business before our annual meeting of stockholders, or to nominate candidates for election as directors at any meeting of stockholders. Our amended and restated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83" w:lineRule="exact"/>
        <w:rPr>
          <w:rFonts w:ascii="Arial" w:cs="Arial" w:eastAsia="Arial" w:hAnsi="Arial"/>
          <w:sz w:val="18"/>
          <w:szCs w:val="18"/>
          <w:color w:val="auto"/>
        </w:rPr>
      </w:pPr>
    </w:p>
    <w:p>
      <w:pPr>
        <w:ind w:left="880" w:right="20" w:hanging="224"/>
        <w:spacing w:after="0" w:line="242"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Our board of directors will have, the authority, without further action by the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to issue up to 10,000,000 shares of undesignated preferred stock with rights and preferences, including voting rights, designated from time to time by the board of directors. The existence of authorized but unissued shares of preferred stock will enable our board of directors to render more difficult or discourage an attempt to obtain control of us by means of a merger, tender offer, proxy contest or otherwise.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207"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Upon the completion of this offering, our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9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Upon the completion of this offering, the transfer agent and registrar for our common stock will be Computershare Inc. The transfer agent’s address is 150 Royall Street, Canton, Massachusetts 02021, and its telephone number is (800) 942-5909.</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The Nasdaq Global Market under the symbol “FLYW.”</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SHARES ELIGIBLE FOR FUTURE SALE</w:t>
      </w:r>
    </w:p>
    <w:p>
      <w:pPr>
        <w:spacing w:after="0" w:line="207" w:lineRule="exact"/>
        <w:rPr>
          <w:sz w:val="20"/>
          <w:szCs w:val="20"/>
          <w:color w:val="auto"/>
        </w:rPr>
      </w:pPr>
    </w:p>
    <w:p>
      <w:pPr>
        <w:ind w:left="120" w:right="400" w:firstLine="440"/>
        <w:spacing w:after="0"/>
        <w:rPr>
          <w:sz w:val="20"/>
          <w:szCs w:val="20"/>
          <w:color w:val="auto"/>
        </w:rPr>
      </w:pPr>
      <w:r>
        <w:rPr>
          <w:rFonts w:ascii="Arial" w:cs="Arial" w:eastAsia="Arial" w:hAnsi="Arial"/>
          <w:sz w:val="18"/>
          <w:szCs w:val="18"/>
          <w:color w:val="auto"/>
        </w:rPr>
        <w:t>Before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w:t>
      </w:r>
    </w:p>
    <w:p>
      <w:pPr>
        <w:spacing w:after="0" w:line="16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Nevertheless, sales of substantial amounts of our common stock, including shares issued upon exercise of outstanding stock options, in the public market following this offering could adversely affect market prices prevailing from time to time and could impair our ability to raise capital through the sale of our equity securities.</w:t>
      </w:r>
    </w:p>
    <w:p>
      <w:pPr>
        <w:spacing w:after="0" w:line="162" w:lineRule="exact"/>
        <w:rPr>
          <w:sz w:val="20"/>
          <w:szCs w:val="20"/>
          <w:color w:val="auto"/>
        </w:rPr>
      </w:pPr>
    </w:p>
    <w:p>
      <w:pPr>
        <w:ind w:left="120" w:right="180" w:firstLine="440"/>
        <w:spacing w:after="0" w:line="234" w:lineRule="auto"/>
        <w:rPr>
          <w:sz w:val="20"/>
          <w:szCs w:val="20"/>
          <w:color w:val="auto"/>
        </w:rPr>
      </w:pPr>
      <w:r>
        <w:rPr>
          <w:rFonts w:ascii="Arial" w:cs="Arial" w:eastAsia="Arial" w:hAnsi="Arial"/>
          <w:sz w:val="18"/>
          <w:szCs w:val="18"/>
          <w:color w:val="auto"/>
        </w:rPr>
        <w:t>Upon the completion of this offering, based on the shares of our common stock and shares of our non-voting common stock outstanding as of March 31, 2021, we will have a total of shares of our common stock and shares of</w:t>
      </w:r>
    </w:p>
    <w:p>
      <w:pPr>
        <w:spacing w:after="0" w:line="1"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our non-voting common stock outstanding. Of these outstanding shares, all of the shares of common stock sold in this offering will be freely tradable, except that any shares purchased in this offering by our affiliates, as that term is defined in Rule 144 under the Securities Act, only would be able to be sold in compliance with the Rule 144 limitations described below.</w:t>
      </w:r>
    </w:p>
    <w:p>
      <w:pPr>
        <w:spacing w:after="0" w:line="17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remaining outstanding shares of our common stock and our non-voting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each of our directors, executive officers, and the holders of substantially all of our outstanding equity securities have entered into market standoff agreements with us or lock-up agreements with the underwriters under which they have agreed, subject to specific exceptions and possible early lock-up releases, not to sell any of our common stock for at least 180 days following the date of this prospectus, as described below. Subject to the provisions of Rule 144 or Rule 701, shares will be available for sale in the public market as follows:</w:t>
      </w:r>
    </w:p>
    <w:p>
      <w:pPr>
        <w:spacing w:after="0" w:line="202" w:lineRule="exact"/>
        <w:rPr>
          <w:sz w:val="20"/>
          <w:szCs w:val="20"/>
          <w:color w:val="auto"/>
        </w:rPr>
      </w:pPr>
    </w:p>
    <w:p>
      <w:pPr>
        <w:ind w:left="880" w:right="280" w:hanging="224"/>
        <w:spacing w:after="0" w:line="246" w:lineRule="auto"/>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Beginning on the date of this prospectus, all shares of our common stock sold in this offering will be immediately available for sale in the public market.</w:t>
      </w:r>
    </w:p>
    <w:p>
      <w:pPr>
        <w:spacing w:after="0" w:line="196" w:lineRule="exact"/>
        <w:rPr>
          <w:rFonts w:ascii="Arial" w:cs="Arial" w:eastAsia="Arial" w:hAnsi="Arial"/>
          <w:sz w:val="18"/>
          <w:szCs w:val="18"/>
          <w:color w:val="auto"/>
        </w:rPr>
      </w:pPr>
    </w:p>
    <w:p>
      <w:pPr>
        <w:ind w:left="880" w:right="60" w:hanging="224"/>
        <w:spacing w:after="0" w:line="248" w:lineRule="auto"/>
        <w:tabs>
          <w:tab w:leader="none" w:pos="8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Beginning at the commencement of trading on the second trading day after our first public release of quarterly results following the date of this prospectus, if the last reported closing price of our common stock on the Nasdaq Stock Market is at least 33% greater than the initial public offering price as set forth on the cover page of this prospectus for at least 10 trading days in the 15 trading day period prior to the date of such earnings release, then each holder subject to these lock-up agreements may sell a number of shares equal to 25% of the shares of our common stock and non-voting common stock held by that holder, including shares of our common stock underlying options, warrants or other securities (the Holdings). As of March 31, 2021, 25% of the</w:t>
      </w:r>
    </w:p>
    <w:p>
      <w:pPr>
        <w:spacing w:after="0" w:line="3" w:lineRule="exact"/>
        <w:rPr>
          <w:sz w:val="20"/>
          <w:szCs w:val="20"/>
          <w:color w:val="auto"/>
        </w:rPr>
      </w:pPr>
    </w:p>
    <w:p>
      <w:pPr>
        <w:ind w:left="880"/>
        <w:spacing w:after="0"/>
        <w:tabs>
          <w:tab w:leader="none" w:pos="5700" w:val="left"/>
        </w:tabs>
        <w:rPr>
          <w:sz w:val="20"/>
          <w:szCs w:val="20"/>
          <w:color w:val="auto"/>
        </w:rPr>
      </w:pPr>
      <w:r>
        <w:rPr>
          <w:rFonts w:ascii="Arial" w:cs="Arial" w:eastAsia="Arial" w:hAnsi="Arial"/>
          <w:sz w:val="18"/>
          <w:szCs w:val="18"/>
          <w:color w:val="auto"/>
        </w:rPr>
        <w:t>outstanding Holdings held by such holders was</w:t>
      </w:r>
      <w:r>
        <w:rPr>
          <w:sz w:val="20"/>
          <w:szCs w:val="20"/>
          <w:color w:val="auto"/>
        </w:rPr>
        <w:tab/>
      </w:r>
      <w:r>
        <w:rPr>
          <w:rFonts w:ascii="Arial" w:cs="Arial" w:eastAsia="Arial" w:hAnsi="Arial"/>
          <w:sz w:val="18"/>
          <w:szCs w:val="18"/>
          <w:color w:val="auto"/>
        </w:rPr>
        <w:t>shares.</w:t>
      </w:r>
    </w:p>
    <w:p>
      <w:pPr>
        <w:spacing w:after="0" w:line="207" w:lineRule="exact"/>
        <w:rPr>
          <w:sz w:val="20"/>
          <w:szCs w:val="20"/>
          <w:color w:val="auto"/>
        </w:rPr>
      </w:pPr>
    </w:p>
    <w:p>
      <w:pPr>
        <w:ind w:left="880" w:hanging="224"/>
        <w:spacing w:after="0"/>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Beginning at the commencement of trading on the second trading day after our public release of quarterly results for the quarter</w:t>
      </w:r>
    </w:p>
    <w:p>
      <w:pPr>
        <w:ind w:left="880"/>
        <w:spacing w:after="0" w:line="234" w:lineRule="auto"/>
        <w:rPr>
          <w:rFonts w:ascii="Arial" w:cs="Arial" w:eastAsia="Arial" w:hAnsi="Arial"/>
          <w:sz w:val="18"/>
          <w:szCs w:val="18"/>
          <w:color w:val="auto"/>
        </w:rPr>
      </w:pPr>
      <w:r>
        <w:rPr>
          <w:rFonts w:ascii="Arial" w:cs="Arial" w:eastAsia="Arial" w:hAnsi="Arial"/>
          <w:sz w:val="18"/>
          <w:szCs w:val="18"/>
          <w:color w:val="auto"/>
        </w:rPr>
        <w:t>in which the first public release of quarterly results following the date of this prospectus occurs, the lock-up agreements will</w:t>
      </w:r>
    </w:p>
    <w:p>
      <w:pPr>
        <w:spacing w:after="0" w:line="203" w:lineRule="exact"/>
        <w:rPr>
          <w:sz w:val="20"/>
          <w:szCs w:val="20"/>
          <w:color w:val="auto"/>
        </w:rPr>
      </w:pPr>
    </w:p>
    <w:p>
      <w:pPr>
        <w:ind w:left="880" w:right="20"/>
        <w:spacing w:after="0" w:line="246" w:lineRule="auto"/>
        <w:rPr>
          <w:sz w:val="20"/>
          <w:szCs w:val="20"/>
          <w:color w:val="auto"/>
        </w:rPr>
      </w:pPr>
      <w:r>
        <w:rPr>
          <w:rFonts w:ascii="Arial" w:cs="Arial" w:eastAsia="Arial" w:hAnsi="Arial"/>
          <w:sz w:val="18"/>
          <w:szCs w:val="18"/>
          <w:color w:val="auto"/>
        </w:rPr>
        <w:t>terminate, and accordingly, an additional shares of our common stock and non-voting common stock will be eligible for sale in the public market.</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80"/>
          </w:cols>
          <w:pgMar w:left="320" w:top="459"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and Market Standoff Agreements</w:t>
      </w:r>
    </w:p>
    <w:p>
      <w:pPr>
        <w:spacing w:after="0" w:line="207"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All of our directors and executive officers and holders of substantially all of our outstanding equity securities are subject to lock-up agreements or market standoff provisions that prohibit them from offering for sale, selling, contracting to sell, granting any option for the sale of, transferring, or otherwise disposing of (whether by actual disposition or effective economic disposition due to cash settlement or otherwise) any shares of our common stock or securities convertible into or exercisable or exchangeable for any shares of our common stock (including our non-voting common stock), or establishing or increasing a put equivalent position, or liquidating or decreasing a call equivalent position with respect to such securities, or publicly disclosing the intention to effect any such transaction, for a period of 180 days following the date of this prospectus without the prior written consent of Goldman Sachs &amp; Co. LLC. In addition to certain customary exceptions:</w:t>
      </w:r>
    </w:p>
    <w:p>
      <w:pPr>
        <w:spacing w:after="0" w:line="208" w:lineRule="exact"/>
        <w:rPr>
          <w:sz w:val="20"/>
          <w:szCs w:val="20"/>
          <w:color w:val="auto"/>
        </w:rPr>
      </w:pPr>
    </w:p>
    <w:p>
      <w:pPr>
        <w:ind w:left="880" w:right="100" w:hanging="224"/>
        <w:spacing w:after="0" w:line="237"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Beginning at the commencement of trading on the second trading day after our first public release of quarterly results following the date of this prospectus, if the last reported closing price of our common stock on the Nasdaq Stock Market is at least 33% greater than the initial public offering price as set forth on the cover page of this prospectus for at least 10 trading days in the 15 trading day period prior to the date of such earning release, then each holder subject to these lock-up agreements may sell a number of shares equal to 25% of the shares of our common stock and non-voting common stock held by that holder, including shares of our common stock underlying options, warrants or other securities.</w:t>
      </w:r>
    </w:p>
    <w:p>
      <w:pPr>
        <w:spacing w:after="0" w:line="200" w:lineRule="exact"/>
        <w:rPr>
          <w:rFonts w:ascii="Arial" w:cs="Arial" w:eastAsia="Arial" w:hAnsi="Arial"/>
          <w:sz w:val="18"/>
          <w:szCs w:val="18"/>
          <w:color w:val="auto"/>
        </w:rPr>
      </w:pPr>
    </w:p>
    <w:p>
      <w:pPr>
        <w:ind w:left="880" w:hanging="224"/>
        <w:spacing w:after="0"/>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Beginning at the commencement of trading on the second trading day after our public release of quarterly results for the quarter</w:t>
      </w:r>
    </w:p>
    <w:p>
      <w:pPr>
        <w:ind w:left="880"/>
        <w:spacing w:after="0" w:line="234" w:lineRule="auto"/>
        <w:rPr>
          <w:rFonts w:ascii="Arial" w:cs="Arial" w:eastAsia="Arial" w:hAnsi="Arial"/>
          <w:sz w:val="18"/>
          <w:szCs w:val="18"/>
          <w:color w:val="auto"/>
        </w:rPr>
      </w:pPr>
      <w:r>
        <w:rPr>
          <w:rFonts w:ascii="Arial" w:cs="Arial" w:eastAsia="Arial" w:hAnsi="Arial"/>
          <w:sz w:val="18"/>
          <w:szCs w:val="18"/>
          <w:color w:val="auto"/>
        </w:rPr>
        <w:t>in which our first public release of quarterly results following the date of this prospectus occurs, the lock-up agreements will</w:t>
      </w:r>
    </w:p>
    <w:p>
      <w:pPr>
        <w:spacing w:after="0" w:line="203" w:lineRule="exact"/>
        <w:rPr>
          <w:sz w:val="20"/>
          <w:szCs w:val="20"/>
          <w:color w:val="auto"/>
        </w:rPr>
      </w:pPr>
    </w:p>
    <w:p>
      <w:pPr>
        <w:ind w:left="880" w:right="60"/>
        <w:spacing w:after="0" w:line="246" w:lineRule="auto"/>
        <w:rPr>
          <w:sz w:val="20"/>
          <w:szCs w:val="20"/>
          <w:color w:val="auto"/>
        </w:rPr>
      </w:pPr>
      <w:r>
        <w:rPr>
          <w:rFonts w:ascii="Arial" w:cs="Arial" w:eastAsia="Arial" w:hAnsi="Arial"/>
          <w:sz w:val="18"/>
          <w:szCs w:val="18"/>
          <w:color w:val="auto"/>
        </w:rPr>
        <w:t>terminate, and accordingly, an additional shares of our common stock and non-voting common stock will be eligible for sale in the public market.</w:t>
      </w:r>
    </w:p>
    <w:p>
      <w:pPr>
        <w:spacing w:after="0" w:line="156"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Goldman Sachs &amp; Co. LLC may release any of the securities subject to these lock-up agreements at any time, subject to applicable notice requirements.</w:t>
      </w:r>
    </w:p>
    <w:p>
      <w:pPr>
        <w:spacing w:after="0" w:line="156" w:lineRule="exact"/>
        <w:rPr>
          <w:sz w:val="20"/>
          <w:szCs w:val="20"/>
          <w:color w:val="auto"/>
        </w:rPr>
      </w:pPr>
    </w:p>
    <w:p>
      <w:pPr>
        <w:ind w:left="120" w:right="380" w:firstLine="440"/>
        <w:spacing w:after="0"/>
        <w:rPr>
          <w:sz w:val="20"/>
          <w:szCs w:val="20"/>
          <w:color w:val="auto"/>
        </w:rPr>
      </w:pPr>
      <w:r>
        <w:rPr>
          <w:rFonts w:ascii="Arial" w:cs="Arial" w:eastAsia="Arial" w:hAnsi="Arial"/>
          <w:sz w:val="18"/>
          <w:szCs w:val="18"/>
          <w:color w:val="auto"/>
        </w:rPr>
        <w:t>In addition, we have agreed with the underwriters not to sell any shares of our common stock or securities convertible into or exchangeable for shares of our common stock for a period of 180 days after the date of this prospectus, subject to certain exceptions. Goldman Sachs &amp; Co. LLC may, at any time, waive these restrictions.</w:t>
      </w:r>
    </w:p>
    <w:p>
      <w:pPr>
        <w:spacing w:after="0" w:line="17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our securityholders that contain market stand-off provisions imposing restrictions on the ability of such securityholders to offer, sell or transfer our equity securities for a period of 180 days following the date of this prospectus, which restrictions we intend to waive in connection with the lock-up agreements described above.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pacing w:after="0" w:line="198"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 of the number of shares of our common stock and non-voting common stock then outstanding, which will equal</w:t>
      </w:r>
    </w:p>
    <w:p>
      <w:pPr>
        <w:ind w:left="880"/>
        <w:spacing w:after="0"/>
        <w:tabs>
          <w:tab w:leader="none" w:pos="278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immediately after this offering; or</w:t>
      </w:r>
    </w:p>
    <w:p>
      <w:pPr>
        <w:spacing w:after="0" w:line="212" w:lineRule="exact"/>
        <w:rPr>
          <w:sz w:val="20"/>
          <w:szCs w:val="20"/>
          <w:color w:val="auto"/>
        </w:rPr>
      </w:pPr>
    </w:p>
    <w:p>
      <w:pPr>
        <w:ind w:left="880" w:right="80" w:hanging="224"/>
        <w:spacing w:after="0" w:line="246" w:lineRule="auto"/>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9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93"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As soon as practicable after the completion of this offering, we intend to file one or more registration statements on Form S-8 under the Securities Act covering all of the shares of our common stock subject to outstanding options and the shares of common stock reserved for issuance under our equity incentive plans. In addition, we intend to file a registration statement on Form S-8 or such other form as may be required under the Securities Act for the resale of shares of our common stock issued upon the exercise of options that were not granted under Rule 701.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0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and non-voting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titled “Description of Capital Stock—Registration Rights.”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MATERIAL U.S. FEDERAL TAX CONSEQUENCES TO NON-U.S. HOLDERS OF OUR COMMON STOCK</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following is a general discussion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205" w:lineRule="exact"/>
        <w:rPr>
          <w:sz w:val="20"/>
          <w:szCs w:val="20"/>
          <w:color w:val="auto"/>
        </w:rPr>
      </w:pPr>
    </w:p>
    <w:p>
      <w:pPr>
        <w:ind w:left="880" w:hanging="224"/>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11"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estate, the income of which is includable in gross income for U.S. federal income tax purposes regardless of its source; or</w:t>
      </w:r>
    </w:p>
    <w:p>
      <w:pPr>
        <w:spacing w:after="0" w:line="211" w:lineRule="exact"/>
        <w:rPr>
          <w:rFonts w:ascii="Arial" w:cs="Arial" w:eastAsia="Arial" w:hAnsi="Arial"/>
          <w:sz w:val="18"/>
          <w:szCs w:val="18"/>
          <w:color w:val="auto"/>
        </w:rPr>
      </w:pPr>
    </w:p>
    <w:p>
      <w:pPr>
        <w:ind w:left="880" w:right="20" w:hanging="224"/>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62"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This discussion is based on current provisions of the Code, existing, temporary and proposed Treasury Regulations promulgated thereunder, judicial opinions, published positions of the Internal Revenue Service or, the IRS, and other applicable authorities, all of which are subject to change or to differing interpretation, possibly with retroactive effect. This discussion assumes that a non-U.S. holder holds shares of our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w:t>
      </w:r>
    </w:p>
    <w:p>
      <w:pPr>
        <w:spacing w:after="0" w:line="15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b w:val="1"/>
          <w:bCs w:val="1"/>
          <w:color w:val="auto"/>
        </w:rPr>
        <w:t>INVESTORS CONSIDERING THE PURCHASE OF OUR COMMON STOCK SHOULD CONSULT THEIR OWN TAX ADVISORS REGARDING THE APPLICATION OF THE U.S. FEDERAL INCOME AND ESTATE TAX LAWS TO THEIR PARTICULAR SITUATIONS AND THE CONSEQUENCES OF NON-U.S., STATE, OR LOCAL LAWS AND TAX TREATIES.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93"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We do not expect to declare or make any distributions on our common stock in the foreseeable future. If we do pay dividends on shares of our common stock, however, such distributions will</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60"/>
          </w:cols>
          <w:pgMar w:left="320" w:top="459" w:right="5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excess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w:t>
      </w:r>
    </w:p>
    <w:p>
      <w:pPr>
        <w:spacing w:after="0" w:line="17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form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6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a corporate non-U.S. holder that are effectively connected with a U.S. trade or business of the corporate non-U.S. holder may also be subject to a branch profits tax at a rate of 30% or such lower rate as may be specified by an applicable tax treaty.</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Sale or Other Disposition of Common Stock</w:t>
      </w:r>
    </w:p>
    <w:p>
      <w:pPr>
        <w:spacing w:after="0" w:line="207"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Subject to the discussion below under “—Backup Withholding and Information Reporting” and “—Foreign Account Tax Compliance Act,” non-U.S. holders will generally not be subject to U.S. federal income tax on any gains realized on the sale, exchange or other disposition of our common stock unless:</w:t>
      </w:r>
    </w:p>
    <w:p>
      <w:pPr>
        <w:spacing w:after="0" w:line="203" w:lineRule="exact"/>
        <w:rPr>
          <w:sz w:val="20"/>
          <w:szCs w:val="20"/>
          <w:color w:val="auto"/>
        </w:rPr>
      </w:pPr>
    </w:p>
    <w:p>
      <w:pPr>
        <w:ind w:left="880" w:right="140" w:hanging="224"/>
        <w:spacing w:after="0" w:line="238" w:lineRule="auto"/>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204" w:lineRule="exact"/>
        <w:rPr>
          <w:rFonts w:ascii="Arial" w:cs="Arial" w:eastAsia="Arial" w:hAnsi="Arial"/>
          <w:sz w:val="18"/>
          <w:szCs w:val="18"/>
          <w:color w:val="auto"/>
        </w:rPr>
      </w:pPr>
    </w:p>
    <w:p>
      <w:pPr>
        <w:ind w:left="880" w:right="30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80"/>
        <w:spacing w:after="0" w:line="246" w:lineRule="auto"/>
        <w:rPr>
          <w:sz w:val="20"/>
          <w:szCs w:val="20"/>
          <w:color w:val="auto"/>
        </w:rPr>
      </w:pPr>
      <w:r>
        <w:rPr>
          <w:rFonts w:ascii="Arial" w:cs="Arial" w:eastAsia="Arial" w:hAnsi="Arial"/>
          <w:sz w:val="18"/>
          <w:szCs w:val="18"/>
          <w:color w:val="auto"/>
        </w:rPr>
        <w:t>reduced rate as may be specified by an applicable income tax treaty, which may be offset by U.S. source capital losses, even though the individual is not considered a resident of the United States); or</w:t>
      </w:r>
    </w:p>
    <w:p>
      <w:pPr>
        <w:spacing w:after="0" w:line="197" w:lineRule="exact"/>
        <w:rPr>
          <w:sz w:val="20"/>
          <w:szCs w:val="20"/>
          <w:color w:val="auto"/>
        </w:rPr>
      </w:pPr>
    </w:p>
    <w:p>
      <w:pPr>
        <w:ind w:left="880" w:right="60" w:hanging="224"/>
        <w:spacing w:after="0" w:line="246" w:lineRule="auto"/>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rules of the Foreign Investment in Real Property Tax Act, or FIRPTA, treat the gain as effectively connected with a U.S. trade or business.</w:t>
      </w:r>
    </w:p>
    <w:p>
      <w:pPr>
        <w:spacing w:after="0" w:line="170"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67"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07"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must report annually to the IRS and to each non-U.S. holder the amount of dividends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w:t>
      </w:r>
    </w:p>
    <w:p>
      <w:pPr>
        <w:spacing w:after="0" w:line="16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 non-U.S. holder will generally be subject to backup withholding for dividends on our common stock paid to such holder unless such holder certifies under penalties of perjury that, among other things, it is a non-U.S. holder (and the payer does not have actual knowledge or reason to know that such holder is a U.S. person) or otherwise establishes an exemption.</w:t>
      </w:r>
    </w:p>
    <w:p>
      <w:pPr>
        <w:spacing w:after="0" w:line="16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 Tax Compliance Act</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Under the Foreign Account Tax Compliance Act, or FATCA, withholding tax of 30% applies to certain payments to foreign financial institutions, investment funds and certain other non-U.S. persons that fail to comply with certain information reporting and certification requirements pertaining to their direct and indirect U.S. securityholders and/or U.S. account 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w:t>
      </w:r>
    </w:p>
    <w:p>
      <w:pPr>
        <w:spacing w:after="0" w:line="162"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176"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common stock.</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Estate Tax</w:t>
      </w:r>
    </w:p>
    <w:p>
      <w:pPr>
        <w:spacing w:after="0" w:line="19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Common stock we have issued that is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5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7"/>
          <w:szCs w:val="17"/>
          <w:b w:val="1"/>
          <w:bCs w:val="1"/>
          <w:color w:val="auto"/>
        </w:rPr>
        <w:t>PROSPECTIVE INVESTORS SHOULD CONSULT THEIR OWN TAX ADVISORS REGARDING THE POTENTIAL APPLICATION OF WITHHOLDING UNDER FATCA TO THEIR INVESTMENT IN OUR COMMON STOCK. THE PRECEDING DISCUSSION OF U.S. FEDERAL TAX CONSIDERATIONS IS FOR GENERAL INFORMATION PURPOSES ONLY. IT IS NOT TAX ADVICE. EACH PROSPECTIVE INVESTOR SHOULD CONSULT ITS OWN TAX ADVISOR REGARDING THE PARTICULAR U.S. FEDERAL, GIFT, ESTATE, STATE, LOCAL, AND NON-U.S. TAX CONSEQUENCES OF PURCHASING, HOLDING, AND DISPOSING OF OUR COMMON STOCK, INCLUDING THE CONSEQUENCES OF ANY PROPOSED CHANGE IN APPLICABLE LAWS.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0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company and the underwriters named below have entered into an underwriting agreement with respect to the shares being offered. Subject to certain conditions, each underwriter has severally agreed to purchase the number of shares of common stock indicated in the following table. Goldman Sachs &amp; Co. LLC, J.P. Morgan Securities, LLC and Citigroup Global Markets Inc. are the representatives of the underwriters.</w:t>
      </w:r>
    </w:p>
    <w:p>
      <w:pPr>
        <w:spacing w:after="0" w:line="183"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8"/>
          <w:szCs w:val="18"/>
          <w:b w:val="1"/>
          <w:bCs w:val="1"/>
          <w:u w:val="single" w:color="auto"/>
          <w:color w:val="auto"/>
        </w:rPr>
        <w:t>Underwriters</w:t>
      </w:r>
      <w:r>
        <w:rPr>
          <w:sz w:val="20"/>
          <w:szCs w:val="20"/>
          <w:color w:val="auto"/>
        </w:rPr>
        <w:tab/>
      </w:r>
      <w:r>
        <w:rPr>
          <w:rFonts w:ascii="Arial" w:cs="Arial" w:eastAsia="Arial" w:hAnsi="Arial"/>
          <w:sz w:val="18"/>
          <w:szCs w:val="18"/>
          <w:b w:val="1"/>
          <w:bCs w:val="1"/>
          <w:u w:val="single" w:color="auto"/>
          <w:color w:val="auto"/>
        </w:rPr>
        <w:t>Number of Shares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J.P. Morgan Securities, LLC</w:t>
      </w:r>
    </w:p>
    <w:p>
      <w:pPr>
        <w:ind w:left="120"/>
        <w:spacing w:after="0" w:line="234" w:lineRule="auto"/>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-1905</wp:posOffset>
            </wp:positionV>
            <wp:extent cx="9861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05"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15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underwriters have an option to buy up to an additional shares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the</w:t>
      </w:r>
    </w:p>
    <w:tbl>
      <w:tblPr>
        <w:tblLayout w:type="fixed"/>
        <w:tblInd w:w="120" w:type="dxa"/>
        <w:tblCellMar>
          <w:top w:w="0" w:type="dxa"/>
          <w:left w:w="0" w:type="dxa"/>
          <w:bottom w:w="0" w:type="dxa"/>
          <w:right w:w="0" w:type="dxa"/>
        </w:tblCellMar>
      </w:tblPr>
      <w:tr>
        <w:trPr>
          <w:trHeight w:val="203"/>
        </w:trPr>
        <w:tc>
          <w:tcPr>
            <w:tcW w:w="8980" w:type="dxa"/>
            <w:vAlign w:val="bottom"/>
            <w:gridSpan w:val="3"/>
          </w:tcPr>
          <w:p>
            <w:pPr>
              <w:spacing w:after="0" w:line="202" w:lineRule="exact"/>
              <w:rPr>
                <w:sz w:val="20"/>
                <w:szCs w:val="20"/>
                <w:color w:val="auto"/>
              </w:rPr>
            </w:pPr>
            <w:r>
              <w:rPr>
                <w:rFonts w:ascii="Arial" w:cs="Arial" w:eastAsia="Arial" w:hAnsi="Arial"/>
                <w:sz w:val="18"/>
                <w:szCs w:val="18"/>
                <w:color w:val="auto"/>
              </w:rPr>
              <w:t>company. Such amounts are shown assuming both no exercise and full exercise of the underwriters’ option to</w:t>
            </w: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purchase</w:t>
            </w:r>
          </w:p>
        </w:tc>
        <w:tc>
          <w:tcPr>
            <w:tcW w:w="7800" w:type="dxa"/>
            <w:vAlign w:val="bottom"/>
            <w:gridSpan w:val="2"/>
          </w:tcPr>
          <w:p>
            <w:pPr>
              <w:ind w:left="360"/>
              <w:spacing w:after="0"/>
              <w:rPr>
                <w:sz w:val="20"/>
                <w:szCs w:val="20"/>
                <w:color w:val="auto"/>
              </w:rPr>
            </w:pPr>
            <w:r>
              <w:rPr>
                <w:rFonts w:ascii="Arial" w:cs="Arial" w:eastAsia="Arial" w:hAnsi="Arial"/>
                <w:sz w:val="18"/>
                <w:szCs w:val="18"/>
                <w:color w:val="auto"/>
              </w:rPr>
              <w:t>additional shares.</w:t>
            </w: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05"/>
        </w:trPr>
        <w:tc>
          <w:tcPr>
            <w:tcW w:w="11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8"/>
                <w:szCs w:val="18"/>
                <w:b w:val="1"/>
                <w:bCs w:val="1"/>
                <w:color w:val="auto"/>
                <w:w w:val="96"/>
              </w:rPr>
              <w:t>No Exercise</w:t>
            </w:r>
          </w:p>
        </w:tc>
        <w:tc>
          <w:tcPr>
            <w:tcW w:w="8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Full Exercise</w:t>
            </w:r>
          </w:p>
        </w:tc>
      </w:tr>
      <w:tr>
        <w:trPr>
          <w:trHeight w:val="196"/>
        </w:trPr>
        <w:tc>
          <w:tcPr>
            <w:tcW w:w="1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67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Total</w:t>
            </w:r>
          </w:p>
        </w:tc>
        <w:tc>
          <w:tcPr>
            <w:tcW w:w="7800" w:type="dxa"/>
            <w:vAlign w:val="bottom"/>
            <w:gridSpan w:val="2"/>
          </w:tcPr>
          <w:p>
            <w:pPr>
              <w:ind w:left="67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1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jc w:val="both"/>
        <w:ind w:left="120" w:right="300"/>
        <w:spacing w:after="0" w:line="238"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64"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The company and its officers, directors, and holders of substantially all of the company’s common stock and non-voting common stock have agreed with the underwriters, subject to certain exceptions, not to dispose of or hedge any of their common stock or securities convertible into or exchangeable for shares of common stock (including our non-voting common stock) during the period from the date of this prospectus continuing through the date 180 days after the date of this prospectus, except with the prior written consent of Goldman Sachs &amp; Co. LLC, subject to certain exceptions and possible early lock up releases. See the section titled “Shares Available for Future Sale” for a discussion of certain transfer restrictions and possible early lock up releases.</w:t>
      </w:r>
    </w:p>
    <w:p>
      <w:pPr>
        <w:spacing w:after="0" w:line="178"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Prior to the offering, there has been no public market for the shares of our common stock.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The Nasdaq Global Market under the symbol “FLYW.”</w:t>
      </w:r>
    </w:p>
    <w:p>
      <w:pPr>
        <w:spacing w:after="0" w:line="185" w:lineRule="exact"/>
        <w:rPr>
          <w:sz w:val="20"/>
          <w:szCs w:val="20"/>
          <w:color w:val="auto"/>
        </w:rPr>
      </w:pPr>
    </w:p>
    <w:p>
      <w:pPr>
        <w:ind w:left="120" w:right="60" w:firstLine="440"/>
        <w:spacing w:after="0" w:line="235"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3"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w:t>
      </w:r>
    </w:p>
    <w:p>
      <w:pPr>
        <w:ind w:left="120"/>
        <w:spacing w:after="0"/>
        <w:tabs>
          <w:tab w:leader="none" w:pos="22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million. We have agreed to reimburse the underwriters for certain of their expenses in an amount up to</w:t>
      </w:r>
    </w:p>
    <w:p>
      <w:pPr>
        <w:spacing w:after="0" w:line="1" w:lineRule="exact"/>
        <w:rPr>
          <w:sz w:val="20"/>
          <w:szCs w:val="20"/>
          <w:color w:val="auto"/>
        </w:rPr>
      </w:pPr>
    </w:p>
    <w:p>
      <w:pPr>
        <w:ind w:left="1060" w:hanging="944"/>
        <w:spacing w:after="0"/>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15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459"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1"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64"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Sales of shares made outside of the United States, or the US, may be made by affiliates of the underwriters. Other than in the US,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relation to each Member State of the European Economic Area (each a Member State), no common shares (the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205"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07" w:lineRule="exact"/>
        <w:rPr>
          <w:rFonts w:ascii="Arial" w:cs="Arial" w:eastAsia="Arial" w:hAnsi="Arial"/>
          <w:sz w:val="18"/>
          <w:szCs w:val="18"/>
          <w:color w:val="auto"/>
        </w:rPr>
      </w:pPr>
    </w:p>
    <w:p>
      <w:pPr>
        <w:ind w:left="1300" w:hanging="64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w:t>
      </w:r>
    </w:p>
    <w:p>
      <w:pPr>
        <w:ind w:left="1300"/>
        <w:spacing w:after="0"/>
        <w:tabs>
          <w:tab w:leader="none" w:pos="5980" w:val="left"/>
        </w:tabs>
        <w:rPr>
          <w:sz w:val="20"/>
          <w:szCs w:val="20"/>
          <w:color w:val="auto"/>
        </w:rPr>
      </w:pPr>
      <w:r>
        <w:rPr>
          <w:rFonts w:ascii="Arial" w:cs="Arial" w:eastAsia="Arial" w:hAnsi="Arial"/>
          <w:sz w:val="18"/>
          <w:szCs w:val="18"/>
          <w:color w:val="auto"/>
        </w:rPr>
        <w:t>subject to obtaining the prior consent of the</w:t>
      </w:r>
      <w:r>
        <w:rPr>
          <w:sz w:val="20"/>
          <w:szCs w:val="20"/>
          <w:color w:val="auto"/>
        </w:rPr>
        <w:tab/>
      </w:r>
      <w:r>
        <w:rPr>
          <w:rFonts w:ascii="Arial" w:cs="Arial" w:eastAsia="Arial" w:hAnsi="Arial"/>
          <w:sz w:val="17"/>
          <w:szCs w:val="17"/>
          <w:color w:val="auto"/>
        </w:rPr>
        <w:t>for any such offer; or</w:t>
      </w:r>
    </w:p>
    <w:p>
      <w:pPr>
        <w:spacing w:after="0" w:line="212" w:lineRule="exact"/>
        <w:rPr>
          <w:sz w:val="20"/>
          <w:szCs w:val="20"/>
          <w:color w:val="auto"/>
        </w:rPr>
      </w:pPr>
    </w:p>
    <w:p>
      <w:pPr>
        <w:ind w:left="1300" w:hanging="644"/>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provided that no such offer of Shares shall require the company or any to publish a prospectus pursuant to Article 3 of the Prospectus Regulation or supplement a prospectus pursuant to Article 23 of the Prospectus Regulation.</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212" w:lineRule="exact"/>
        <w:rPr>
          <w:sz w:val="20"/>
          <w:szCs w:val="20"/>
          <w:color w:val="auto"/>
        </w:rPr>
      </w:pPr>
    </w:p>
    <w:p>
      <w:pPr>
        <w:ind w:left="1300" w:right="280" w:hanging="644"/>
        <w:spacing w:after="0" w:line="238"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in circumstances in which Section 21(1) of the FSMA does not apply to the company; and</w:t>
      </w:r>
    </w:p>
    <w:p>
      <w:pPr>
        <w:spacing w:after="0" w:line="204" w:lineRule="exact"/>
        <w:rPr>
          <w:rFonts w:ascii="Arial" w:cs="Arial" w:eastAsia="Arial" w:hAnsi="Arial"/>
          <w:sz w:val="18"/>
          <w:szCs w:val="18"/>
          <w:color w:val="auto"/>
        </w:rPr>
      </w:pPr>
    </w:p>
    <w:p>
      <w:pPr>
        <w:ind w:left="1300" w:right="180" w:hanging="644"/>
        <w:spacing w:after="0" w:line="246"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20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62"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Hong Kong</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Singapore</w:t>
      </w:r>
    </w:p>
    <w:p>
      <w:pPr>
        <w:spacing w:after="0" w:line="19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7"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0"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Japan</w:t>
      </w:r>
    </w:p>
    <w:p>
      <w:pPr>
        <w:spacing w:after="0" w:line="193"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0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validity of the shares of our common stock offered in this prospectus will be passed upon for us by Gunderson Dettmer Stough Villeneuve Franklin &amp; Hachigian, LLP, Boston, Massachusetts. Goodwin Procter LLP, Boston, Massachusetts, has acted as counsel for the underwriters in connection with this offering.</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193"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The financial statements of Flywire Corporation as of December 31, 2019 and 2020 and for each of the two years in the period ended December 31, 2020 included in this Prospectus have been so included in reliance on the report of PricewaterhouseCoopers LLP, an independent registered public accounting firm, given on the authority of said firm as experts in auditing and accounting.</w:t>
      </w:r>
    </w:p>
    <w:p>
      <w:pPr>
        <w:spacing w:after="0" w:line="176"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 consolidated financial statements of Simplificare, Inc. at December 31, 2019 and 2018 and for each of the two years included in this prospectus and registration statement have been audited by Kost Forer Gabbay &amp; Kasierer A Member of Ernst &amp; Young Global, independent registered public accounting firm, as set forth in their report thereon (which contains an explanatory paragraph describing conditions that raise substantial doubt about Simplificare, Inc.’s ability to continue as a going concern as described in Note 1 to the consolidated financial statements) appearing elsewhere herein, and are included in reliance upon such report given on the authority of such firm as experts in accounting and auditing.</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completion of this offering, we will be required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www.sec.gov. A copy of the registration statement and the exhibits filed therewith may be accessed at the SEC website.</w:t>
      </w:r>
    </w:p>
    <w:p>
      <w:pPr>
        <w:spacing w:after="0" w:line="16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We also maintain a website at </w:t>
      </w:r>
      <w:r>
        <w:rPr>
          <w:rFonts w:ascii="Arial" w:cs="Arial" w:eastAsia="Arial" w:hAnsi="Arial"/>
          <w:sz w:val="17"/>
          <w:szCs w:val="17"/>
          <w:i w:val="1"/>
          <w:iCs w:val="1"/>
          <w:color w:val="auto"/>
        </w:rPr>
        <w:t>www.flywire.com</w:t>
      </w:r>
      <w:r>
        <w:rPr>
          <w:rFonts w:ascii="Arial" w:cs="Arial" w:eastAsia="Arial" w:hAnsi="Arial"/>
          <w:sz w:val="17"/>
          <w:szCs w:val="17"/>
          <w:color w:val="auto"/>
        </w:rPr>
        <w:t>. Upon completion of this offering, you may access these materials at our website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9" w:right="47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07"/>
        </w:trPr>
        <w:tc>
          <w:tcPr>
            <w:tcW w:w="10460" w:type="dxa"/>
            <w:vAlign w:val="bottom"/>
            <w:gridSpan w:val="23"/>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Table of Contents</w:t>
              </w:r>
            </w:hyperlink>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40" w:type="dxa"/>
            <w:vAlign w:val="bottom"/>
            <w:gridSpan w:val="14"/>
          </w:tcPr>
          <w:p>
            <w:pPr>
              <w:jc w:val="center"/>
              <w:ind w:right="2840"/>
              <w:spacing w:after="0"/>
              <w:rPr>
                <w:sz w:val="20"/>
                <w:szCs w:val="20"/>
                <w:color w:val="auto"/>
              </w:rPr>
            </w:pPr>
            <w:r>
              <w:rPr>
                <w:rFonts w:ascii="Arial" w:cs="Arial" w:eastAsia="Arial" w:hAnsi="Arial"/>
                <w:sz w:val="18"/>
                <w:szCs w:val="18"/>
                <w:b w:val="1"/>
                <w:bCs w:val="1"/>
                <w:color w:val="auto"/>
                <w:w w:val="99"/>
              </w:rPr>
              <w:t>INDEX TO FINANCIAL STATEMENTS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10340" w:type="dxa"/>
            <w:vAlign w:val="bottom"/>
            <w:gridSpan w:val="22"/>
            <w:vMerge w:val="restart"/>
          </w:tcPr>
          <w:p>
            <w:pPr>
              <w:spacing w:after="0"/>
              <w:rPr>
                <w:sz w:val="20"/>
                <w:szCs w:val="20"/>
                <w:color w:val="auto"/>
              </w:rPr>
            </w:pPr>
            <w:r>
              <w:rPr>
                <w:rFonts w:ascii="Arial" w:cs="Arial" w:eastAsia="Arial" w:hAnsi="Arial"/>
                <w:sz w:val="18"/>
                <w:szCs w:val="18"/>
                <w:b w:val="1"/>
                <w:bCs w:val="1"/>
                <w:color w:val="auto"/>
              </w:rPr>
              <w:t>FLYWIRE AUDITED CONSOLIDATED FINANCIAL STATEMENTS AS OF AND FOR THE YEARS ENDED DECEMBER 31,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0340" w:type="dxa"/>
            <w:vAlign w:val="bottom"/>
            <w:gridSpan w:val="22"/>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0" w:type="dxa"/>
            <w:vAlign w:val="bottom"/>
            <w:tcBorders>
              <w:top w:val="single" w:sz="8" w:color="auto"/>
            </w:tcBorders>
            <w:gridSpan w:val="19"/>
          </w:tcPr>
          <w:p>
            <w:pPr>
              <w:spacing w:after="0" w:line="182" w:lineRule="exact"/>
              <w:rPr>
                <w:sz w:val="20"/>
                <w:szCs w:val="20"/>
                <w:color w:val="auto"/>
              </w:rPr>
            </w:pPr>
            <w:r>
              <w:rPr>
                <w:rFonts w:ascii="Arial" w:cs="Arial" w:eastAsia="Arial" w:hAnsi="Arial"/>
                <w:sz w:val="18"/>
                <w:szCs w:val="18"/>
                <w:b w:val="1"/>
                <w:bCs w:val="1"/>
                <w:color w:val="auto"/>
              </w:rPr>
              <w:t>2019 AND 2020</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60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194">
              <w:r>
                <w:rPr>
                  <w:rFonts w:ascii="Arial" w:cs="Arial" w:eastAsia="Arial" w:hAnsi="Arial"/>
                  <w:sz w:val="18"/>
                  <w:szCs w:val="18"/>
                  <w:color w:val="0000EE"/>
                  <w:w w:val="99"/>
                </w:rPr>
                <w:t>Report of Independent Registered Public Accounting Firm</w:t>
              </w:r>
            </w:hyperlink>
          </w:p>
        </w:tc>
        <w:tc>
          <w:tcPr>
            <w:tcW w:w="5740" w:type="dxa"/>
            <w:vAlign w:val="bottom"/>
            <w:gridSpan w:val="1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236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195">
              <w:r>
                <w:rPr>
                  <w:rFonts w:ascii="Arial" w:cs="Arial" w:eastAsia="Arial" w:hAnsi="Arial"/>
                  <w:sz w:val="18"/>
                  <w:szCs w:val="18"/>
                  <w:color w:val="0000EE"/>
                  <w:w w:val="99"/>
                </w:rPr>
                <w:t>Consolidated Balance Sheets</w:t>
              </w:r>
            </w:hyperlink>
          </w:p>
        </w:tc>
        <w:tc>
          <w:tcPr>
            <w:tcW w:w="7980" w:type="dxa"/>
            <w:vAlign w:val="bottom"/>
            <w:gridSpan w:val="17"/>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340" w:type="dxa"/>
            <w:vAlign w:val="bottom"/>
            <w:gridSpan w:val="22"/>
          </w:tcPr>
          <w:p>
            <w:pPr>
              <w:spacing w:after="0" w:line="182" w:lineRule="exact"/>
              <w:rPr>
                <w:rFonts w:ascii="Arial" w:cs="Arial" w:eastAsia="Arial" w:hAnsi="Arial"/>
                <w:sz w:val="18"/>
                <w:szCs w:val="18"/>
                <w:color w:val="0000EE"/>
              </w:rPr>
            </w:pPr>
            <w:hyperlink w:anchor="page197">
              <w:r>
                <w:rPr>
                  <w:rFonts w:ascii="Arial" w:cs="Arial" w:eastAsia="Arial" w:hAnsi="Arial"/>
                  <w:sz w:val="18"/>
                  <w:szCs w:val="18"/>
                  <w:color w:val="0000EE"/>
                </w:rPr>
                <w:t>Consolidated Statements of Operations and Comprehensive Loss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988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198">
              <w:r>
                <w:rPr>
                  <w:rFonts w:ascii="Arial" w:cs="Arial" w:eastAsia="Arial" w:hAnsi="Arial"/>
                  <w:sz w:val="18"/>
                  <w:szCs w:val="18"/>
                  <w:color w:val="0000EE"/>
                  <w:w w:val="99"/>
                </w:rPr>
                <w:t>Consolidated Statements of Convertible Preferred Stock, Redeemable Convertible Preferred Stock and Stockholders’ Deficit</w:t>
              </w:r>
            </w:hyperlink>
          </w:p>
        </w:tc>
        <w:tc>
          <w:tcPr>
            <w:tcW w:w="460" w:type="dxa"/>
            <w:vAlign w:val="bottom"/>
            <w:gridSpan w:val="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20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199">
              <w:r>
                <w:rPr>
                  <w:rFonts w:ascii="Arial" w:cs="Arial" w:eastAsia="Arial" w:hAnsi="Arial"/>
                  <w:sz w:val="18"/>
                  <w:szCs w:val="18"/>
                  <w:color w:val="0000EE"/>
                  <w:w w:val="99"/>
                </w:rPr>
                <w:t>Consolidated Statements of Cash Flows</w:t>
              </w:r>
            </w:hyperlink>
          </w:p>
        </w:tc>
        <w:tc>
          <w:tcPr>
            <w:tcW w:w="7140" w:type="dxa"/>
            <w:vAlign w:val="bottom"/>
            <w:gridSpan w:val="15"/>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50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201">
              <w:r>
                <w:rPr>
                  <w:rFonts w:ascii="Arial" w:cs="Arial" w:eastAsia="Arial" w:hAnsi="Arial"/>
                  <w:sz w:val="18"/>
                  <w:szCs w:val="18"/>
                  <w:color w:val="0000EE"/>
                  <w:w w:val="99"/>
                </w:rPr>
                <w:t>Notes to Consolidated Financial Statements</w:t>
              </w:r>
            </w:hyperlink>
          </w:p>
        </w:tc>
        <w:tc>
          <w:tcPr>
            <w:tcW w:w="6840" w:type="dxa"/>
            <w:vAlign w:val="bottom"/>
            <w:gridSpan w:val="1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95"/>
        </w:trPr>
        <w:tc>
          <w:tcPr>
            <w:tcW w:w="120" w:type="dxa"/>
            <w:vAlign w:val="bottom"/>
          </w:tcPr>
          <w:p>
            <w:pPr>
              <w:spacing w:after="0"/>
              <w:rPr>
                <w:sz w:val="24"/>
                <w:szCs w:val="24"/>
                <w:color w:val="auto"/>
              </w:rPr>
            </w:pPr>
          </w:p>
        </w:tc>
        <w:tc>
          <w:tcPr>
            <w:tcW w:w="10340" w:type="dxa"/>
            <w:vAlign w:val="bottom"/>
            <w:gridSpan w:val="22"/>
          </w:tcPr>
          <w:p>
            <w:pPr>
              <w:spacing w:after="0"/>
              <w:rPr>
                <w:sz w:val="20"/>
                <w:szCs w:val="20"/>
                <w:color w:val="auto"/>
              </w:rPr>
            </w:pPr>
            <w:r>
              <w:rPr>
                <w:rFonts w:ascii="Arial" w:cs="Arial" w:eastAsia="Arial" w:hAnsi="Arial"/>
                <w:sz w:val="18"/>
                <w:szCs w:val="18"/>
                <w:b w:val="1"/>
                <w:bCs w:val="1"/>
                <w:color w:val="auto"/>
              </w:rPr>
              <w:t>FLYWIRE UNAUDITED CONDENSED CONSOLIDATED FINANCIAL STATEMENTS AS OF AND FOR THE THREE MONTHS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160" w:type="dxa"/>
            <w:vAlign w:val="bottom"/>
            <w:gridSpan w:val="21"/>
          </w:tcPr>
          <w:p>
            <w:pPr>
              <w:spacing w:after="0"/>
              <w:rPr>
                <w:sz w:val="20"/>
                <w:szCs w:val="20"/>
                <w:color w:val="auto"/>
              </w:rPr>
            </w:pPr>
            <w:r>
              <w:rPr>
                <w:rFonts w:ascii="Arial" w:cs="Arial" w:eastAsia="Arial" w:hAnsi="Arial"/>
                <w:sz w:val="18"/>
                <w:szCs w:val="18"/>
                <w:b w:val="1"/>
                <w:bCs w:val="1"/>
                <w:color w:val="auto"/>
              </w:rPr>
              <w:t>ENDED MARCH 31, 2020 AND 2021</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4200" w:type="dxa"/>
            <w:vAlign w:val="bottom"/>
            <w:tcBorders>
              <w:bottom w:val="single" w:sz="8" w:color="0000EE"/>
            </w:tcBorders>
            <w:gridSpan w:val="9"/>
          </w:tcPr>
          <w:p>
            <w:pPr>
              <w:spacing w:after="0" w:line="176" w:lineRule="exact"/>
              <w:rPr>
                <w:rFonts w:ascii="Arial" w:cs="Arial" w:eastAsia="Arial" w:hAnsi="Arial"/>
                <w:sz w:val="18"/>
                <w:szCs w:val="18"/>
                <w:color w:val="0000EE"/>
                <w:w w:val="99"/>
              </w:rPr>
            </w:pPr>
            <w:hyperlink w:anchor="page243">
              <w:r>
                <w:rPr>
                  <w:rFonts w:ascii="Arial" w:cs="Arial" w:eastAsia="Arial" w:hAnsi="Arial"/>
                  <w:sz w:val="18"/>
                  <w:szCs w:val="18"/>
                  <w:color w:val="0000EE"/>
                  <w:w w:val="99"/>
                </w:rPr>
                <w:t>Unaudited Condensed Consolidated Balance Sheets</w:t>
              </w:r>
            </w:hyperlink>
          </w:p>
        </w:tc>
        <w:tc>
          <w:tcPr>
            <w:tcW w:w="6140" w:type="dxa"/>
            <w:vAlign w:val="bottom"/>
            <w:gridSpan w:val="13"/>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340" w:type="dxa"/>
            <w:vAlign w:val="bottom"/>
            <w:gridSpan w:val="22"/>
          </w:tcPr>
          <w:p>
            <w:pPr>
              <w:spacing w:after="0" w:line="182" w:lineRule="exact"/>
              <w:rPr>
                <w:rFonts w:ascii="Arial" w:cs="Arial" w:eastAsia="Arial" w:hAnsi="Arial"/>
                <w:sz w:val="18"/>
                <w:szCs w:val="18"/>
                <w:color w:val="0000EE"/>
              </w:rPr>
            </w:pPr>
            <w:hyperlink w:anchor="page245">
              <w:r>
                <w:rPr>
                  <w:rFonts w:ascii="Arial" w:cs="Arial" w:eastAsia="Arial" w:hAnsi="Arial"/>
                  <w:sz w:val="18"/>
                  <w:szCs w:val="18"/>
                  <w:color w:val="0000EE"/>
                </w:rPr>
                <w:t>Unaudited Condensed Consolidated Statements of Operations and Comprehensive Loss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F-53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340" w:type="dxa"/>
            <w:vAlign w:val="bottom"/>
            <w:gridSpan w:val="22"/>
          </w:tcPr>
          <w:p>
            <w:pPr>
              <w:spacing w:after="0"/>
              <w:rPr>
                <w:sz w:val="20"/>
                <w:szCs w:val="20"/>
                <w:color w:val="auto"/>
              </w:rPr>
            </w:pPr>
            <w:r>
              <w:rPr>
                <w:rFonts w:ascii="Arial" w:cs="Arial" w:eastAsia="Arial" w:hAnsi="Arial"/>
                <w:sz w:val="18"/>
                <w:szCs w:val="18"/>
                <w:color w:val="auto"/>
              </w:rPr>
              <w:t>Unaudited Condensed Consolidated Statements of Convertible Preferred Stock, Redeemable Convertible Preferred Stock and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60" w:type="dxa"/>
            <w:vAlign w:val="bottom"/>
            <w:gridSpan w:val="21"/>
          </w:tcPr>
          <w:p>
            <w:pPr>
              <w:spacing w:after="0" w:line="202" w:lineRule="exact"/>
              <w:rPr>
                <w:sz w:val="20"/>
                <w:szCs w:val="20"/>
                <w:color w:val="auto"/>
              </w:rPr>
            </w:pPr>
            <w:r>
              <w:rPr>
                <w:rFonts w:ascii="Arial" w:cs="Arial" w:eastAsia="Arial" w:hAnsi="Arial"/>
                <w:sz w:val="18"/>
                <w:szCs w:val="18"/>
                <w:color w:val="auto"/>
              </w:rPr>
              <w:t>Stockholders’ Deficit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F-54</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0340" w:type="dxa"/>
            <w:vAlign w:val="bottom"/>
            <w:gridSpan w:val="22"/>
          </w:tcPr>
          <w:p>
            <w:pPr>
              <w:spacing w:after="0" w:line="176" w:lineRule="exact"/>
              <w:rPr>
                <w:rFonts w:ascii="Arial" w:cs="Arial" w:eastAsia="Arial" w:hAnsi="Arial"/>
                <w:sz w:val="18"/>
                <w:szCs w:val="18"/>
                <w:color w:val="0000EE"/>
              </w:rPr>
            </w:pPr>
            <w:hyperlink w:anchor="page247">
              <w:r>
                <w:rPr>
                  <w:rFonts w:ascii="Arial" w:cs="Arial" w:eastAsia="Arial" w:hAnsi="Arial"/>
                  <w:sz w:val="18"/>
                  <w:szCs w:val="18"/>
                  <w:color w:val="0000EE"/>
                </w:rPr>
                <w:t>Unaudited Condensed Consolidated Statement of Cash Flows</w:t>
              </w:r>
            </w:hyperlink>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F-55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53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249">
              <w:r>
                <w:rPr>
                  <w:rFonts w:ascii="Arial" w:cs="Arial" w:eastAsia="Arial" w:hAnsi="Arial"/>
                  <w:sz w:val="18"/>
                  <w:szCs w:val="18"/>
                  <w:color w:val="0000EE"/>
                  <w:w w:val="99"/>
                </w:rPr>
                <w:t>Notes to Unaudited Condensed Consolidated Financial Statements</w:t>
              </w:r>
            </w:hyperlink>
          </w:p>
        </w:tc>
        <w:tc>
          <w:tcPr>
            <w:tcW w:w="5000" w:type="dxa"/>
            <w:vAlign w:val="bottom"/>
            <w:gridSpan w:val="9"/>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F-57</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10340" w:type="dxa"/>
            <w:vAlign w:val="bottom"/>
            <w:gridSpan w:val="22"/>
          </w:tcPr>
          <w:p>
            <w:pPr>
              <w:spacing w:after="0"/>
              <w:rPr>
                <w:sz w:val="20"/>
                <w:szCs w:val="20"/>
                <w:color w:val="auto"/>
              </w:rPr>
            </w:pPr>
            <w:r>
              <w:rPr>
                <w:rFonts w:ascii="Arial" w:cs="Arial" w:eastAsia="Arial" w:hAnsi="Arial"/>
                <w:sz w:val="18"/>
                <w:szCs w:val="18"/>
                <w:b w:val="1"/>
                <w:bCs w:val="1"/>
                <w:color w:val="auto"/>
              </w:rPr>
              <w:t>SIMPLIFICARE INC. CONSOLIDATED FINANCIAL STATEMENTS AS OF AND FOR THE YEAR ENDED DECEMBER 31,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580" w:type="dxa"/>
            <w:vAlign w:val="bottom"/>
            <w:tcBorders>
              <w:top w:val="single" w:sz="8" w:color="auto"/>
            </w:tcBorders>
            <w:gridSpan w:val="2"/>
          </w:tcPr>
          <w:p>
            <w:pPr>
              <w:ind w:left="180"/>
              <w:spacing w:after="0" w:line="182" w:lineRule="exact"/>
              <w:rPr>
                <w:sz w:val="20"/>
                <w:szCs w:val="20"/>
                <w:color w:val="auto"/>
              </w:rPr>
            </w:pPr>
            <w:r>
              <w:rPr>
                <w:rFonts w:ascii="Arial" w:cs="Arial" w:eastAsia="Arial" w:hAnsi="Arial"/>
                <w:sz w:val="18"/>
                <w:szCs w:val="18"/>
                <w:b w:val="1"/>
                <w:bCs w:val="1"/>
                <w:color w:val="auto"/>
                <w:w w:val="94"/>
              </w:rPr>
              <w:t>2019</w:t>
            </w: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250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278">
              <w:r>
                <w:rPr>
                  <w:rFonts w:ascii="Arial" w:cs="Arial" w:eastAsia="Arial" w:hAnsi="Arial"/>
                  <w:sz w:val="18"/>
                  <w:szCs w:val="18"/>
                  <w:color w:val="0000EE"/>
                  <w:w w:val="99"/>
                </w:rPr>
                <w:t>Report of Independent Auditors</w:t>
              </w:r>
            </w:hyperlink>
          </w:p>
        </w:tc>
        <w:tc>
          <w:tcPr>
            <w:tcW w:w="7840" w:type="dxa"/>
            <w:vAlign w:val="bottom"/>
            <w:gridSpan w:val="1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F-86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36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280">
              <w:r>
                <w:rPr>
                  <w:rFonts w:ascii="Arial" w:cs="Arial" w:eastAsia="Arial" w:hAnsi="Arial"/>
                  <w:sz w:val="18"/>
                  <w:szCs w:val="18"/>
                  <w:color w:val="0000EE"/>
                  <w:w w:val="99"/>
                </w:rPr>
                <w:t>Consolidated Balance Sheets</w:t>
              </w:r>
            </w:hyperlink>
          </w:p>
        </w:tc>
        <w:tc>
          <w:tcPr>
            <w:tcW w:w="7980" w:type="dxa"/>
            <w:vAlign w:val="bottom"/>
            <w:gridSpan w:val="17"/>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F-88</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340" w:type="dxa"/>
            <w:vAlign w:val="bottom"/>
            <w:gridSpan w:val="22"/>
          </w:tcPr>
          <w:p>
            <w:pPr>
              <w:spacing w:after="0" w:line="182" w:lineRule="exact"/>
              <w:rPr>
                <w:rFonts w:ascii="Arial" w:cs="Arial" w:eastAsia="Arial" w:hAnsi="Arial"/>
                <w:sz w:val="18"/>
                <w:szCs w:val="18"/>
                <w:color w:val="0000EE"/>
              </w:rPr>
            </w:pPr>
            <w:hyperlink w:anchor="page282">
              <w:r>
                <w:rPr>
                  <w:rFonts w:ascii="Arial" w:cs="Arial" w:eastAsia="Arial" w:hAnsi="Arial"/>
                  <w:sz w:val="18"/>
                  <w:szCs w:val="18"/>
                  <w:color w:val="0000EE"/>
                </w:rPr>
                <w:t>Consolidated Statements of Operations and Comprehensive Loss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F-90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40" w:type="dxa"/>
            <w:vAlign w:val="bottom"/>
            <w:gridSpan w:val="10"/>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340" w:type="dxa"/>
            <w:vAlign w:val="bottom"/>
            <w:gridSpan w:val="22"/>
          </w:tcPr>
          <w:p>
            <w:pPr>
              <w:spacing w:after="0" w:line="182" w:lineRule="exact"/>
              <w:rPr>
                <w:rFonts w:ascii="Arial" w:cs="Arial" w:eastAsia="Arial" w:hAnsi="Arial"/>
                <w:sz w:val="18"/>
                <w:szCs w:val="18"/>
                <w:color w:val="0000EE"/>
              </w:rPr>
            </w:pPr>
            <w:hyperlink w:anchor="page283">
              <w:r>
                <w:rPr>
                  <w:rFonts w:ascii="Arial" w:cs="Arial" w:eastAsia="Arial" w:hAnsi="Arial"/>
                  <w:sz w:val="18"/>
                  <w:szCs w:val="18"/>
                  <w:color w:val="0000EE"/>
                </w:rPr>
                <w:t>Consolidated Statements of Convertible Preferred Stocks and Stockholders’ Deficit</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F-91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2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284">
              <w:r>
                <w:rPr>
                  <w:rFonts w:ascii="Arial" w:cs="Arial" w:eastAsia="Arial" w:hAnsi="Arial"/>
                  <w:sz w:val="18"/>
                  <w:szCs w:val="18"/>
                  <w:color w:val="0000EE"/>
                  <w:w w:val="99"/>
                </w:rPr>
                <w:t>Consolidated Statements of Cash Flows</w:t>
              </w:r>
            </w:hyperlink>
          </w:p>
        </w:tc>
        <w:tc>
          <w:tcPr>
            <w:tcW w:w="3380" w:type="dxa"/>
            <w:vAlign w:val="bottom"/>
            <w:tcBorders>
              <w:top w:val="single" w:sz="8" w:color="0000EE"/>
            </w:tcBorders>
            <w:gridSpan w:val="9"/>
          </w:tcPr>
          <w:p>
            <w:pPr>
              <w:spacing w:after="0"/>
              <w:rPr>
                <w:sz w:val="15"/>
                <w:szCs w:val="15"/>
                <w:color w:val="auto"/>
              </w:rPr>
            </w:pPr>
          </w:p>
        </w:tc>
        <w:tc>
          <w:tcPr>
            <w:tcW w:w="3760" w:type="dxa"/>
            <w:vAlign w:val="bottom"/>
            <w:gridSpan w:val="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F-92</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50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285">
              <w:r>
                <w:rPr>
                  <w:rFonts w:ascii="Arial" w:cs="Arial" w:eastAsia="Arial" w:hAnsi="Arial"/>
                  <w:sz w:val="18"/>
                  <w:szCs w:val="18"/>
                  <w:color w:val="0000EE"/>
                  <w:w w:val="99"/>
                </w:rPr>
                <w:t>Notes to Consolidated Financial Statements</w:t>
              </w:r>
            </w:hyperlink>
          </w:p>
        </w:tc>
        <w:tc>
          <w:tcPr>
            <w:tcW w:w="6840" w:type="dxa"/>
            <w:vAlign w:val="bottom"/>
            <w:gridSpan w:val="1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F-93</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10340" w:type="dxa"/>
            <w:vAlign w:val="bottom"/>
            <w:gridSpan w:val="22"/>
          </w:tcPr>
          <w:p>
            <w:pPr>
              <w:spacing w:after="0"/>
              <w:rPr>
                <w:sz w:val="20"/>
                <w:szCs w:val="20"/>
                <w:color w:val="auto"/>
              </w:rPr>
            </w:pPr>
            <w:r>
              <w:rPr>
                <w:rFonts w:ascii="Arial" w:cs="Arial" w:eastAsia="Arial" w:hAnsi="Arial"/>
                <w:sz w:val="18"/>
                <w:szCs w:val="18"/>
                <w:b w:val="1"/>
                <w:bCs w:val="1"/>
                <w:color w:val="auto"/>
              </w:rPr>
              <w:t>UNAUDITED PRO FORMA CONDENSED COMBINED FINANCIAL STATEMENT FOR THE YEAR ENDED DECEMBER 31,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580" w:type="dxa"/>
            <w:vAlign w:val="bottom"/>
            <w:tcBorders>
              <w:top w:val="single" w:sz="8" w:color="auto"/>
            </w:tcBorders>
            <w:gridSpan w:val="2"/>
          </w:tcPr>
          <w:p>
            <w:pPr>
              <w:ind w:left="180"/>
              <w:spacing w:after="0" w:line="182" w:lineRule="exact"/>
              <w:rPr>
                <w:sz w:val="20"/>
                <w:szCs w:val="20"/>
                <w:color w:val="auto"/>
              </w:rPr>
            </w:pPr>
            <w:r>
              <w:rPr>
                <w:rFonts w:ascii="Arial" w:cs="Arial" w:eastAsia="Arial" w:hAnsi="Arial"/>
                <w:sz w:val="18"/>
                <w:szCs w:val="18"/>
                <w:b w:val="1"/>
                <w:bCs w:val="1"/>
                <w:color w:val="auto"/>
                <w:w w:val="94"/>
              </w:rPr>
              <w:t>2020</w:t>
            </w: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98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556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311">
              <w:r>
                <w:rPr>
                  <w:rFonts w:ascii="Arial" w:cs="Arial" w:eastAsia="Arial" w:hAnsi="Arial"/>
                  <w:sz w:val="18"/>
                  <w:szCs w:val="18"/>
                  <w:color w:val="0000EE"/>
                  <w:w w:val="99"/>
                </w:rPr>
                <w:t>Unaudited Pro Forma Condensed Combined Statement of Operations</w:t>
              </w:r>
            </w:hyperlink>
          </w:p>
        </w:tc>
        <w:tc>
          <w:tcPr>
            <w:tcW w:w="4780" w:type="dxa"/>
            <w:vAlign w:val="bottom"/>
            <w:gridSpan w:val="8"/>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F-119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2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312">
              <w:r>
                <w:rPr>
                  <w:rFonts w:ascii="Arial" w:cs="Arial" w:eastAsia="Arial" w:hAnsi="Arial"/>
                  <w:sz w:val="18"/>
                  <w:szCs w:val="18"/>
                  <w:color w:val="0000EE"/>
                  <w:w w:val="99"/>
                </w:rPr>
                <w:t>Notes to Unaudited Pro Forma Condensed Combined Statement of Operations</w:t>
              </w:r>
            </w:hyperlink>
          </w:p>
        </w:tc>
        <w:tc>
          <w:tcPr>
            <w:tcW w:w="4060" w:type="dxa"/>
            <w:vAlign w:val="bottom"/>
            <w:gridSpan w:val="7"/>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F-120</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gridSpan w:val="9"/>
          </w:tcPr>
          <w:p>
            <w:pPr>
              <w:jc w:val="center"/>
              <w:ind w:right="4680"/>
              <w:spacing w:after="0"/>
              <w:rPr>
                <w:sz w:val="20"/>
                <w:szCs w:val="20"/>
                <w:color w:val="auto"/>
              </w:rPr>
            </w:pPr>
            <w:r>
              <w:rPr>
                <w:rFonts w:ascii="Arial" w:cs="Arial" w:eastAsia="Arial" w:hAnsi="Arial"/>
                <w:sz w:val="18"/>
                <w:szCs w:val="18"/>
                <w:color w:val="auto"/>
              </w:rPr>
              <w:t>F-1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the Board of Directors and Stockholders of Flywire Corporation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34" w:lineRule="exact"/>
        <w:rPr>
          <w:sz w:val="20"/>
          <w:szCs w:val="20"/>
          <w:color w:val="auto"/>
        </w:rPr>
      </w:pPr>
    </w:p>
    <w:p>
      <w:pPr>
        <w:ind w:left="120" w:right="180"/>
        <w:spacing w:after="0" w:line="253" w:lineRule="auto"/>
        <w:rPr>
          <w:sz w:val="20"/>
          <w:szCs w:val="20"/>
          <w:color w:val="auto"/>
        </w:rPr>
      </w:pPr>
      <w:r>
        <w:rPr>
          <w:rFonts w:ascii="Arial" w:cs="Arial" w:eastAsia="Arial" w:hAnsi="Arial"/>
          <w:sz w:val="17"/>
          <w:szCs w:val="17"/>
          <w:color w:val="auto"/>
        </w:rPr>
        <w:t>We have audited the accompanying consolidated balance sheets of Flywire Corporation and its subsidiaries (the “Company”) as of December 31, 2020 and 2019, and the related consolidated statements of operations and comprehensive loss, of convertible preferred stock,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3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20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ind w:left="120"/>
        <w:spacing w:after="0"/>
        <w:rPr>
          <w:sz w:val="20"/>
          <w:szCs w:val="20"/>
          <w:color w:val="auto"/>
        </w:rPr>
      </w:pPr>
      <w:r>
        <w:rPr>
          <w:rFonts w:ascii="Arial" w:cs="Arial" w:eastAsia="Arial" w:hAnsi="Arial"/>
          <w:sz w:val="18"/>
          <w:szCs w:val="18"/>
          <w:color w:val="auto"/>
        </w:rPr>
        <w:t>March 11</w:t>
      </w:r>
      <w:r>
        <w:rPr>
          <w:rFonts w:ascii="Arial" w:cs="Arial" w:eastAsia="Arial" w:hAnsi="Arial"/>
          <w:sz w:val="18"/>
          <w:szCs w:val="18"/>
          <w:b w:val="1"/>
          <w:bCs w:val="1"/>
          <w:color w:val="auto"/>
        </w:rPr>
        <w:t>,</w:t>
      </w:r>
      <w:r>
        <w:rPr>
          <w:rFonts w:ascii="Arial" w:cs="Arial" w:eastAsia="Arial" w:hAnsi="Arial"/>
          <w:sz w:val="18"/>
          <w:szCs w:val="18"/>
          <w:color w:val="auto"/>
        </w:rPr>
        <w:t xml:space="preserve"> 2021</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8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3"/>
        </w:trPr>
        <w:tc>
          <w:tcPr>
            <w:tcW w:w="88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86,027</w:t>
            </w:r>
          </w:p>
        </w:tc>
        <w:tc>
          <w:tcPr>
            <w:tcW w:w="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104,052</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 net of allowance for doubtful accounts of $298 and $481, respectively</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11,573</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Unbilled receivables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1,698</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Funds receivable from payment partners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16,448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22,481</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2,706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3,754</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108,178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148,558</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4,850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5,101</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14,297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68,211</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12,924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44,650</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749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4,922</w:t>
            </w:r>
          </w:p>
        </w:tc>
      </w:tr>
      <w:tr>
        <w:trPr>
          <w:trHeight w:val="20"/>
        </w:trPr>
        <w:tc>
          <w:tcPr>
            <w:tcW w:w="8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80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140,998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271,442</w:t>
            </w:r>
          </w:p>
        </w:tc>
      </w:tr>
      <w:tr>
        <w:trPr>
          <w:trHeight w:val="20"/>
        </w:trPr>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8800" w:type="dxa"/>
            <w:vAlign w:val="bottom"/>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Liabilities, Convertible Preferred Stock, Redeemable Convertible</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5"/>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Preferred Stock and Stockholders’ Deficit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2,903</w:t>
            </w:r>
          </w:p>
        </w:tc>
        <w:tc>
          <w:tcPr>
            <w:tcW w:w="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5,436</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Funds payable to customers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65,265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59,986</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7,388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14,991</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1,325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1,227</w:t>
            </w:r>
          </w:p>
        </w:tc>
      </w:tr>
      <w:tr>
        <w:trPr>
          <w:trHeight w:val="202"/>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6,740</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3,895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82,776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88,380</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481</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 net of current portion</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5,760</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1,307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1,932</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20,738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24,352</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759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2,129</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105,875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123,034</w:t>
            </w:r>
          </w:p>
        </w:tc>
      </w:tr>
      <w:tr>
        <w:trPr>
          <w:trHeight w:val="210"/>
        </w:trPr>
        <w:tc>
          <w:tcPr>
            <w:tcW w:w="8800" w:type="dxa"/>
            <w:vAlign w:val="bottom"/>
          </w:tcPr>
          <w:p>
            <w:pPr>
              <w:spacing w:after="0"/>
              <w:rPr>
                <w:sz w:val="20"/>
                <w:szCs w:val="20"/>
                <w:color w:val="auto"/>
              </w:rPr>
            </w:pPr>
            <w:r>
              <w:rPr>
                <w:rFonts w:ascii="Arial" w:cs="Arial" w:eastAsia="Arial" w:hAnsi="Arial"/>
                <w:sz w:val="18"/>
                <w:szCs w:val="18"/>
                <w:color w:val="auto"/>
              </w:rPr>
              <w:t>Commitments and contingencies (Note 18)</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(Series A, B, B1, B1-NV, C and D), $0.0001 par value; 20,971,798 shares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at December 31, 2019 and 2020; 18,069,487 shares issued and outstanding at December 31,</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8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2019 and 2020; liquidation preference of $110,716 at December 31, 2020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110,401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110,401</w:t>
            </w:r>
          </w:p>
        </w:tc>
      </w:tr>
      <w:tr>
        <w:trPr>
          <w:trHeight w:val="202"/>
        </w:trPr>
        <w:tc>
          <w:tcPr>
            <w:tcW w:w="8800" w:type="dxa"/>
            <w:vAlign w:val="bottom"/>
          </w:tcPr>
          <w:p>
            <w:pPr>
              <w:spacing w:after="0" w:line="201" w:lineRule="exact"/>
              <w:rPr>
                <w:sz w:val="20"/>
                <w:szCs w:val="20"/>
                <w:color w:val="auto"/>
              </w:rPr>
            </w:pPr>
            <w:r>
              <w:rPr>
                <w:rFonts w:ascii="Arial" w:cs="Arial" w:eastAsia="Arial" w:hAnsi="Arial"/>
                <w:sz w:val="18"/>
                <w:szCs w:val="18"/>
                <w:color w:val="auto"/>
              </w:rPr>
              <w:t>Redeemable convertible preferred stock (Series E-1 and E-2), $0.0001 par value; 0 shares authorized at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tcPr>
          <w:p>
            <w:pPr>
              <w:ind w:left="180"/>
              <w:spacing w:after="0" w:line="202" w:lineRule="exact"/>
              <w:rPr>
                <w:sz w:val="20"/>
                <w:szCs w:val="20"/>
                <w:color w:val="auto"/>
              </w:rPr>
            </w:pPr>
            <w:r>
              <w:rPr>
                <w:rFonts w:ascii="Arial" w:cs="Arial" w:eastAsia="Arial" w:hAnsi="Arial"/>
                <w:sz w:val="18"/>
                <w:szCs w:val="18"/>
                <w:color w:val="auto"/>
              </w:rPr>
              <w:t>December 31, 2019 and 5,341,044 shares authorized at December 31, 2020; 0 shares issued and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tcPr>
          <w:p>
            <w:pPr>
              <w:ind w:left="180"/>
              <w:spacing w:after="0" w:line="202" w:lineRule="exact"/>
              <w:rPr>
                <w:sz w:val="20"/>
                <w:szCs w:val="20"/>
                <w:color w:val="auto"/>
              </w:rPr>
            </w:pPr>
            <w:r>
              <w:rPr>
                <w:rFonts w:ascii="Arial" w:cs="Arial" w:eastAsia="Arial" w:hAnsi="Arial"/>
                <w:sz w:val="18"/>
                <w:szCs w:val="18"/>
                <w:color w:val="auto"/>
              </w:rPr>
              <w:t>outstanding at December 31, 2019 and 3,746,640 shares issued and outstanding at December 31, 2020;</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tcPr>
          <w:p>
            <w:pPr>
              <w:ind w:left="180"/>
              <w:spacing w:after="0" w:line="203" w:lineRule="exact"/>
              <w:rPr>
                <w:sz w:val="20"/>
                <w:szCs w:val="20"/>
                <w:color w:val="auto"/>
              </w:rPr>
            </w:pPr>
            <w:r>
              <w:rPr>
                <w:rFonts w:ascii="Arial" w:cs="Arial" w:eastAsia="Arial" w:hAnsi="Arial"/>
                <w:sz w:val="18"/>
                <w:szCs w:val="18"/>
                <w:color w:val="auto"/>
              </w:rPr>
              <w:t>liquidation preference of $150,000 at December 31, 2020</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119,769</w:t>
            </w:r>
          </w:p>
        </w:tc>
      </w:tr>
      <w:tr>
        <w:trPr>
          <w:trHeight w:val="372"/>
        </w:trPr>
        <w:tc>
          <w:tcPr>
            <w:tcW w:w="8800" w:type="dxa"/>
            <w:vAlign w:val="bottom"/>
          </w:tcPr>
          <w:p>
            <w:pPr>
              <w:ind w:left="5360"/>
              <w:spacing w:after="0"/>
              <w:rPr>
                <w:sz w:val="20"/>
                <w:szCs w:val="20"/>
                <w:color w:val="auto"/>
              </w:rPr>
            </w:pPr>
            <w:r>
              <w:rPr>
                <w:rFonts w:ascii="Arial" w:cs="Arial" w:eastAsia="Arial" w:hAnsi="Arial"/>
                <w:sz w:val="18"/>
                <w:szCs w:val="18"/>
                <w:color w:val="auto"/>
              </w:rPr>
              <w:t>F-3</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8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3"/>
                <w:szCs w:val="13"/>
                <w:color w:val="auto"/>
              </w:rPr>
            </w:pPr>
          </w:p>
        </w:tc>
      </w:tr>
      <w:tr>
        <w:trPr>
          <w:trHeight w:val="183"/>
        </w:trPr>
        <w:tc>
          <w:tcPr>
            <w:tcW w:w="88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Stockholders’ deficit: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2"/>
        </w:trPr>
        <w:tc>
          <w:tcPr>
            <w:tcW w:w="8800" w:type="dxa"/>
            <w:vAlign w:val="bottom"/>
          </w:tcPr>
          <w:p>
            <w:pPr>
              <w:ind w:left="360"/>
              <w:spacing w:after="0" w:line="201" w:lineRule="exact"/>
              <w:rPr>
                <w:sz w:val="20"/>
                <w:szCs w:val="20"/>
                <w:color w:val="auto"/>
              </w:rPr>
            </w:pPr>
            <w:r>
              <w:rPr>
                <w:rFonts w:ascii="Arial" w:cs="Arial" w:eastAsia="Arial" w:hAnsi="Arial"/>
                <w:sz w:val="18"/>
                <w:szCs w:val="18"/>
                <w:color w:val="auto"/>
              </w:rPr>
              <w:t>Common stock, $0.0001 par value; 34,000,000 shares authorized, 6,831,382 shares issued and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800" w:type="dxa"/>
            <w:vAlign w:val="bottom"/>
          </w:tcPr>
          <w:p>
            <w:pPr>
              <w:ind w:left="540"/>
              <w:spacing w:after="0" w:line="202" w:lineRule="exact"/>
              <w:rPr>
                <w:sz w:val="20"/>
                <w:szCs w:val="20"/>
                <w:color w:val="auto"/>
              </w:rPr>
            </w:pPr>
            <w:r>
              <w:rPr>
                <w:rFonts w:ascii="Arial" w:cs="Arial" w:eastAsia="Arial" w:hAnsi="Arial"/>
                <w:sz w:val="18"/>
                <w:szCs w:val="18"/>
                <w:color w:val="auto"/>
              </w:rPr>
              <w:t>6,058,808 shares outstanding as of December 31, 2019; 48,966,090 shares authorized, 7,413,624</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800" w:type="dxa"/>
            <w:vAlign w:val="bottom"/>
          </w:tcPr>
          <w:p>
            <w:pPr>
              <w:ind w:left="540"/>
              <w:spacing w:after="0" w:line="203" w:lineRule="exact"/>
              <w:rPr>
                <w:sz w:val="20"/>
                <w:szCs w:val="20"/>
                <w:color w:val="auto"/>
              </w:rPr>
            </w:pPr>
            <w:r>
              <w:rPr>
                <w:rFonts w:ascii="Arial" w:cs="Arial" w:eastAsia="Arial" w:hAnsi="Arial"/>
                <w:sz w:val="18"/>
                <w:szCs w:val="18"/>
                <w:color w:val="auto"/>
              </w:rPr>
              <w:t>shares issued and 6,641,050 shares outstanding as of December 31, 2020</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3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Treasury stock, 772,574 shares as of December 31, 2019 and 2020, held at cost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(748)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(748)</w:t>
            </w:r>
          </w:p>
        </w:tc>
      </w:tr>
      <w:tr>
        <w:trPr>
          <w:trHeight w:val="203"/>
        </w:trPr>
        <w:tc>
          <w:tcPr>
            <w:tcW w:w="8800" w:type="dxa"/>
            <w:vAlign w:val="bottom"/>
          </w:tcPr>
          <w:p>
            <w:pPr>
              <w:ind w:left="72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12,032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16,971</w:t>
            </w: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(214)</w:t>
            </w:r>
          </w:p>
        </w:tc>
      </w:tr>
      <w:tr>
        <w:trPr>
          <w:trHeight w:val="203"/>
        </w:trPr>
        <w:tc>
          <w:tcPr>
            <w:tcW w:w="8800" w:type="dxa"/>
            <w:vAlign w:val="bottom"/>
          </w:tcPr>
          <w:p>
            <w:pPr>
              <w:ind w:left="72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(86,665)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(97,772)</w:t>
            </w:r>
          </w:p>
        </w:tc>
      </w:tr>
      <w:tr>
        <w:trPr>
          <w:trHeight w:val="27"/>
        </w:trPr>
        <w:tc>
          <w:tcPr>
            <w:tcW w:w="8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stockholders’ deficit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(75,278)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(81,762)</w:t>
            </w:r>
          </w:p>
        </w:tc>
      </w:tr>
      <w:tr>
        <w:trPr>
          <w:trHeight w:val="209"/>
        </w:trPr>
        <w:tc>
          <w:tcPr>
            <w:tcW w:w="8800" w:type="dxa"/>
            <w:vAlign w:val="bottom"/>
          </w:tcPr>
          <w:p>
            <w:pPr>
              <w:ind w:left="1080"/>
              <w:spacing w:after="0"/>
              <w:rPr>
                <w:sz w:val="20"/>
                <w:szCs w:val="20"/>
                <w:color w:val="auto"/>
              </w:rPr>
            </w:pPr>
            <w:r>
              <w:rPr>
                <w:rFonts w:ascii="Arial" w:cs="Arial" w:eastAsia="Arial" w:hAnsi="Arial"/>
                <w:sz w:val="18"/>
                <w:szCs w:val="18"/>
                <w:color w:val="auto"/>
              </w:rPr>
              <w:t>Total liabilities, convertible preferred stock, redeemable convertible preferred stock and</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8800" w:type="dxa"/>
            <w:vAlign w:val="bottom"/>
          </w:tcPr>
          <w:p>
            <w:pPr>
              <w:ind w:left="1260"/>
              <w:spacing w:after="0" w:line="203" w:lineRule="exact"/>
              <w:rPr>
                <w:sz w:val="20"/>
                <w:szCs w:val="20"/>
                <w:color w:val="auto"/>
              </w:rPr>
            </w:pPr>
            <w:r>
              <w:rPr>
                <w:rFonts w:ascii="Arial" w:cs="Arial" w:eastAsia="Arial" w:hAnsi="Arial"/>
                <w:sz w:val="18"/>
                <w:szCs w:val="18"/>
                <w:color w:val="auto"/>
              </w:rPr>
              <w:t>stockholders’ deficit</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140,998</w:t>
            </w:r>
          </w:p>
        </w:tc>
        <w:tc>
          <w:tcPr>
            <w:tcW w:w="200" w:type="dxa"/>
            <w:vAlign w:val="bottom"/>
          </w:tcPr>
          <w:p>
            <w:pPr>
              <w:spacing w:after="0"/>
              <w:rPr>
                <w:sz w:val="17"/>
                <w:szCs w:val="17"/>
                <w:color w:val="auto"/>
              </w:rPr>
            </w:pPr>
          </w:p>
        </w:tc>
        <w:tc>
          <w:tcPr>
            <w:tcW w:w="3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271,442</w:t>
            </w:r>
          </w:p>
        </w:tc>
      </w:tr>
      <w:tr>
        <w:trPr>
          <w:trHeight w:val="20"/>
        </w:trPr>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2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94,918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131,783</w:t>
            </w:r>
          </w:p>
        </w:tc>
        <w:tc>
          <w:tcPr>
            <w:tcW w:w="120" w:type="dxa"/>
            <w:vAlign w:val="bottom"/>
            <w:shd w:val="clear" w:color="auto" w:fill="CCEEFF"/>
          </w:tcPr>
          <w:p>
            <w:pPr>
              <w:spacing w:after="0"/>
              <w:rPr>
                <w:sz w:val="17"/>
                <w:szCs w:val="17"/>
                <w:color w:val="auto"/>
              </w:rPr>
            </w:pP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Costs and operating expenses: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Payment processing services costs</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36,726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47,805</w:t>
            </w:r>
          </w:p>
        </w:tc>
      </w:tr>
      <w:tr>
        <w:trPr>
          <w:trHeight w:val="203"/>
        </w:trPr>
        <w:tc>
          <w:tcPr>
            <w:tcW w:w="7220" w:type="dxa"/>
            <w:vAlign w:val="bottom"/>
          </w:tcPr>
          <w:p>
            <w:pPr>
              <w:ind w:left="360"/>
              <w:spacing w:after="0" w:line="202" w:lineRule="exact"/>
              <w:rPr>
                <w:sz w:val="20"/>
                <w:szCs w:val="20"/>
                <w:color w:val="auto"/>
              </w:rPr>
            </w:pPr>
            <w:r>
              <w:rPr>
                <w:rFonts w:ascii="Arial" w:cs="Arial" w:eastAsia="Arial" w:hAnsi="Arial"/>
                <w:sz w:val="18"/>
                <w:szCs w:val="18"/>
                <w:color w:val="auto"/>
              </w:rPr>
              <w:t>Technology and development</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15,008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24,501</w:t>
            </w:r>
          </w:p>
        </w:tc>
      </w:tr>
      <w:tr>
        <w:trPr>
          <w:trHeight w:val="203"/>
        </w:trPr>
        <w:tc>
          <w:tcPr>
            <w:tcW w:w="7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Selling and marketing</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26,606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32,612</w:t>
            </w:r>
          </w:p>
        </w:tc>
      </w:tr>
      <w:tr>
        <w:trPr>
          <w:trHeight w:val="209"/>
        </w:trPr>
        <w:tc>
          <w:tcPr>
            <w:tcW w:w="722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34,035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42,680</w:t>
            </w:r>
          </w:p>
        </w:tc>
        <w:tc>
          <w:tcPr>
            <w:tcW w:w="120" w:type="dxa"/>
            <w:vAlign w:val="bottom"/>
          </w:tcPr>
          <w:p>
            <w:pPr>
              <w:spacing w:after="0"/>
              <w:rPr>
                <w:sz w:val="18"/>
                <w:szCs w:val="18"/>
                <w:color w:val="auto"/>
              </w:rPr>
            </w:pPr>
          </w:p>
        </w:tc>
      </w:tr>
      <w:tr>
        <w:trPr>
          <w:trHeight w:val="203"/>
        </w:trPr>
        <w:tc>
          <w:tcPr>
            <w:tcW w:w="72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costs and operating expenses</w:t>
            </w:r>
          </w:p>
        </w:tc>
        <w:tc>
          <w:tcPr>
            <w:tcW w:w="1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112,375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147,598</w:t>
            </w:r>
          </w:p>
        </w:tc>
        <w:tc>
          <w:tcPr>
            <w:tcW w:w="120" w:type="dxa"/>
            <w:vAlign w:val="bottom"/>
            <w:shd w:val="clear" w:color="auto" w:fill="CCEEFF"/>
          </w:tcPr>
          <w:p>
            <w:pPr>
              <w:spacing w:after="0"/>
              <w:rPr>
                <w:sz w:val="17"/>
                <w:szCs w:val="17"/>
                <w:color w:val="auto"/>
              </w:rPr>
            </w:pPr>
          </w:p>
        </w:tc>
      </w:tr>
      <w:tr>
        <w:trPr>
          <w:trHeight w:val="217"/>
        </w:trPr>
        <w:tc>
          <w:tcPr>
            <w:tcW w:w="7220" w:type="dxa"/>
            <w:vAlign w:val="bottom"/>
          </w:tcPr>
          <w:p>
            <w:pPr>
              <w:spacing w:after="0"/>
              <w:rPr>
                <w:sz w:val="20"/>
                <w:szCs w:val="20"/>
                <w:color w:val="auto"/>
              </w:rPr>
            </w:pPr>
            <w:r>
              <w:rPr>
                <w:rFonts w:ascii="Arial" w:cs="Arial" w:eastAsia="Arial" w:hAnsi="Arial"/>
                <w:sz w:val="18"/>
                <w:szCs w:val="18"/>
                <w:color w:val="auto"/>
              </w:rPr>
              <w:t>Loss from operations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(17,457)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(15,815)</w:t>
            </w: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22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(2,459)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(2,533)</w:t>
            </w:r>
          </w:p>
        </w:tc>
      </w:tr>
      <w:tr>
        <w:trPr>
          <w:trHeight w:val="203"/>
        </w:trPr>
        <w:tc>
          <w:tcPr>
            <w:tcW w:w="7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(625)</w:t>
            </w:r>
          </w:p>
        </w:tc>
      </w:tr>
      <w:tr>
        <w:trPr>
          <w:trHeight w:val="209"/>
        </w:trPr>
        <w:tc>
          <w:tcPr>
            <w:tcW w:w="722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 net</w:t>
            </w:r>
          </w:p>
        </w:tc>
        <w:tc>
          <w:tcPr>
            <w:tcW w:w="1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697</w:t>
            </w:r>
          </w:p>
        </w:tc>
        <w:tc>
          <w:tcPr>
            <w:tcW w:w="120" w:type="dxa"/>
            <w:vAlign w:val="bottom"/>
          </w:tcPr>
          <w:p>
            <w:pPr>
              <w:spacing w:after="0"/>
              <w:rPr>
                <w:sz w:val="18"/>
                <w:szCs w:val="18"/>
                <w:color w:val="auto"/>
              </w:rPr>
            </w:pPr>
          </w:p>
        </w:tc>
      </w:tr>
      <w:tr>
        <w:trPr>
          <w:trHeight w:val="203"/>
        </w:trPr>
        <w:tc>
          <w:tcPr>
            <w:tcW w:w="72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expenses, net</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(2,109)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(2,461)</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2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(19,566)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(18,276)</w:t>
            </w:r>
          </w:p>
        </w:tc>
      </w:tr>
      <w:tr>
        <w:trPr>
          <w:trHeight w:val="203"/>
        </w:trPr>
        <w:tc>
          <w:tcPr>
            <w:tcW w:w="7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Provision for (benefit from) income taxes</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(7,169)</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(20,116)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(11,107)</w:t>
            </w: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(316)</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220" w:type="dxa"/>
            <w:vAlign w:val="bottom"/>
          </w:tcPr>
          <w:p>
            <w:pPr>
              <w:spacing w:after="0"/>
              <w:rPr>
                <w:sz w:val="20"/>
                <w:szCs w:val="20"/>
                <w:color w:val="auto"/>
              </w:rPr>
            </w:pPr>
            <w:r>
              <w:rPr>
                <w:rFonts w:ascii="Arial" w:cs="Arial" w:eastAsia="Arial" w:hAnsi="Arial"/>
                <w:sz w:val="18"/>
                <w:szCs w:val="18"/>
                <w:color w:val="auto"/>
              </w:rPr>
              <w:t>Comprehensive loss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(20,050)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(11,423)</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attributable to common stockholders—basic and diluted</w:t>
            </w:r>
          </w:p>
        </w:tc>
        <w:tc>
          <w:tcPr>
            <w:tcW w:w="1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(20,116)</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(11,121)</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220" w:type="dxa"/>
            <w:vAlign w:val="bottom"/>
          </w:tcPr>
          <w:p>
            <w:pPr>
              <w:spacing w:after="0" w:line="196" w:lineRule="exact"/>
              <w:rPr>
                <w:sz w:val="20"/>
                <w:szCs w:val="20"/>
                <w:color w:val="auto"/>
              </w:rPr>
            </w:pPr>
            <w:r>
              <w:rPr>
                <w:rFonts w:ascii="Arial" w:cs="Arial" w:eastAsia="Arial" w:hAnsi="Arial"/>
                <w:sz w:val="18"/>
                <w:szCs w:val="18"/>
                <w:color w:val="auto"/>
              </w:rPr>
              <w:t>Net loss per share attributable to common stockholders—basic and diluted</w:t>
            </w: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(3.76)</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(1.81)</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outstanding—basic and diluted</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w w:val="99"/>
              </w:rPr>
              <w:t>5,355,696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9"/>
              </w:rPr>
              <w:t>6,129,966</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FLYWIRE CORPORATION</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CONSOLIDATED STATEMENTS OF CONVERTIBLE PREFERRED STOCK, REDEEMABLE CONVERTIBLE PREFERRED STOCK AND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STOCKHOLDERS’ DEFICIT</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Borders>
              <w:right w:val="single" w:sz="8" w:color="auto"/>
            </w:tcBorders>
            <w:gridSpan w:val="6"/>
            <w:vMerge w:val="restart"/>
          </w:tcPr>
          <w:p>
            <w:pPr>
              <w:jc w:val="center"/>
              <w:ind w:right="120"/>
              <w:spacing w:after="0"/>
              <w:rPr>
                <w:sz w:val="20"/>
                <w:szCs w:val="20"/>
                <w:color w:val="auto"/>
              </w:rPr>
            </w:pPr>
            <w:r>
              <w:rPr>
                <w:rFonts w:ascii="Arial" w:cs="Arial" w:eastAsia="Arial" w:hAnsi="Arial"/>
                <w:sz w:val="11"/>
                <w:szCs w:val="11"/>
                <w:b w:val="1"/>
                <w:bCs w:val="1"/>
                <w:color w:val="auto"/>
                <w:w w:val="98"/>
              </w:rPr>
              <w:t>Redeemable</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rPr>
              <w:t>lated</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Borders>
              <w:right w:val="single" w:sz="8" w:color="auto"/>
            </w:tcBorders>
            <w:gridSpan w:val="6"/>
            <w:vMerge w:val="continue"/>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2"/>
            <w:vMerge w:val="restart"/>
          </w:tcPr>
          <w:p>
            <w:pPr>
              <w:jc w:val="center"/>
              <w:ind w:right="220"/>
              <w:spacing w:after="0" w:line="122" w:lineRule="exact"/>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1580" w:type="dxa"/>
            <w:vAlign w:val="bottom"/>
            <w:gridSpan w:val="6"/>
            <w:vMerge w:val="restart"/>
          </w:tcPr>
          <w:p>
            <w:pPr>
              <w:jc w:val="right"/>
              <w:ind w:right="580"/>
              <w:spacing w:after="0" w:line="122" w:lineRule="exact"/>
              <w:rPr>
                <w:sz w:val="20"/>
                <w:szCs w:val="20"/>
                <w:color w:val="auto"/>
              </w:rPr>
            </w:pPr>
            <w:r>
              <w:rPr>
                <w:rFonts w:ascii="Arial" w:cs="Arial" w:eastAsia="Arial" w:hAnsi="Arial"/>
                <w:sz w:val="11"/>
                <w:szCs w:val="11"/>
                <w:b w:val="1"/>
                <w:bCs w:val="1"/>
                <w:color w:val="auto"/>
              </w:rPr>
              <w:t>Convertible</w:t>
            </w:r>
          </w:p>
        </w:tc>
        <w:tc>
          <w:tcPr>
            <w:tcW w:w="1480" w:type="dxa"/>
            <w:vAlign w:val="bottom"/>
            <w:tcBorders>
              <w:right w:val="single" w:sz="8" w:color="auto"/>
            </w:tcBorders>
            <w:gridSpan w:val="6"/>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99"/>
              </w:rPr>
              <w:t>Convertible</w:t>
            </w: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1580" w:type="dxa"/>
            <w:vAlign w:val="bottom"/>
            <w:gridSpan w:val="6"/>
            <w:vMerge w:val="continue"/>
          </w:tcPr>
          <w:p>
            <w:pPr>
              <w:spacing w:after="0"/>
              <w:rPr>
                <w:sz w:val="7"/>
                <w:szCs w:val="7"/>
                <w:color w:val="auto"/>
              </w:rPr>
            </w:pPr>
          </w:p>
        </w:tc>
        <w:tc>
          <w:tcPr>
            <w:tcW w:w="1480" w:type="dxa"/>
            <w:vAlign w:val="bottom"/>
            <w:tcBorders>
              <w:right w:val="single" w:sz="8" w:color="auto"/>
            </w:tcBorders>
            <w:gridSpan w:val="6"/>
            <w:vMerge w:val="continue"/>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3"/>
            <w:vMerge w:val="restart"/>
          </w:tcPr>
          <w:p>
            <w:pPr>
              <w:jc w:val="center"/>
              <w:ind w:right="140"/>
              <w:spacing w:after="0" w:line="122" w:lineRule="exact"/>
              <w:rPr>
                <w:sz w:val="20"/>
                <w:szCs w:val="20"/>
                <w:color w:val="auto"/>
              </w:rPr>
            </w:pPr>
            <w:r>
              <w:rPr>
                <w:rFonts w:ascii="Arial" w:cs="Arial" w:eastAsia="Arial" w:hAnsi="Arial"/>
                <w:sz w:val="11"/>
                <w:szCs w:val="11"/>
                <w:b w:val="1"/>
                <w:bCs w:val="1"/>
                <w:color w:val="auto"/>
              </w:rPr>
              <w:t>Compre-</w:t>
            </w: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vMerge w:val="restart"/>
          </w:tcPr>
          <w:p>
            <w:pPr>
              <w:jc w:val="center"/>
              <w:ind w:right="200"/>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1420" w:type="dxa"/>
            <w:vAlign w:val="bottom"/>
            <w:gridSpan w:val="5"/>
            <w:vMerge w:val="restart"/>
          </w:tcPr>
          <w:p>
            <w:pPr>
              <w:jc w:val="right"/>
              <w:ind w:right="238"/>
              <w:spacing w:after="0" w:line="117" w:lineRule="exact"/>
              <w:rPr>
                <w:sz w:val="20"/>
                <w:szCs w:val="20"/>
                <w:color w:val="auto"/>
              </w:rPr>
            </w:pPr>
            <w:r>
              <w:rPr>
                <w:rFonts w:ascii="Arial" w:cs="Arial" w:eastAsia="Arial" w:hAnsi="Arial"/>
                <w:sz w:val="11"/>
                <w:szCs w:val="11"/>
                <w:b w:val="1"/>
                <w:bCs w:val="1"/>
                <w:color w:val="auto"/>
              </w:rPr>
              <w:t>Preferred Stock</w:t>
            </w:r>
          </w:p>
        </w:tc>
        <w:tc>
          <w:tcPr>
            <w:tcW w:w="160" w:type="dxa"/>
            <w:vAlign w:val="bottom"/>
          </w:tcPr>
          <w:p>
            <w:pPr>
              <w:spacing w:after="0"/>
              <w:rPr>
                <w:sz w:val="3"/>
                <w:szCs w:val="3"/>
                <w:color w:val="auto"/>
              </w:rPr>
            </w:pPr>
          </w:p>
        </w:tc>
        <w:tc>
          <w:tcPr>
            <w:tcW w:w="1360" w:type="dxa"/>
            <w:vAlign w:val="bottom"/>
            <w:gridSpan w:val="5"/>
            <w:vMerge w:val="restart"/>
          </w:tcPr>
          <w:p>
            <w:pPr>
              <w:jc w:val="center"/>
              <w:spacing w:after="0" w:line="117" w:lineRule="exact"/>
              <w:rPr>
                <w:sz w:val="20"/>
                <w:szCs w:val="20"/>
                <w:color w:val="auto"/>
              </w:rPr>
            </w:pPr>
            <w:r>
              <w:rPr>
                <w:rFonts w:ascii="Arial" w:cs="Arial" w:eastAsia="Arial" w:hAnsi="Arial"/>
                <w:sz w:val="11"/>
                <w:szCs w:val="11"/>
                <w:b w:val="1"/>
                <w:bCs w:val="1"/>
                <w:color w:val="auto"/>
                <w:w w:val="97"/>
              </w:rPr>
              <w:t>Preferred Stock</w:t>
            </w: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gridSpan w:val="4"/>
            <w:vMerge w:val="restart"/>
          </w:tcPr>
          <w:p>
            <w:pPr>
              <w:ind w:left="200"/>
              <w:spacing w:after="0" w:line="117" w:lineRule="exact"/>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5"/>
            <w:vMerge w:val="restart"/>
          </w:tcPr>
          <w:p>
            <w:pPr>
              <w:jc w:val="right"/>
              <w:ind w:right="117"/>
              <w:spacing w:after="0" w:line="117" w:lineRule="exact"/>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460" w:type="dxa"/>
            <w:vAlign w:val="bottom"/>
          </w:tcPr>
          <w:p>
            <w:pPr>
              <w:spacing w:after="0"/>
              <w:rPr>
                <w:sz w:val="8"/>
                <w:szCs w:val="8"/>
                <w:color w:val="auto"/>
              </w:rPr>
            </w:pPr>
          </w:p>
        </w:tc>
        <w:tc>
          <w:tcPr>
            <w:tcW w:w="1420" w:type="dxa"/>
            <w:vAlign w:val="bottom"/>
            <w:tcBorders>
              <w:bottom w:val="single" w:sz="8" w:color="auto"/>
            </w:tcBorders>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Borders>
              <w:bottom w:val="single" w:sz="8" w:color="auto"/>
            </w:tcBorders>
            <w:gridSpan w:val="5"/>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Borders>
              <w:bottom w:val="single" w:sz="8" w:color="auto"/>
            </w:tcBorders>
            <w:gridSpan w:val="4"/>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Borders>
              <w:bottom w:val="single" w:sz="8" w:color="auto"/>
            </w:tcBorders>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3"/>
          </w:tcPr>
          <w:p>
            <w:pPr>
              <w:ind w:left="20"/>
              <w:spacing w:after="0" w:line="90" w:lineRule="exact"/>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8"/>
                <w:szCs w:val="8"/>
                <w:color w:val="auto"/>
              </w:rPr>
            </w:pPr>
          </w:p>
        </w:tc>
        <w:tc>
          <w:tcPr>
            <w:tcW w:w="640" w:type="dxa"/>
            <w:vAlign w:val="bottom"/>
            <w:gridSpan w:val="3"/>
          </w:tcPr>
          <w:p>
            <w:pPr>
              <w:jc w:val="center"/>
              <w:ind w:right="160"/>
              <w:spacing w:after="0" w:line="90" w:lineRule="exact"/>
              <w:rPr>
                <w:sz w:val="20"/>
                <w:szCs w:val="20"/>
                <w:color w:val="auto"/>
              </w:rPr>
            </w:pPr>
            <w:r>
              <w:rPr>
                <w:rFonts w:ascii="Arial" w:cs="Arial" w:eastAsia="Arial" w:hAnsi="Arial"/>
                <w:sz w:val="10"/>
                <w:szCs w:val="10"/>
                <w:b w:val="1"/>
                <w:bCs w:val="1"/>
                <w:color w:val="auto"/>
              </w:rPr>
              <w:t>hensive</w:t>
            </w:r>
          </w:p>
        </w:tc>
        <w:tc>
          <w:tcPr>
            <w:tcW w:w="800" w:type="dxa"/>
            <w:vAlign w:val="bottom"/>
            <w:gridSpan w:val="3"/>
          </w:tcPr>
          <w:p>
            <w:pPr>
              <w:jc w:val="center"/>
              <w:ind w:right="220"/>
              <w:spacing w:after="0" w:line="90" w:lineRule="exact"/>
              <w:rPr>
                <w:sz w:val="20"/>
                <w:szCs w:val="20"/>
                <w:color w:val="auto"/>
              </w:rPr>
            </w:pPr>
            <w:r>
              <w:rPr>
                <w:rFonts w:ascii="Arial" w:cs="Arial" w:eastAsia="Arial" w:hAnsi="Arial"/>
                <w:sz w:val="10"/>
                <w:szCs w:val="10"/>
                <w:b w:val="1"/>
                <w:bCs w:val="1"/>
                <w:color w:val="auto"/>
              </w:rPr>
              <w:t>Accumu-</w:t>
            </w:r>
          </w:p>
        </w:tc>
        <w:tc>
          <w:tcPr>
            <w:tcW w:w="100" w:type="dxa"/>
            <w:vAlign w:val="bottom"/>
          </w:tcPr>
          <w:p>
            <w:pPr>
              <w:spacing w:after="0"/>
              <w:rPr>
                <w:sz w:val="8"/>
                <w:szCs w:val="8"/>
                <w:color w:val="auto"/>
              </w:rPr>
            </w:pPr>
          </w:p>
        </w:tc>
        <w:tc>
          <w:tcPr>
            <w:tcW w:w="620" w:type="dxa"/>
            <w:vAlign w:val="bottom"/>
            <w:gridSpan w:val="2"/>
          </w:tcPr>
          <w:p>
            <w:pPr>
              <w:jc w:val="center"/>
              <w:ind w:right="200"/>
              <w:spacing w:after="0" w:line="90" w:lineRule="exact"/>
              <w:rPr>
                <w:sz w:val="20"/>
                <w:szCs w:val="20"/>
                <w:color w:val="auto"/>
              </w:rPr>
            </w:pPr>
            <w:r>
              <w:rPr>
                <w:rFonts w:ascii="Arial" w:cs="Arial" w:eastAsia="Arial" w:hAnsi="Arial"/>
                <w:sz w:val="10"/>
                <w:szCs w:val="10"/>
                <w:b w:val="1"/>
                <w:bCs w:val="1"/>
                <w:color w:val="auto"/>
              </w:rPr>
              <w:t>Stock-</w:t>
            </w: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8"/>
              </w:rPr>
              <w:t>Paid-In</w:t>
            </w:r>
          </w:p>
        </w:tc>
        <w:tc>
          <w:tcPr>
            <w:tcW w:w="40" w:type="dxa"/>
            <w:vAlign w:val="bottom"/>
          </w:tcPr>
          <w:p>
            <w:pPr>
              <w:spacing w:after="0"/>
              <w:rPr>
                <w:sz w:val="11"/>
                <w:szCs w:val="11"/>
                <w:color w:val="auto"/>
              </w:rPr>
            </w:pPr>
          </w:p>
        </w:tc>
        <w:tc>
          <w:tcPr>
            <w:tcW w:w="6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11"/>
                <w:szCs w:val="11"/>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3"/>
              </w:rPr>
              <w:t>lated</w:t>
            </w:r>
          </w:p>
        </w:tc>
        <w:tc>
          <w:tcPr>
            <w:tcW w:w="100" w:type="dxa"/>
            <w:vAlign w:val="bottom"/>
          </w:tcPr>
          <w:p>
            <w:pPr>
              <w:spacing w:after="0"/>
              <w:rPr>
                <w:sz w:val="11"/>
                <w:szCs w:val="11"/>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holders’</w:t>
            </w:r>
          </w:p>
        </w:tc>
        <w:tc>
          <w:tcPr>
            <w:tcW w:w="0" w:type="dxa"/>
            <w:vAlign w:val="bottom"/>
          </w:tcPr>
          <w:p>
            <w:pPr>
              <w:spacing w:after="0"/>
              <w:rPr>
                <w:sz w:val="1"/>
                <w:szCs w:val="1"/>
                <w:color w:val="auto"/>
              </w:rPr>
            </w:pPr>
          </w:p>
        </w:tc>
      </w:tr>
      <w:tr>
        <w:trPr>
          <w:trHeight w:val="137"/>
        </w:trPr>
        <w:tc>
          <w:tcPr>
            <w:tcW w:w="246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6"/>
              </w:rPr>
              <w:t>Amount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1"/>
                <w:szCs w:val="11"/>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52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8"/>
              </w:rPr>
              <w:t>Capital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(Loss)</w:t>
            </w:r>
          </w:p>
        </w:tc>
        <w:tc>
          <w:tcPr>
            <w:tcW w:w="100" w:type="dxa"/>
            <w:vAlign w:val="bottom"/>
          </w:tcPr>
          <w:p>
            <w:pPr>
              <w:spacing w:after="0"/>
              <w:rPr>
                <w:sz w:val="11"/>
                <w:szCs w:val="11"/>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Deficit</w:t>
            </w:r>
          </w:p>
        </w:tc>
        <w:tc>
          <w:tcPr>
            <w:tcW w:w="100" w:type="dxa"/>
            <w:vAlign w:val="bottom"/>
          </w:tcPr>
          <w:p>
            <w:pPr>
              <w:spacing w:after="0"/>
              <w:rPr>
                <w:sz w:val="11"/>
                <w:szCs w:val="11"/>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28"/>
        </w:trPr>
        <w:tc>
          <w:tcPr>
            <w:tcW w:w="24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at December 31, 2018</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18,069,487</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110,401</w:t>
            </w: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6,596,081</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(742,574)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(453)</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8,630</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(66,549)</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(58,335)</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line="129" w:lineRule="exact"/>
              <w:rPr>
                <w:sz w:val="20"/>
                <w:szCs w:val="20"/>
                <w:color w:val="auto"/>
              </w:rPr>
            </w:pPr>
            <w:r>
              <w:rPr>
                <w:rFonts w:ascii="Arial" w:cs="Arial" w:eastAsia="Arial" w:hAnsi="Arial"/>
                <w:sz w:val="13"/>
                <w:szCs w:val="13"/>
                <w:color w:val="auto"/>
              </w:rPr>
              <w:t>Issuance of common stock upon exercise</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120"/>
              <w:spacing w:after="0" w:line="141" w:lineRule="exact"/>
              <w:rPr>
                <w:sz w:val="20"/>
                <w:szCs w:val="20"/>
                <w:color w:val="auto"/>
              </w:rPr>
            </w:pPr>
            <w:r>
              <w:rPr>
                <w:rFonts w:ascii="Arial" w:cs="Arial" w:eastAsia="Arial" w:hAnsi="Arial"/>
                <w:sz w:val="13"/>
                <w:szCs w:val="13"/>
                <w:color w:val="auto"/>
              </w:rPr>
              <w:t>of stock options</w:t>
            </w: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235,301</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453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453</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common stock</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(30,000)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w:t>
            </w:r>
          </w:p>
        </w:tc>
        <w:tc>
          <w:tcPr>
            <w:tcW w:w="10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2,949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2,949</w:t>
            </w:r>
          </w:p>
        </w:tc>
        <w:tc>
          <w:tcPr>
            <w:tcW w:w="0" w:type="dxa"/>
            <w:vAlign w:val="bottom"/>
          </w:tcPr>
          <w:p>
            <w:pPr>
              <w:spacing w:after="0"/>
              <w:rPr>
                <w:sz w:val="1"/>
                <w:szCs w:val="1"/>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(20,116)</w:t>
            </w:r>
          </w:p>
        </w:tc>
        <w:tc>
          <w:tcPr>
            <w:tcW w:w="10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(20,116)</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Balances at December 31, 2019</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18,069,487</w:t>
            </w:r>
          </w:p>
        </w:tc>
        <w:tc>
          <w:tcPr>
            <w:tcW w:w="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110,401</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6,831,382</w:t>
            </w:r>
          </w:p>
        </w:tc>
        <w:tc>
          <w:tcPr>
            <w:tcW w:w="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w:t>
            </w: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(772,574)</w:t>
            </w:r>
          </w:p>
        </w:tc>
        <w:tc>
          <w:tcPr>
            <w:tcW w:w="1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(748)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12,032</w:t>
            </w:r>
          </w:p>
        </w:tc>
        <w:tc>
          <w:tcPr>
            <w:tcW w:w="1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(86,665)</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(75,278)</w:t>
            </w:r>
          </w:p>
        </w:tc>
        <w:tc>
          <w:tcPr>
            <w:tcW w:w="0" w:type="dxa"/>
            <w:vAlign w:val="bottom"/>
          </w:tcPr>
          <w:p>
            <w:pPr>
              <w:spacing w:after="0"/>
              <w:rPr>
                <w:sz w:val="1"/>
                <w:szCs w:val="1"/>
                <w:color w:val="auto"/>
              </w:rPr>
            </w:pPr>
          </w:p>
        </w:tc>
      </w:tr>
      <w:tr>
        <w:trPr>
          <w:trHeight w:val="129"/>
        </w:trPr>
        <w:tc>
          <w:tcPr>
            <w:tcW w:w="2460" w:type="dxa"/>
            <w:vAlign w:val="bottom"/>
          </w:tcPr>
          <w:p>
            <w:pPr>
              <w:spacing w:after="0" w:line="129" w:lineRule="exact"/>
              <w:rPr>
                <w:sz w:val="20"/>
                <w:szCs w:val="20"/>
                <w:color w:val="auto"/>
              </w:rPr>
            </w:pPr>
            <w:r>
              <w:rPr>
                <w:rFonts w:ascii="Arial" w:cs="Arial" w:eastAsia="Arial" w:hAnsi="Arial"/>
                <w:sz w:val="13"/>
                <w:szCs w:val="13"/>
                <w:color w:val="auto"/>
              </w:rPr>
              <w:t>Issuance of common stock upon the</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120"/>
              <w:spacing w:after="0" w:line="141" w:lineRule="exact"/>
              <w:rPr>
                <w:sz w:val="20"/>
                <w:szCs w:val="20"/>
                <w:color w:val="auto"/>
              </w:rPr>
            </w:pPr>
            <w:r>
              <w:rPr>
                <w:rFonts w:ascii="Arial" w:cs="Arial" w:eastAsia="Arial" w:hAnsi="Arial"/>
                <w:sz w:val="13"/>
                <w:szCs w:val="13"/>
                <w:color w:val="auto"/>
              </w:rPr>
              <w:t>exercise of stock options</w:t>
            </w: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617,565</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773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773</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common stock warrants</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29"/>
        </w:trPr>
        <w:tc>
          <w:tcPr>
            <w:tcW w:w="2460" w:type="dxa"/>
            <w:vAlign w:val="bottom"/>
          </w:tcPr>
          <w:p>
            <w:pPr>
              <w:spacing w:after="0" w:line="129" w:lineRule="exact"/>
              <w:rPr>
                <w:sz w:val="20"/>
                <w:szCs w:val="20"/>
                <w:color w:val="auto"/>
              </w:rPr>
            </w:pPr>
            <w:r>
              <w:rPr>
                <w:rFonts w:ascii="Arial" w:cs="Arial" w:eastAsia="Arial" w:hAnsi="Arial"/>
                <w:sz w:val="13"/>
                <w:szCs w:val="13"/>
                <w:color w:val="auto"/>
              </w:rPr>
              <w:t>Forfeiture of unvested restricted stock</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120"/>
              <w:spacing w:after="0" w:line="141" w:lineRule="exact"/>
              <w:rPr>
                <w:sz w:val="20"/>
                <w:szCs w:val="20"/>
                <w:color w:val="auto"/>
              </w:rPr>
            </w:pPr>
            <w:r>
              <w:rPr>
                <w:rFonts w:ascii="Arial" w:cs="Arial" w:eastAsia="Arial" w:hAnsi="Arial"/>
                <w:sz w:val="13"/>
                <w:szCs w:val="13"/>
                <w:color w:val="auto"/>
              </w:rPr>
              <w:t>awards</w:t>
            </w: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(35,323)</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4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Issuance of Series E redeemable</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convertible preferred stock, net of</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issuance costs of $245</w:t>
            </w:r>
          </w:p>
        </w:tc>
        <w:tc>
          <w:tcPr>
            <w:tcW w:w="68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3,746,640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119,755</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460" w:type="dxa"/>
            <w:vAlign w:val="bottom"/>
          </w:tcPr>
          <w:p>
            <w:pPr>
              <w:spacing w:after="0" w:line="129" w:lineRule="exact"/>
              <w:rPr>
                <w:sz w:val="20"/>
                <w:szCs w:val="20"/>
                <w:color w:val="auto"/>
              </w:rPr>
            </w:pPr>
            <w:r>
              <w:rPr>
                <w:rFonts w:ascii="Arial" w:cs="Arial" w:eastAsia="Arial" w:hAnsi="Arial"/>
                <w:sz w:val="13"/>
                <w:szCs w:val="13"/>
                <w:color w:val="auto"/>
              </w:rPr>
              <w:t>Accretion of redeemable convertible</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120"/>
              <w:spacing w:after="0" w:line="141" w:lineRule="exact"/>
              <w:rPr>
                <w:sz w:val="20"/>
                <w:szCs w:val="20"/>
                <w:color w:val="auto"/>
              </w:rPr>
            </w:pPr>
            <w:r>
              <w:rPr>
                <w:rFonts w:ascii="Arial" w:cs="Arial" w:eastAsia="Arial" w:hAnsi="Arial"/>
                <w:sz w:val="13"/>
                <w:szCs w:val="13"/>
                <w:color w:val="auto"/>
              </w:rPr>
              <w:t>preferred stock</w:t>
            </w: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20"/>
              <w:spacing w:after="0" w:line="141" w:lineRule="exact"/>
              <w:rPr>
                <w:sz w:val="20"/>
                <w:szCs w:val="20"/>
                <w:color w:val="auto"/>
              </w:rPr>
            </w:pPr>
            <w:r>
              <w:rPr>
                <w:rFonts w:ascii="Arial" w:cs="Arial" w:eastAsia="Arial" w:hAnsi="Arial"/>
                <w:sz w:val="13"/>
                <w:szCs w:val="13"/>
                <w:color w:val="auto"/>
              </w:rPr>
              <w:t>14</w:t>
            </w:r>
          </w:p>
        </w:tc>
        <w:tc>
          <w:tcPr>
            <w:tcW w:w="40" w:type="dxa"/>
            <w:vAlign w:val="bottom"/>
          </w:tcPr>
          <w:p>
            <w:pPr>
              <w:spacing w:after="0"/>
              <w:rPr>
                <w:sz w:val="12"/>
                <w:szCs w:val="12"/>
                <w:color w:val="auto"/>
              </w:rPr>
            </w:pPr>
          </w:p>
        </w:tc>
        <w:tc>
          <w:tcPr>
            <w:tcW w:w="7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 adjustment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3,844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3,844</w:t>
            </w: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(11,107)</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(11,107)</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3"/>
                <w:szCs w:val="13"/>
                <w:b w:val="1"/>
                <w:bCs w:val="1"/>
                <w:color w:val="auto"/>
              </w:rPr>
              <w:t>Balances at December 31, 2020</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60" w:type="dxa"/>
            <w:vAlign w:val="bottom"/>
            <w:vMerge w:val="continue"/>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w w:val="98"/>
              </w:rPr>
              <w:t>18,069,487</w:t>
            </w:r>
          </w:p>
        </w:tc>
        <w:tc>
          <w:tcPr>
            <w:tcW w:w="2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110,401</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3,746,640</w:t>
            </w:r>
          </w:p>
        </w:tc>
        <w:tc>
          <w:tcPr>
            <w:tcW w:w="1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gridSpan w:val="2"/>
          </w:tcPr>
          <w:p>
            <w:pPr>
              <w:jc w:val="right"/>
              <w:ind w:right="120"/>
              <w:spacing w:after="0" w:line="142" w:lineRule="exact"/>
              <w:rPr>
                <w:sz w:val="20"/>
                <w:szCs w:val="20"/>
                <w:color w:val="auto"/>
              </w:rPr>
            </w:pPr>
            <w:r>
              <w:rPr>
                <w:rFonts w:ascii="Arial" w:cs="Arial" w:eastAsia="Arial" w:hAnsi="Arial"/>
                <w:sz w:val="13"/>
                <w:szCs w:val="13"/>
                <w:color w:val="auto"/>
              </w:rPr>
              <w:t>119,769</w:t>
            </w:r>
          </w:p>
        </w:tc>
        <w:tc>
          <w:tcPr>
            <w:tcW w:w="4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7,413,624</w:t>
            </w:r>
          </w:p>
        </w:tc>
        <w:tc>
          <w:tcPr>
            <w:tcW w:w="340" w:type="dxa"/>
            <w:vAlign w:val="bottom"/>
            <w:gridSpan w:val="2"/>
          </w:tcPr>
          <w:p>
            <w:pPr>
              <w:ind w:left="40"/>
              <w:spacing w:after="0" w:line="142"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1</w:t>
            </w: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(772,574)</w:t>
            </w:r>
          </w:p>
        </w:tc>
        <w:tc>
          <w:tcPr>
            <w:tcW w:w="18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(748)</w:t>
            </w:r>
          </w:p>
        </w:tc>
        <w:tc>
          <w:tcPr>
            <w:tcW w:w="120" w:type="dxa"/>
            <w:vAlign w:val="bottom"/>
            <w:gridSpan w:val="2"/>
          </w:tcPr>
          <w:p>
            <w:pPr>
              <w:ind w:left="40"/>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16,971</w:t>
            </w:r>
          </w:p>
        </w:tc>
        <w:tc>
          <w:tcPr>
            <w:tcW w:w="120" w:type="dxa"/>
            <w:vAlign w:val="bottom"/>
            <w:gridSpan w:val="2"/>
          </w:tcPr>
          <w:p>
            <w:pPr>
              <w:ind w:left="40"/>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(214)</w:t>
            </w: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(97,772)</w:t>
            </w: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(81,762)</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6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82"/>
        </w:trPr>
        <w:tc>
          <w:tcPr>
            <w:tcW w:w="86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(20,116)</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(11,107)</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3,730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6,794</w:t>
            </w:r>
          </w:p>
        </w:tc>
      </w:tr>
      <w:tr>
        <w:trPr>
          <w:trHeight w:val="203"/>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2,949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3,844</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deferred contract costs</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414</w:t>
            </w:r>
          </w:p>
        </w:tc>
      </w:tr>
      <w:tr>
        <w:trPr>
          <w:trHeight w:val="203"/>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625</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5,400</w:t>
            </w:r>
          </w:p>
        </w:tc>
      </w:tr>
      <w:tr>
        <w:trPr>
          <w:trHeight w:val="203"/>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 provision</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(8,535)</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Bad debt expense</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237</w:t>
            </w:r>
          </w:p>
        </w:tc>
      </w:tr>
      <w:tr>
        <w:trPr>
          <w:trHeight w:val="203"/>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Non-cash interest expense</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227</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 net of acquisition:</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(1,555)</w:t>
            </w:r>
          </w:p>
        </w:tc>
      </w:tr>
      <w:tr>
        <w:trPr>
          <w:trHeight w:val="203"/>
        </w:trPr>
        <w:tc>
          <w:tcPr>
            <w:tcW w:w="8620" w:type="dxa"/>
            <w:vAlign w:val="bottom"/>
          </w:tcPr>
          <w:p>
            <w:pPr>
              <w:ind w:left="720"/>
              <w:spacing w:after="0" w:line="202" w:lineRule="exact"/>
              <w:rPr>
                <w:sz w:val="20"/>
                <w:szCs w:val="20"/>
                <w:color w:val="auto"/>
              </w:rPr>
            </w:pPr>
            <w:r>
              <w:rPr>
                <w:rFonts w:ascii="Arial" w:cs="Arial" w:eastAsia="Arial" w:hAnsi="Arial"/>
                <w:sz w:val="18"/>
                <w:szCs w:val="18"/>
                <w:color w:val="auto"/>
              </w:rPr>
              <w:t>Unbilled receivables</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(1,055)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(401)</w:t>
            </w: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Funds receivable from payment partners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1,223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(6,033)</w:t>
            </w:r>
          </w:p>
        </w:tc>
      </w:tr>
      <w:tr>
        <w:trPr>
          <w:trHeight w:val="203"/>
        </w:trPr>
        <w:tc>
          <w:tcPr>
            <w:tcW w:w="862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(410)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(3,840)</w:t>
            </w: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Funds payable to customers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13,314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(5,279)</w:t>
            </w:r>
          </w:p>
        </w:tc>
      </w:tr>
      <w:tr>
        <w:trPr>
          <w:trHeight w:val="203"/>
        </w:trPr>
        <w:tc>
          <w:tcPr>
            <w:tcW w:w="8620" w:type="dxa"/>
            <w:vAlign w:val="bottom"/>
          </w:tcPr>
          <w:p>
            <w:pPr>
              <w:ind w:left="720"/>
              <w:spacing w:after="0" w:line="202" w:lineRule="exact"/>
              <w:rPr>
                <w:sz w:val="20"/>
                <w:szCs w:val="20"/>
                <w:color w:val="auto"/>
              </w:rPr>
            </w:pPr>
            <w:r>
              <w:rPr>
                <w:rFonts w:ascii="Arial" w:cs="Arial" w:eastAsia="Arial" w:hAnsi="Arial"/>
                <w:sz w:val="18"/>
                <w:szCs w:val="18"/>
                <w:color w:val="auto"/>
              </w:rPr>
              <w:t>Accounts payable, accrued expenses and other current liabilities</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2,250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5,669</w:t>
            </w: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(693)</w:t>
            </w:r>
          </w:p>
        </w:tc>
      </w:tr>
      <w:tr>
        <w:trPr>
          <w:trHeight w:val="203"/>
        </w:trPr>
        <w:tc>
          <w:tcPr>
            <w:tcW w:w="8620" w:type="dxa"/>
            <w:vAlign w:val="bottom"/>
          </w:tcPr>
          <w:p>
            <w:pPr>
              <w:ind w:left="720"/>
              <w:spacing w:after="0" w:line="202" w:lineRule="exact"/>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83</w:t>
            </w: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838</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w:t>
            </w:r>
          </w:p>
        </w:tc>
      </w:tr>
      <w:tr>
        <w:trPr>
          <w:trHeight w:val="20"/>
        </w:trPr>
        <w:tc>
          <w:tcPr>
            <w:tcW w:w="8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620" w:type="dxa"/>
            <w:vAlign w:val="bottom"/>
          </w:tcPr>
          <w:p>
            <w:pPr>
              <w:ind w:left="108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(14,223)</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(3,748)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(2,141)</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(79,401)</w:t>
            </w:r>
          </w:p>
        </w:tc>
      </w:tr>
      <w:tr>
        <w:trPr>
          <w:trHeight w:val="20"/>
        </w:trPr>
        <w:tc>
          <w:tcPr>
            <w:tcW w:w="8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862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(3,748)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(81,542)</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Proceeds from issuance of long-term debt</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4,167</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long-term debt issuance costs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(172)</w:t>
            </w: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Payment of long-term debt</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(4,167)</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119,755</w:t>
            </w: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(295)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 paid for acquisitions</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(12,423)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(1,307)</w:t>
            </w: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Deferred consideration paid for acquisitions</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(1,650)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7"/>
                <w:szCs w:val="17"/>
                <w:color w:val="auto"/>
              </w:rPr>
            </w:pPr>
          </w:p>
        </w:tc>
      </w:tr>
      <w:tr>
        <w:trPr>
          <w:trHeight w:val="210"/>
        </w:trPr>
        <w:tc>
          <w:tcPr>
            <w:tcW w:w="8620" w:type="dxa"/>
            <w:vAlign w:val="bottom"/>
          </w:tcPr>
          <w:p>
            <w:pPr>
              <w:ind w:left="108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(3,915)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119,049</w:t>
            </w:r>
          </w:p>
        </w:tc>
      </w:tr>
      <w:tr>
        <w:trPr>
          <w:trHeight w:val="27"/>
        </w:trPr>
        <w:tc>
          <w:tcPr>
            <w:tcW w:w="8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rates changes on cash and cash equivalents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(259)</w:t>
            </w:r>
          </w:p>
        </w:tc>
      </w:tr>
      <w:tr>
        <w:trPr>
          <w:trHeight w:val="210"/>
        </w:trPr>
        <w:tc>
          <w:tcPr>
            <w:tcW w:w="8620" w:type="dxa"/>
            <w:vAlign w:val="bottom"/>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(3,575)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23,025</w:t>
            </w:r>
          </w:p>
        </w:tc>
        <w:tc>
          <w:tcPr>
            <w:tcW w:w="120" w:type="dxa"/>
            <w:vAlign w:val="bottom"/>
          </w:tcPr>
          <w:p>
            <w:pPr>
              <w:spacing w:after="0"/>
              <w:rPr>
                <w:sz w:val="18"/>
                <w:szCs w:val="18"/>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beginning of year</w:t>
            </w: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89,602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86,027</w:t>
            </w:r>
          </w:p>
        </w:tc>
        <w:tc>
          <w:tcPr>
            <w:tcW w:w="120" w:type="dxa"/>
            <w:vAlign w:val="bottom"/>
            <w:shd w:val="clear" w:color="auto" w:fill="CCEEFF"/>
          </w:tcPr>
          <w:p>
            <w:pPr>
              <w:spacing w:after="0"/>
              <w:rPr>
                <w:sz w:val="17"/>
                <w:szCs w:val="17"/>
                <w:color w:val="auto"/>
              </w:rPr>
            </w:pPr>
          </w:p>
        </w:tc>
      </w:tr>
      <w:tr>
        <w:trPr>
          <w:trHeight w:val="210"/>
        </w:trPr>
        <w:tc>
          <w:tcPr>
            <w:tcW w:w="8620" w:type="dxa"/>
            <w:vAlign w:val="bottom"/>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86,027</w:t>
            </w:r>
          </w:p>
        </w:tc>
        <w:tc>
          <w:tcPr>
            <w:tcW w:w="2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109,052</w:t>
            </w:r>
          </w:p>
        </w:tc>
      </w:tr>
      <w:tr>
        <w:trPr>
          <w:trHeight w:val="20"/>
        </w:trPr>
        <w:tc>
          <w:tcPr>
            <w:tcW w:w="8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8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restricted cash, beginning of year</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89,602</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86,027</w:t>
            </w:r>
          </w:p>
        </w:tc>
        <w:tc>
          <w:tcPr>
            <w:tcW w:w="80" w:type="dxa"/>
            <w:vAlign w:val="bottom"/>
            <w:shd w:val="clear" w:color="auto" w:fill="CCEEFF"/>
          </w:tcPr>
          <w:p>
            <w:pPr>
              <w:spacing w:after="0"/>
              <w:rPr>
                <w:sz w:val="17"/>
                <w:szCs w:val="17"/>
                <w:color w:val="auto"/>
              </w:rPr>
            </w:pPr>
          </w:p>
        </w:tc>
      </w:tr>
      <w:tr>
        <w:trPr>
          <w:trHeight w:val="209"/>
        </w:trPr>
        <w:tc>
          <w:tcPr>
            <w:tcW w:w="8800" w:type="dxa"/>
            <w:vAlign w:val="bottom"/>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86,027</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109,052</w:t>
            </w: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and noncash information</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 interest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1,851</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2,098</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Issuance of common stock warrants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336</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Reconciliation of cash, cash equivalents and restricted cash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86,027</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104,052</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5,000</w:t>
            </w:r>
          </w:p>
        </w:tc>
      </w:tr>
      <w:tr>
        <w:trPr>
          <w:trHeight w:val="20"/>
        </w:trPr>
        <w:tc>
          <w:tcPr>
            <w:tcW w:w="8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800" w:type="dxa"/>
            <w:vAlign w:val="bottom"/>
          </w:tcPr>
          <w:p>
            <w:pPr>
              <w:ind w:left="1080"/>
              <w:spacing w:after="0"/>
              <w:rPr>
                <w:sz w:val="20"/>
                <w:szCs w:val="20"/>
                <w:color w:val="auto"/>
              </w:rPr>
            </w:pPr>
            <w:r>
              <w:rPr>
                <w:rFonts w:ascii="Arial" w:cs="Arial" w:eastAsia="Arial" w:hAnsi="Arial"/>
                <w:sz w:val="18"/>
                <w:szCs w:val="18"/>
                <w:color w:val="auto"/>
              </w:rPr>
              <w:t>Cash, cash equivalents and restricted cash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86,027</w:t>
            </w:r>
          </w:p>
        </w:tc>
        <w:tc>
          <w:tcPr>
            <w:tcW w:w="20" w:type="dxa"/>
            <w:vAlign w:val="bottom"/>
          </w:tcPr>
          <w:p>
            <w:pPr>
              <w:spacing w:after="0"/>
              <w:rPr>
                <w:sz w:val="18"/>
                <w:szCs w:val="18"/>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109,052</w:t>
            </w: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234"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Flywire Corporation (the “Company”) was incorporated under the laws of the State of Delaware in July 2009 as peerTransfer Corporation. In 2016 the Company changed its name to Flywire Corporation. The Company is headquartered in Boston, Massachusetts and has a global footprint in 11 countries across 5 continents.</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Company provides a secure global payments platform, offering its clients an innovative and streamlined process to receive reconciled domestic and international payments in a more cost effective and efficient manner. The Company’s solutions are built on three core elements: (i) a payments platform; (ii) a proprietary global payment network; and (iii) vertical-specific software backed by its deep industry expertise.</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Company is subject to risks and uncertainties similar to other companies of similar size in the technology platform and digital payments industry, including, but not limited to, development by competitors of new technological innovations, compliance with government regulations, ability to attract, retain and engage both clients and their customers and partners, and the need to obtain additional financing to fund operations. Potential risks and uncertainties also include, without limitation, uncertainties regarding the duration and magnitude of the impact of the COVID-19 pandemic on the Company’s business, the business of its clients and the economy in general.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26" w:lineRule="exact"/>
        <w:rPr>
          <w:sz w:val="20"/>
          <w:szCs w:val="20"/>
          <w:color w:val="auto"/>
        </w:rPr>
      </w:pPr>
    </w:p>
    <w:p>
      <w:pPr>
        <w:jc w:val="both"/>
        <w:ind w:left="120" w:right="80" w:firstLine="440"/>
        <w:spacing w:after="0" w:line="248" w:lineRule="auto"/>
        <w:rPr>
          <w:sz w:val="20"/>
          <w:szCs w:val="20"/>
          <w:color w:val="auto"/>
        </w:rPr>
      </w:pPr>
      <w:r>
        <w:rPr>
          <w:rFonts w:ascii="Arial" w:cs="Arial" w:eastAsia="Arial" w:hAnsi="Arial"/>
          <w:sz w:val="17"/>
          <w:szCs w:val="17"/>
          <w:color w:val="auto"/>
        </w:rPr>
        <w:t>On March 11, 2020, the World Health Organization (“WHO”) declared the outbreak of a novel coronavirus (“COVID-19”) as a global pandemic, which continues to spread throughout the world. The Company’s primary sources of revenue are related to international tuition payments and domestic healthcare payments for elective procedures. These areas have been adversely impacted by the pandemic.</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Colleges, universities, private primary schools and language schools are still deciding on their re-opening plans; international travel has been reduced to stop the in-flow of COVID-19; and hospitals have cut back on elective procedures to ensure there are available resources to treat waves of COVID-19 cases.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In response to the COVID-19 pandemic, the Company executed a reduction in force in May of 2020, cut corporate bonus programs, eliminated corporate travel and reduced professional service and other fees. Further, the Company implemented remote working capabilities and measures focused on the safety of employees. The Company continues to monitor the rapidly evolving conditions and circumstances as well as guidance from international and domestic authorities, including public health authorities. The Company does not currently foresee the need to take additional actions, however it continues to evaluate the ongoing impact of COVID-19 as facts and circumstances change.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left="120" w:right="420" w:firstLine="440"/>
        <w:spacing w:after="0"/>
        <w:rPr>
          <w:sz w:val="20"/>
          <w:szCs w:val="20"/>
          <w:color w:val="auto"/>
        </w:rPr>
      </w:pPr>
      <w:r>
        <w:rPr>
          <w:rFonts w:ascii="Arial" w:cs="Arial" w:eastAsia="Arial" w:hAnsi="Arial"/>
          <w:sz w:val="18"/>
          <w:szCs w:val="18"/>
          <w:color w:val="auto"/>
        </w:rPr>
        <w:t>The consolidated financial statements have been prepared in accordance with the United States generally accepted accounting principles (“U.S. GAAP”) and include the accounts of the Company and its wholly owned subsidiaries. Intercompany accounts and transactions have been eliminated upon consolidation.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6"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Beginning in 2020, the Company reclassified certain costs and operating expenses within the consolidated statements of operations and comprehensive loss. Prior period amounts have been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reclassified to conform to this presentation. These changes have no impact on the previously reported consolidated net loss, including total costs and operating expenses, financial position, or cash flows for any periods presented.</w:t>
      </w:r>
    </w:p>
    <w:p>
      <w:pPr>
        <w:spacing w:after="0" w:line="19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7"/>
          <w:szCs w:val="17"/>
          <w:color w:val="auto"/>
        </w:rPr>
        <w:t>The classification changes relate primarily to the inclusion of costs incurred to develop and operate the Company’s transaction processing and payments platform into a new caption entitled technology and development. These costs were initially included in payment processing services costs, product development and selling and marketing. Additionally, costs previously included in product development were combined into technology and development. The following tables present the effects of these changes on the presentation of costs and operating expenses to the previously reported consolidated statements of operations and comprehensive loss (in thousands):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240" w:type="dxa"/>
            <w:vAlign w:val="bottom"/>
          </w:tcPr>
          <w:p>
            <w:pPr>
              <w:spacing w:after="0"/>
              <w:rPr>
                <w:sz w:val="12"/>
                <w:szCs w:val="12"/>
                <w:color w:val="auto"/>
              </w:rPr>
            </w:pPr>
          </w:p>
        </w:tc>
        <w:tc>
          <w:tcPr>
            <w:tcW w:w="9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As Previously</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7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Reported</w:t>
            </w:r>
          </w:p>
        </w:tc>
        <w:tc>
          <w:tcPr>
            <w:tcW w:w="46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Reclassified</w:t>
            </w:r>
          </w:p>
        </w:tc>
      </w:tr>
      <w:tr>
        <w:trPr>
          <w:trHeight w:val="196"/>
        </w:trPr>
        <w:tc>
          <w:tcPr>
            <w:tcW w:w="7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Payment processing services costs</w:t>
            </w: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40,911</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(4,185)</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36,726</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12,601</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(12,601)</w:t>
            </w:r>
          </w:p>
        </w:tc>
        <w:tc>
          <w:tcPr>
            <w:tcW w:w="16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and marketing</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25,419</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1,187</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26,606</w:t>
            </w: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33,444</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591</w:t>
            </w:r>
          </w:p>
        </w:tc>
        <w:tc>
          <w:tcPr>
            <w:tcW w:w="16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34,035</w:t>
            </w: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Technology and development</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15,008</w:t>
            </w:r>
          </w:p>
        </w:tc>
        <w:tc>
          <w:tcPr>
            <w:tcW w:w="5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15,008</w:t>
            </w:r>
          </w:p>
        </w:tc>
        <w:tc>
          <w:tcPr>
            <w:tcW w:w="60" w:type="dxa"/>
            <w:vAlign w:val="bottom"/>
            <w:shd w:val="clear" w:color="auto" w:fill="CCEEFF"/>
          </w:tcPr>
          <w:p>
            <w:pPr>
              <w:spacing w:after="0"/>
              <w:rPr>
                <w:sz w:val="17"/>
                <w:szCs w:val="17"/>
                <w:color w:val="auto"/>
              </w:rPr>
            </w:pPr>
          </w:p>
        </w:tc>
      </w:tr>
      <w:tr>
        <w:trPr>
          <w:trHeight w:val="209"/>
        </w:trPr>
        <w:tc>
          <w:tcPr>
            <w:tcW w:w="7240" w:type="dxa"/>
            <w:vAlign w:val="bottom"/>
          </w:tcPr>
          <w:p>
            <w:pPr>
              <w:ind w:left="360"/>
              <w:spacing w:after="0"/>
              <w:rPr>
                <w:sz w:val="20"/>
                <w:szCs w:val="20"/>
                <w:color w:val="auto"/>
              </w:rPr>
            </w:pPr>
            <w:r>
              <w:rPr>
                <w:rFonts w:ascii="Arial" w:cs="Arial" w:eastAsia="Arial" w:hAnsi="Arial"/>
                <w:sz w:val="18"/>
                <w:szCs w:val="18"/>
                <w:color w:val="auto"/>
              </w:rPr>
              <w:t>Total costs and operating expenses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112,375</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112,375</w:t>
            </w:r>
          </w:p>
        </w:tc>
      </w:tr>
      <w:tr>
        <w:trPr>
          <w:trHeight w:val="20"/>
        </w:trPr>
        <w:tc>
          <w:tcPr>
            <w:tcW w:w="7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2" w:lineRule="exact"/>
        <w:rPr>
          <w:sz w:val="20"/>
          <w:szCs w:val="20"/>
          <w:color w:val="auto"/>
        </w:rPr>
      </w:pPr>
    </w:p>
    <w:p>
      <w:pPr>
        <w:ind w:left="120" w:right="6700" w:hanging="4"/>
        <w:spacing w:after="0" w:line="372" w:lineRule="auto"/>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the disclosure of contingent assets and liabilities at the dates of the consolidated financial statements, and the reported amounts of revenues and expenses during the reporting periods. Significant estimates and assumptions reflected in these financial statements include, but are not limited to, the valuation of common stock and stock-based awards, impairment assessment of goodwill, intangibles and other long lived -assets, the valuation of acquired intangible assets and their useful lives, the valuation of contingent consideration and the valuation of the preferred stock warrant liability. The Company bases its estimates on historical experience, known trends and other market-specific or other relevant factors that it believes to be reasonable under the circumstances. As a result of the COVID-19 pandemic, the Company considered relevant impacts to its estimates related to the impairment assessment of goodwill, intangible assets and other long-lived assets. The Company is not aware of any specific event or circumstance that would require an update to its estimates or judgments or a revision of the carrying value of its assets or liabilities as of March 11, 2021, the date of issuance of these financial statements. These estimates may change as new events occur and additional information is obtained. On an ongoing basis, the Company evaluates its estimates as there are changes in circumstances, facts and experience. Changes in estimates are recorded in the period in which they become known. Actual results may differ from those estimates or assumptions.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Customers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Financial instruments that potentially subject the Company to concentration of credit risk consists principally of cash, cash equivalents, accounts receivable and funds receivable from payment partners. The Company maintains its cash and cash equivalents with financial institutions that management believes are of high credit quality. To manage credit risk related to accounts receivable, the Company</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evaluates credit worthiness of its customers and maintains allowances, to the extent necessary, for potential credit losses based upon the aging of its accounts receivable balances and known collection issues. The Company has not experienced any material credit losses during the years ended December 31, 2019 and 2020.</w:t>
      </w:r>
    </w:p>
    <w:p>
      <w:pPr>
        <w:spacing w:after="0" w:line="203" w:lineRule="exact"/>
        <w:rPr>
          <w:sz w:val="20"/>
          <w:szCs w:val="20"/>
          <w:color w:val="auto"/>
        </w:rPr>
      </w:pPr>
    </w:p>
    <w:p>
      <w:pPr>
        <w:jc w:val="both"/>
        <w:ind w:left="120" w:right="300" w:firstLine="440"/>
        <w:spacing w:after="0"/>
        <w:rPr>
          <w:sz w:val="20"/>
          <w:szCs w:val="20"/>
          <w:color w:val="auto"/>
        </w:rPr>
      </w:pPr>
      <w:r>
        <w:rPr>
          <w:rFonts w:ascii="Arial" w:cs="Arial" w:eastAsia="Arial" w:hAnsi="Arial"/>
          <w:sz w:val="18"/>
          <w:szCs w:val="18"/>
          <w:color w:val="auto"/>
        </w:rPr>
        <w:t>The Company has corporate deposit balances with financial institutions which exceed the Federal Deposit Insurance Corporation (“FDIC”) insurance limit of $250,000. As part of the cash management process, the Company performs periodic reviews of the financial institution credit standing.</w:t>
      </w:r>
    </w:p>
    <w:p>
      <w:pPr>
        <w:spacing w:after="0" w:line="203"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Accounts receivable are derived from revenue earned from clients, the Company’s customers (see Revenue Recognition policy) located in the U.S. and internationally. Significant clients are those that represent 10% or more of accounts receivable, net as set forth in the following table: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40" w:type="dxa"/>
            <w:vAlign w:val="bottom"/>
          </w:tcPr>
          <w:p>
            <w:pPr>
              <w:spacing w:after="0"/>
              <w:rPr>
                <w:sz w:val="15"/>
                <w:szCs w:val="15"/>
                <w:color w:val="auto"/>
              </w:rPr>
            </w:pPr>
          </w:p>
        </w:tc>
        <w:tc>
          <w:tcPr>
            <w:tcW w:w="26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Accounts Receivable, Net</w:t>
            </w:r>
          </w:p>
        </w:tc>
      </w:tr>
      <w:tr>
        <w:trPr>
          <w:trHeight w:val="155"/>
        </w:trPr>
        <w:tc>
          <w:tcPr>
            <w:tcW w:w="8340" w:type="dxa"/>
            <w:vAlign w:val="bottom"/>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2"/>
          </w:tcPr>
          <w:p>
            <w:pPr>
              <w:jc w:val="right"/>
              <w:ind w:right="73"/>
              <w:spacing w:after="0" w:line="155" w:lineRule="exact"/>
              <w:rPr>
                <w:sz w:val="20"/>
                <w:szCs w:val="20"/>
                <w:color w:val="auto"/>
              </w:rPr>
            </w:pPr>
            <w:r>
              <w:rPr>
                <w:rFonts w:ascii="Arial" w:cs="Arial" w:eastAsia="Arial" w:hAnsi="Arial"/>
                <w:sz w:val="14"/>
                <w:szCs w:val="14"/>
                <w:b w:val="1"/>
                <w:bCs w:val="1"/>
                <w:color w:val="auto"/>
              </w:rPr>
              <w:t>December 31,</w:t>
            </w:r>
          </w:p>
        </w:tc>
        <w:tc>
          <w:tcPr>
            <w:tcW w:w="62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56"/>
        </w:trPr>
        <w:tc>
          <w:tcPr>
            <w:tcW w:w="83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Client A</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73"/>
              <w:spacing w:after="0"/>
              <w:rPr>
                <w:sz w:val="20"/>
                <w:szCs w:val="20"/>
                <w:color w:val="auto"/>
              </w:rPr>
            </w:pPr>
            <w:r>
              <w:rPr>
                <w:rFonts w:ascii="Arial" w:cs="Arial" w:eastAsia="Arial" w:hAnsi="Arial"/>
                <w:sz w:val="13"/>
                <w:szCs w:val="13"/>
                <w:color w:val="auto"/>
                <w:w w:val="78"/>
              </w:rPr>
              <w:t>*</w:t>
            </w:r>
          </w:p>
        </w:tc>
        <w:tc>
          <w:tcPr>
            <w:tcW w:w="8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w:t>
            </w:r>
          </w:p>
        </w:tc>
      </w:tr>
      <w:tr>
        <w:trPr>
          <w:trHeight w:val="217"/>
        </w:trPr>
        <w:tc>
          <w:tcPr>
            <w:tcW w:w="9000" w:type="dxa"/>
            <w:vAlign w:val="bottom"/>
            <w:gridSpan w:val="2"/>
          </w:tcPr>
          <w:p>
            <w:pPr>
              <w:spacing w:after="0"/>
              <w:rPr>
                <w:sz w:val="20"/>
                <w:szCs w:val="20"/>
                <w:color w:val="auto"/>
              </w:rPr>
            </w:pPr>
            <w:r>
              <w:rPr>
                <w:rFonts w:ascii="Arial" w:cs="Arial" w:eastAsia="Arial" w:hAnsi="Arial"/>
                <w:sz w:val="18"/>
                <w:szCs w:val="18"/>
                <w:color w:val="auto"/>
              </w:rPr>
              <w:t>Client B</w:t>
            </w:r>
          </w:p>
        </w:tc>
        <w:tc>
          <w:tcPr>
            <w:tcW w:w="1180" w:type="dxa"/>
            <w:vAlign w:val="bottom"/>
            <w:gridSpan w:val="2"/>
          </w:tcPr>
          <w:p>
            <w:pPr>
              <w:jc w:val="right"/>
              <w:ind w:right="87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660" w:hanging="544"/>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Less than 10% of total accounts receivable.</w:t>
      </w:r>
    </w:p>
    <w:p>
      <w:pPr>
        <w:spacing w:after="0" w:line="21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Funds receivable from payment partners consist primarily of cash held by the Company’s global payment processing partners that has not yet remitted to the Company. Significant partners are those that represent 10% or more of funds receivable from payment partners as set forth in the following table:</w:t>
      </w:r>
    </w:p>
    <w:p>
      <w:pPr>
        <w:spacing w:after="0" w:line="217"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Funds Receivable From Payment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8890</wp:posOffset>
            </wp:positionV>
            <wp:extent cx="26060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55"/>
        </w:trPr>
        <w:tc>
          <w:tcPr>
            <w:tcW w:w="300" w:type="dxa"/>
            <w:vAlign w:val="bottom"/>
            <w:tcBorders>
              <w:bottom w:val="single" w:sz="8" w:color="CCEEFF"/>
            </w:tcBorders>
          </w:tcPr>
          <w:p>
            <w:pPr>
              <w:spacing w:after="0"/>
              <w:rPr>
                <w:sz w:val="13"/>
                <w:szCs w:val="13"/>
                <w:color w:val="auto"/>
              </w:rPr>
            </w:pPr>
          </w:p>
        </w:tc>
        <w:tc>
          <w:tcPr>
            <w:tcW w:w="6400" w:type="dxa"/>
            <w:vAlign w:val="bottom"/>
            <w:tcBorders>
              <w:bottom w:val="single" w:sz="8" w:color="CCEEFF"/>
            </w:tcBorders>
            <w:gridSpan w:val="2"/>
          </w:tcPr>
          <w:p>
            <w:pPr>
              <w:spacing w:after="0"/>
              <w:rPr>
                <w:sz w:val="13"/>
                <w:szCs w:val="13"/>
                <w:color w:val="auto"/>
              </w:rPr>
            </w:pPr>
          </w:p>
        </w:tc>
        <w:tc>
          <w:tcPr>
            <w:tcW w:w="9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67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Partner A</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24%</w:t>
            </w:r>
          </w:p>
        </w:tc>
      </w:tr>
      <w:tr>
        <w:trPr>
          <w:trHeight w:val="203"/>
        </w:trPr>
        <w:tc>
          <w:tcPr>
            <w:tcW w:w="7620" w:type="dxa"/>
            <w:vAlign w:val="bottom"/>
            <w:gridSpan w:val="4"/>
          </w:tcPr>
          <w:p>
            <w:pPr>
              <w:spacing w:after="0" w:line="202" w:lineRule="exact"/>
              <w:rPr>
                <w:sz w:val="20"/>
                <w:szCs w:val="20"/>
                <w:color w:val="auto"/>
              </w:rPr>
            </w:pPr>
            <w:r>
              <w:rPr>
                <w:rFonts w:ascii="Arial" w:cs="Arial" w:eastAsia="Arial" w:hAnsi="Arial"/>
                <w:sz w:val="18"/>
                <w:szCs w:val="18"/>
                <w:color w:val="auto"/>
              </w:rPr>
              <w:t>Partner B</w:t>
            </w:r>
          </w:p>
        </w:tc>
        <w:tc>
          <w:tcPr>
            <w:tcW w:w="1900" w:type="dxa"/>
            <w:vAlign w:val="bottom"/>
            <w:gridSpan w:val="2"/>
          </w:tcPr>
          <w:p>
            <w:pPr>
              <w:jc w:val="right"/>
              <w:ind w:right="1420"/>
              <w:spacing w:after="0" w:line="202" w:lineRule="exact"/>
              <w:rPr>
                <w:sz w:val="20"/>
                <w:szCs w:val="20"/>
                <w:color w:val="auto"/>
              </w:rPr>
            </w:pPr>
            <w:r>
              <w:rPr>
                <w:rFonts w:ascii="Arial" w:cs="Arial" w:eastAsia="Arial" w:hAnsi="Arial"/>
                <w:sz w:val="18"/>
                <w:szCs w:val="18"/>
                <w:color w:val="auto"/>
              </w:rPr>
              <w:t>16%</w:t>
            </w: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03"/>
        </w:trPr>
        <w:tc>
          <w:tcPr>
            <w:tcW w:w="76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Partner C</w:t>
            </w:r>
          </w:p>
        </w:tc>
        <w:tc>
          <w:tcPr>
            <w:tcW w:w="1900" w:type="dxa"/>
            <w:vAlign w:val="bottom"/>
            <w:gridSpan w:val="2"/>
            <w:shd w:val="clear" w:color="auto" w:fill="CCEEFF"/>
          </w:tcPr>
          <w:p>
            <w:pPr>
              <w:jc w:val="right"/>
              <w:ind w:right="158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03"/>
        </w:trPr>
        <w:tc>
          <w:tcPr>
            <w:tcW w:w="7620" w:type="dxa"/>
            <w:vAlign w:val="bottom"/>
            <w:gridSpan w:val="4"/>
          </w:tcPr>
          <w:p>
            <w:pPr>
              <w:spacing w:after="0" w:line="202" w:lineRule="exact"/>
              <w:rPr>
                <w:sz w:val="20"/>
                <w:szCs w:val="20"/>
                <w:color w:val="auto"/>
              </w:rPr>
            </w:pPr>
            <w:r>
              <w:rPr>
                <w:rFonts w:ascii="Arial" w:cs="Arial" w:eastAsia="Arial" w:hAnsi="Arial"/>
                <w:sz w:val="18"/>
                <w:szCs w:val="18"/>
                <w:color w:val="auto"/>
              </w:rPr>
              <w:t>Partner D</w:t>
            </w:r>
          </w:p>
        </w:tc>
        <w:tc>
          <w:tcPr>
            <w:tcW w:w="1900" w:type="dxa"/>
            <w:vAlign w:val="bottom"/>
            <w:gridSpan w:val="2"/>
          </w:tcPr>
          <w:p>
            <w:pPr>
              <w:jc w:val="right"/>
              <w:ind w:right="1420"/>
              <w:spacing w:after="0" w:line="202" w:lineRule="exact"/>
              <w:rPr>
                <w:sz w:val="20"/>
                <w:szCs w:val="20"/>
                <w:color w:val="auto"/>
              </w:rPr>
            </w:pPr>
            <w:r>
              <w:rPr>
                <w:rFonts w:ascii="Arial" w:cs="Arial" w:eastAsia="Arial" w:hAnsi="Arial"/>
                <w:sz w:val="18"/>
                <w:szCs w:val="18"/>
                <w:color w:val="auto"/>
              </w:rPr>
              <w:t>20%</w:t>
            </w:r>
          </w:p>
        </w:tc>
        <w:tc>
          <w:tcPr>
            <w:tcW w:w="15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76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Partner E</w:t>
            </w:r>
          </w:p>
        </w:tc>
        <w:tc>
          <w:tcPr>
            <w:tcW w:w="1900" w:type="dxa"/>
            <w:vAlign w:val="bottom"/>
            <w:gridSpan w:val="2"/>
            <w:shd w:val="clear" w:color="auto" w:fill="CCEEFF"/>
          </w:tcPr>
          <w:p>
            <w:pPr>
              <w:jc w:val="right"/>
              <w:ind w:right="1420"/>
              <w:spacing w:after="0" w:line="202" w:lineRule="exact"/>
              <w:rPr>
                <w:sz w:val="20"/>
                <w:szCs w:val="20"/>
                <w:color w:val="auto"/>
              </w:rPr>
            </w:pPr>
            <w:r>
              <w:rPr>
                <w:rFonts w:ascii="Arial" w:cs="Arial" w:eastAsia="Arial" w:hAnsi="Arial"/>
                <w:sz w:val="18"/>
                <w:szCs w:val="18"/>
                <w:color w:val="auto"/>
              </w:rPr>
              <w:t>11%</w:t>
            </w:r>
          </w:p>
        </w:tc>
        <w:tc>
          <w:tcPr>
            <w:tcW w:w="15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17"/>
        </w:trPr>
        <w:tc>
          <w:tcPr>
            <w:tcW w:w="7620" w:type="dxa"/>
            <w:vAlign w:val="bottom"/>
            <w:gridSpan w:val="4"/>
          </w:tcPr>
          <w:p>
            <w:pPr>
              <w:spacing w:after="0"/>
              <w:rPr>
                <w:sz w:val="20"/>
                <w:szCs w:val="20"/>
                <w:color w:val="auto"/>
              </w:rPr>
            </w:pPr>
            <w:r>
              <w:rPr>
                <w:rFonts w:ascii="Arial" w:cs="Arial" w:eastAsia="Arial" w:hAnsi="Arial"/>
                <w:sz w:val="18"/>
                <w:szCs w:val="18"/>
                <w:color w:val="auto"/>
              </w:rPr>
              <w:t>Partner F</w:t>
            </w:r>
          </w:p>
        </w:tc>
        <w:tc>
          <w:tcPr>
            <w:tcW w:w="1900" w:type="dxa"/>
            <w:vAlign w:val="bottom"/>
            <w:gridSpan w:val="2"/>
          </w:tcPr>
          <w:p>
            <w:pPr>
              <w:jc w:val="right"/>
              <w:ind w:right="1420"/>
              <w:spacing w:after="0"/>
              <w:rPr>
                <w:sz w:val="20"/>
                <w:szCs w:val="20"/>
                <w:color w:val="auto"/>
              </w:rPr>
            </w:pPr>
            <w:r>
              <w:rPr>
                <w:rFonts w:ascii="Arial" w:cs="Arial" w:eastAsia="Arial" w:hAnsi="Arial"/>
                <w:sz w:val="18"/>
                <w:szCs w:val="18"/>
                <w:color w:val="auto"/>
              </w:rPr>
              <w:t>11%</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121"/>
        </w:trPr>
        <w:tc>
          <w:tcPr>
            <w:tcW w:w="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40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5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7320" w:type="dxa"/>
            <w:vAlign w:val="bottom"/>
            <w:gridSpan w:val="3"/>
          </w:tcPr>
          <w:p>
            <w:pPr>
              <w:jc w:val="right"/>
              <w:ind w:right="4508"/>
              <w:spacing w:after="0"/>
              <w:rPr>
                <w:sz w:val="20"/>
                <w:szCs w:val="20"/>
                <w:color w:val="auto"/>
              </w:rPr>
            </w:pPr>
            <w:r>
              <w:rPr>
                <w:rFonts w:ascii="Arial" w:cs="Arial" w:eastAsia="Arial" w:hAnsi="Arial"/>
                <w:sz w:val="18"/>
                <w:szCs w:val="18"/>
                <w:color w:val="auto"/>
              </w:rPr>
              <w:t>Less than 10% of total balance.</w:t>
            </w: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years ended December 31, 2019 and 2020, no client accounted for 10% or more of revenue.</w:t>
      </w:r>
    </w:p>
    <w:p>
      <w:pPr>
        <w:spacing w:after="0" w:line="212"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During the year ended December 31, 2019, revenue from clients located outside of the United States in the aggregate accounted for 28.5% of the Company’s total revenues, with the United Kingdom accounting for 16.4%. No other countries accounted for greater than 10% of revenues for the year ended December 31, 2019.</w:t>
      </w:r>
    </w:p>
    <w:p>
      <w:pPr>
        <w:spacing w:after="0" w:line="203"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During the year ended December 31, 2020, revenue from clients located outside of the United States in the aggregate accounted for 25.7% of the Company’s total revenues, with the United Kingdom accounting for 13.8%. No other countries accounted for greater than 10% of revenues for the year ended December 31, 2020.</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2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Company determined its operating segment after considering the Company’s organizational structure and the information regularly reviewed by the chief operating decision maker (“CODM”) to evaluate financial performance and allocate resources. The Company’s chief executive officer, who is the CODM, reviews financial information on a consolidated basis for purposes of evaluating financial performance and allocating resources. On these factors, the Company determined that it operates and manages its business as one operating segment which involves payment processing and cash collection optimization services through the Company’s platform and other complementary services, and accordingly has one reportable segment for financial reporting purposes.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6"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The Company capitalizes certain legal, accounting and other third-party fees that are directly associated with in-process equity financings as deferred offering costs until such financings are consummated. After consummation of the equity financing, these costs are recorded in stockholder’s deficit as a reduction of the additional paid-in capital generated as a result of the offering. Should the planned equity financing be abandoned, the deferred offering costs will be expensed immediately as a charge to operating expenses in the consolidated statements of operations and comprehensive loss. As of December 31, 2019 and 2020, the Company had no deferred offering costs recorded in the consolidated balance sheets.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26"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Deferred financing costs related to a recognized debt liability are recorded as a reduction of the carrying amount of the debt liability and amortized to interest expense using the effective interest method over the repayment term of the debt.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Equivalents and Restricted Cash</w:t>
      </w:r>
    </w:p>
    <w:p>
      <w:pPr>
        <w:spacing w:after="0" w:line="126" w:lineRule="exact"/>
        <w:rPr>
          <w:sz w:val="20"/>
          <w:szCs w:val="20"/>
          <w:color w:val="auto"/>
        </w:rPr>
      </w:pPr>
    </w:p>
    <w:p>
      <w:pPr>
        <w:jc w:val="both"/>
        <w:ind w:left="120" w:right="520" w:firstLine="440"/>
        <w:spacing w:after="0" w:line="246" w:lineRule="auto"/>
        <w:rPr>
          <w:sz w:val="20"/>
          <w:szCs w:val="20"/>
          <w:color w:val="auto"/>
        </w:rPr>
      </w:pPr>
      <w:r>
        <w:rPr>
          <w:rFonts w:ascii="Arial" w:cs="Arial" w:eastAsia="Arial" w:hAnsi="Arial"/>
          <w:sz w:val="18"/>
          <w:szCs w:val="18"/>
          <w:color w:val="auto"/>
        </w:rPr>
        <w:t>Cash equivalents consist of short-term, highly liquid investments with stated maturities of three months or less from the date of purchase.</w:t>
      </w:r>
    </w:p>
    <w:p>
      <w:pPr>
        <w:spacing w:after="0" w:line="197" w:lineRule="exact"/>
        <w:rPr>
          <w:sz w:val="20"/>
          <w:szCs w:val="20"/>
          <w:color w:val="auto"/>
        </w:rPr>
      </w:pPr>
    </w:p>
    <w:p>
      <w:pPr>
        <w:jc w:val="both"/>
        <w:ind w:left="120" w:right="520" w:firstLine="440"/>
        <w:spacing w:after="0"/>
        <w:rPr>
          <w:sz w:val="20"/>
          <w:szCs w:val="20"/>
          <w:color w:val="auto"/>
        </w:rPr>
      </w:pPr>
      <w:r>
        <w:rPr>
          <w:rFonts w:ascii="Arial" w:cs="Arial" w:eastAsia="Arial" w:hAnsi="Arial"/>
          <w:sz w:val="18"/>
          <w:szCs w:val="18"/>
          <w:color w:val="auto"/>
        </w:rPr>
        <w:t>Restricted cash consists of amounts required to be maintained to cover certain banks’ or clients’ credit risk exposure related to facilitating payments for the Company. As of December 31, 2019 and 2020, the Company had $0 and $5.0 million of restricted cash,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Accounts receivable represent customer obligations that are unconditional. Accounts receivable are presented net of an estimated allowance for doubtful accounts for amounts that may not be collectible. The Company’s accounts receivable do not bear interest and generally does not require collateral or other security to support related receivables. The Company establishes an allowance for doubtful accounts for estimated losses expected from amounts that may not be collectible, through a provision for bad debt. Subsequent recoveries, if any, are credited to the allowance. The allowance for doubtful accounts is evaluated on a regular basis and is based on the credit risk of specific customers, past collection history and management’s evaluation of accounts receivable. Account balances are written off after all means of collection are exhausted and the potential for nonrecovery is determined to be probable. Adjustments to the allowance for doubtful accounts are recorded within general and administrative expenses in the consolidated statements of operations and comprehensive loss.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Property and equipment consist primarily of computer equipment and software, internal use software, furniture and fixtures and leasehold improvements. Property and equipment are stated at historical cost less accumulated depreciation and amortization. Depreciation and amortization are computed using the straight-line method over the estimated useful lives of the assets, which is between three to five years for computer equipment and software, five years for internal use software, three years for furniture and fixtures, and the lesser of the useful life or remaining non-cancelable term of the lease for leasehold improvements. Costs of maintenance and repairs that do not improve or extend the lives of the respective assets are expensed as incurred. Upon retirement or sale, the cost and related accumulated depreciation are removed from the consolidated balance sheets and the resulting gain or loss is reflected in loss from operations in the consolidated statements of operations and comprehensive loss.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Company continually evaluates the recoverability of long-lived assets when events and changes in circumstances indicate that the carrying amount may not be fully recoverable. Factors the Company considers in deciding when to perform an impairment review include significant underperformance of the business in relation to expectations, significant negative industry or economic trends and significant changes or planned changes in the use of the assets. When indicators of impairment are present, the Company compares forecasts of undiscounted future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There were no impairments recorded for the Company’s long-lived assets during any of the periods presented.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6" w:lineRule="exact"/>
        <w:rPr>
          <w:sz w:val="20"/>
          <w:szCs w:val="20"/>
          <w:color w:val="auto"/>
        </w:rPr>
      </w:pPr>
    </w:p>
    <w:p>
      <w:pPr>
        <w:ind w:left="120" w:right="180" w:firstLine="440"/>
        <w:spacing w:after="0" w:line="237" w:lineRule="auto"/>
        <w:rPr>
          <w:sz w:val="20"/>
          <w:szCs w:val="20"/>
          <w:color w:val="auto"/>
        </w:rPr>
      </w:pPr>
      <w:r>
        <w:rPr>
          <w:rFonts w:ascii="Arial" w:cs="Arial" w:eastAsia="Arial" w:hAnsi="Arial"/>
          <w:sz w:val="18"/>
          <w:szCs w:val="18"/>
          <w:color w:val="auto"/>
        </w:rPr>
        <w:t>In determining whether an acquisition should be accounted for as a business combination or asset acquisition, the Company first determines whether substantially all of the fair value of the gross assets acquired is concentrated in a single identifiable asset or a group of similar identifiable assets. If this is the case, the single identifiable asset or the group of similar assets is not deemed to be a business and is instead deemed to be an asset. If this is not the case, the Company then further evaluates whether the single identifiable asset or group of similar identifiable assets and activities include, at a minimum, an input and a substantive process that together significantly contribute to the ability to create outputs. If so, the Company concludes that the single identifiable asset or group of similar identifiable assets and activities is a business.</w:t>
      </w:r>
    </w:p>
    <w:p>
      <w:pPr>
        <w:spacing w:after="0" w:line="203"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7"/>
          <w:szCs w:val="17"/>
          <w:color w:val="auto"/>
        </w:rPr>
        <w:t>The Company accounts for business acquisitions using the acquisition method of accounting. In accordance with this method,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189" w:lineRule="exact"/>
        <w:rPr>
          <w:sz w:val="20"/>
          <w:szCs w:val="20"/>
          <w:color w:val="auto"/>
        </w:rPr>
      </w:pPr>
    </w:p>
    <w:p>
      <w:pPr>
        <w:jc w:val="both"/>
        <w:ind w:left="120" w:right="300" w:firstLine="440"/>
        <w:spacing w:after="0"/>
        <w:rPr>
          <w:sz w:val="20"/>
          <w:szCs w:val="20"/>
          <w:color w:val="auto"/>
        </w:rPr>
      </w:pPr>
      <w:r>
        <w:rPr>
          <w:rFonts w:ascii="Arial" w:cs="Arial" w:eastAsia="Arial" w:hAnsi="Arial"/>
          <w:sz w:val="18"/>
          <w:szCs w:val="18"/>
          <w:color w:val="auto"/>
        </w:rPr>
        <w:t>Determining the fair value of assets acquired and liabilities assumed is judgmental in nature and can involve the use of significant estimates and assumptions. Fair value and useful life determinations are based on, among other factors, estimates of future expected cash flows, revenue growth rates,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operating margins and appropriate discount rates used in computing present values. These estimates may materially impact the net income or loss in periods subsequent to acquisition through depreciation and amortization, and in certain instances through impairment charges, if assets become impaired in the future. Additionally, actual results may vary from these estimates that may result in adjustments to goodwill and acquisition date fair values of assets and liabilities during a measurement period or upon a final determination of asset and liability fair values, whichever comes first. Adjustments to fair values of assets and liabilities made after the end of the measurement period are recorded within operating results.</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Contingent consideration in business combinations is recognized at fair value on the acquisition date. Subsequent to the acquisition date, at each reporting date, the contingent consideration is remeasured and changes in the fair value resulting from a change in the underlying inputs are recognized in general and administrative expense in the consolidated statements of operations and comprehensive loss until the contingent consideration is settled.</w:t>
      </w:r>
    </w:p>
    <w:p>
      <w:pPr>
        <w:spacing w:after="0" w:line="205"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The fair value of the contingent consideration was determined using an option pricing model that reflects the Company’s expectations about the probability of payment, based on facts and circumstances that existed at the acquisition closing date. The option pricing model includes unobservable inputs such as a discount rate that equals risk-free rate plus a spread to reflect the credit risk as estimated by the Company’s cost of debt, the probability of achieving established revenue targets and the probability of retaining key customers. Refer to Note 5 for inputs used to fair value contingent consideration.</w:t>
      </w:r>
    </w:p>
    <w:p>
      <w:pPr>
        <w:spacing w:after="0" w:line="202"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Transaction costs related to business combinations are expensed as incurred and are included in general and administrative expense in consolidated statements of operations and comprehensive loss.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 Acquisition</w:t>
      </w:r>
    </w:p>
    <w:p>
      <w:pPr>
        <w:spacing w:after="0" w:line="126"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The Company measures and recognizes asset acquisitions that are not deemed to be business combinations based on the cost to acquire the assets, which includes transaction costs. Goodwill is not recognized in asset acquisitions.</w:t>
      </w:r>
    </w:p>
    <w:p>
      <w:pPr>
        <w:spacing w:after="0" w:line="19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Contingent consideration in asset acquisitions payable in the form of cash is recognized when payment becomes probable and reasonably estimable, unless the contingent consideration meets the definition of a derivative, in which case the amount becomes part of the asset acquisition cost when acquired. Upon recognition of the contingent consideration payment, the amount is included in the cost of the acquired asset or group of assets.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26"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Intangible assets consist of acquired customer relationships, developed technology, trade names and associated trademarks and noncompete agreements. Intangible assets are recognized at fair value using generally accepted valuation methods deemed appropriate for the type of intangible asset acquired, and reported net of accumulated amortization, separately from goodwill.</w:t>
      </w:r>
    </w:p>
    <w:p>
      <w:pPr>
        <w:spacing w:after="0" w:line="203"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7"/>
          <w:szCs w:val="17"/>
          <w:color w:val="auto"/>
        </w:rPr>
        <w:t>The Company estimates the fair value of acquired intangible assets under the income approach using the relief-from-royalty method (for developed technology, trade name and trademarks) or using the multi-period excess earnings method (for customer relationships). The relief-from-royalty method estimates the cost savings that accrue to the owner of an intangible asset who would otherwise have to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60"/>
        <w:spacing w:after="0" w:line="255" w:lineRule="auto"/>
        <w:rPr>
          <w:sz w:val="20"/>
          <w:szCs w:val="20"/>
          <w:color w:val="auto"/>
        </w:rPr>
      </w:pPr>
      <w:r>
        <w:rPr>
          <w:rFonts w:ascii="Arial" w:cs="Arial" w:eastAsia="Arial" w:hAnsi="Arial"/>
          <w:sz w:val="17"/>
          <w:szCs w:val="17"/>
          <w:color w:val="auto"/>
        </w:rPr>
        <w:t>pay royalties or a license fee on revenues earned through the use of the asset. The estimated royalty rate is determined based on the assessment of a reasonable royalty rate that a third party would negotiate in an arm’s-length license agreement for the use of the technology, trade name or trademark. The multi-period excess earnings method estimates the present value of the incremental after-tax cash flows solely attributable to the intangible asset. The estimated fair values of these intangible assets reflect various assumptions including discount rates, revenue growth rates, operating margins, terminal values and other prospective financial information.</w:t>
      </w:r>
    </w:p>
    <w:p>
      <w:pPr>
        <w:spacing w:after="0" w:line="190"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Intangible assets are amortized using a method that reflects the pattern in which the economic benefits of the intangible asset are expected to be realized over their estimated useful lives ranging from one to twelve years. The useful lives for developed technology are determined based on expectations regarding the evolution of existing technology and future investments. The useful lives for customer-related intangible assets are determined based primarily on forecasted cash flows, which include estimates for the revenues, expenses and customer attrition associated with the assets. The useful lives of definite-lived trademarks and trade names are based on the Company’s plans to phase out the trademarks and trade names in the applicable markets.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significant residual value is estimated for intangible assets.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26"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Company tests goodwill for impairment on an annual basis on the first day of the fourth quarter or more frequently if events or changes in circumstances indicate that the goodwill may be impaired. The Company’s goodwill impairment test is performed at the enterprise level given the sole reporting unit. Events that could indicate impairment that trigger an interim impairment assessment include, but are not limited to, market conditions, economic conditions, entity-specific financial performance and other events such as significant adverse change in legal factors, business climate, operational performance of the business or key personnel, and an adverse action or assessment by a regulator. Goodwill is tested for impairment by first performing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Goodwill is considered impaired if the carrying value of the reporting unit exceeds its fair value. The fair value of the reporting unit is estimated using a combination of income and market approaches. The discounted cash flow method, a form of the income approach, uses expected future operating results and a market participant discount rate. The market approach uses comparable company prices and other relevant information generated by market transactions (either publicly traded entities or mergers and acquisitions) to develop pricing metrics to be applied to historical and expected future operating results of the reporting unit. Failure to achieve these expected results, changes in the discount rate or market pricing metrics, may cause a future impairment of goodwill. Based on the Company’s assessments performed, no impairment was recorded during the year ended December 31, 2019 or 2020.</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Developed for Internal Use</w:t>
      </w:r>
    </w:p>
    <w:p>
      <w:pPr>
        <w:spacing w:after="0" w:line="126"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The Company capitalizes costs related to internal-use software during the application development stage including third-party consulting costs and compensation expenses related to employees who devote time to the development of the projects. The Company records software development costs in property and equipment. Costs incurred in the preliminary stages of development activities and post implementation activities are expensed in the period incurred and they are included in technology and</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60"/>
          </w:cols>
          <w:pgMar w:left="320" w:top="459" w:right="5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development expense in the consolidated statements of operations and comprehensive loss. The Company also capitalizes costs related to specific upgrades and enhancements when it is probable the expenditures will result in additional functionality. Once the additional functionality is available for general use, capitalization ceases and the asset begins being amortized. There were no costs that qualified for capitalization during the year ended December 31, 2019. The Company capitalized $1.8 million in costs related to internal use software during the year ended December 31, 2020. Software developed for internal use is amortized straight-line over its estimated useful life of five years.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4" w:lineRule="exact"/>
        <w:rPr>
          <w:sz w:val="20"/>
          <w:szCs w:val="20"/>
          <w:color w:val="auto"/>
        </w:rPr>
      </w:pPr>
    </w:p>
    <w:p>
      <w:pPr>
        <w:ind w:left="660" w:right="140"/>
        <w:spacing w:after="0"/>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95" w:lineRule="exact"/>
        <w:rPr>
          <w:sz w:val="20"/>
          <w:szCs w:val="20"/>
          <w:color w:val="auto"/>
        </w:rPr>
      </w:pPr>
    </w:p>
    <w:p>
      <w:pPr>
        <w:ind w:left="660" w:right="140"/>
        <w:spacing w:after="0" w:line="246"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97" w:lineRule="exact"/>
        <w:rPr>
          <w:sz w:val="20"/>
          <w:szCs w:val="20"/>
          <w:color w:val="auto"/>
        </w:rPr>
      </w:pPr>
    </w:p>
    <w:p>
      <w:pPr>
        <w:ind w:left="120" w:right="260" w:firstLine="440"/>
        <w:spacing w:after="0" w:line="237" w:lineRule="auto"/>
        <w:rPr>
          <w:sz w:val="20"/>
          <w:szCs w:val="20"/>
          <w:color w:val="auto"/>
        </w:rPr>
      </w:pPr>
      <w:r>
        <w:rPr>
          <w:rFonts w:ascii="Arial" w:cs="Arial" w:eastAsia="Arial" w:hAnsi="Arial"/>
          <w:sz w:val="18"/>
          <w:szCs w:val="18"/>
          <w:color w:val="auto"/>
        </w:rPr>
        <w:t>The carrying amounts of the Company’s long-term debt approximates the fair value as it bears interest at a rate approximating a market interest rate (Level 2 inputs). The Company’s cash equivalents are carried at fair value (Level 1) as determined according to the fair value hierarchy described above. The carrying values of accounts receivable, funds receivable from payment partners, unbilled receivables, prepaid expenses, accounts payable, funds payable to customers and accrued expenses and other current liabilities approximate their respective fair values due to the short-term nature of these assets and liabilities. The Company’s contingent consideration and preferred stock warrants are carried at fair value, determined using Level 3 inputs in the fair value hierarchy.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2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In connection with its financing arrangements, the Company issued warrants to purchase convertible preferred stock. The warrants to purchase preferred stock provide for net share settlement under which the maximum number of shares that could be issued represents the total amount of shares under the warrant agreements. These warrants are classified as liabilities on the Company’s consolidated balance sheets as these are free standing instruments that may be required to transfer an asset upon exercise. The warrant liability associated with these warrants was recorded at fair value on the issuance date of the warrants and is marked to market each reporting period based on changes in the warrants’ fair value calculated using the Black-Scholes model. Inputs used in the fair value calculation include fair value per share of the underlying preferred stock, risk-free interest rate,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expected dividend yield, remaining contractual term and expected volatility. The Company determines the fair value per share of the underlying preferred stock by taking into consideration the most recent sales of its convertible preferred stock, results obtained from third-party valuations and additional factors that the Company deems relevant. The Company historically has been a private company and lacks company-specific historical and implied volatility information of its stock. Therefore, it estimates its expected stock volatility based on the historical volatility of publicly traded peer companies for a term equal to the remaining contractual term of the warrants. The risk-free interest rate is determined by reference to the U.S. Treasury yield curve for time periods approximating the remaining contractual term of the warrants. The Company estimated a 0% dividend yield based on the fact that it has never paid or declared dividends.</w:t>
      </w:r>
    </w:p>
    <w:p>
      <w:pPr>
        <w:spacing w:after="0" w:line="20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Changes in fair value of the warrant liability are recognized on the consolidated statements of operations and comprehensive loss. The Company will continue to adjust the warrant liability for changes in fair value until the earlier of the expiration or exercise of the warrants, or upon their automatic conversion into warrants to purchase common stock in connection with a qualified initial public offering (“IPO”) such that they qualify for equity classification and no further remeasurement is required. There were no warrants issued to purchase preferred stock during the years ended December 31, 2019 or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Company issued warrants to purchase common stock in conjunction with the refinancing of long-term debt during the year ended December 31, 2020. The warrants are classified as equity, based on the specific terms of warrant agreement. The warrants were recorded at fair value upon issuance, as a discount to debt in the consolidated balance sheets and are not required to be remeasured after the issuance date (refer to Note 14).</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Company’s reporting currency is the U.S. Dollar. The financial statements of the Company’s foreign subsidiaries are translated from local currency into U.S. dollars using the exchange rate at the balance sheet date for assets and liabilities, and the average exchange rate in effect during the period for revenue and expenses. The functional currency of the Company and its subsidiaries, with the exception of its UK subsidiary, is the U.S. Dollar. The functional currency for the Company’s UK subsidiary is considered to be the local currency and, accordingly, translation adjustments for this entity are included as a component of accumulated other comprehensive loss in the Company’s consolidated balance sheets. Gains and losses from the remeasurement of foreign currency transactions into the functional currency are recognized as other income (expense), net in the consolidated statements of operations and comprehensive loss and were not material for the periods presented.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Instruments and Hedging</w:t>
      </w:r>
    </w:p>
    <w:p>
      <w:pPr>
        <w:spacing w:after="0" w:line="126"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Company generates revenues and incurs expenses by processing payments in foreign currencies. Changes in foreign currency exchange rates could impact the Company’s consolidated statements of operations and comprehensive loss as a result of changes in the value of foreign currencies. To mitigate the volatility related to fluctuations in the foreign exchange rates, the Company enters into non-deliverable forward foreign currency contracts.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The Company’s foreign currency forward contracts economically hedge certain risk but are not designated as hedges for financial reporting purposes, and accordingly, all changes in the fair value of these derivative instruments are recorded as unrealized foreign currency transaction gains or losses and are included in the consolidated statements of operations and comprehensive loss as a component of payment processing services costs. The Company records all derivative instruments in the consolidated balance sheet at their fair values in prepaid expenses and other current assets and accrued expenses and other current liabilities.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8" w:lineRule="exact"/>
        <w:rPr>
          <w:sz w:val="20"/>
          <w:szCs w:val="20"/>
          <w:color w:val="auto"/>
        </w:rPr>
      </w:pPr>
    </w:p>
    <w:p>
      <w:pPr>
        <w:jc w:val="both"/>
        <w:ind w:left="120" w:right="120" w:firstLine="440"/>
        <w:spacing w:after="0" w:line="245" w:lineRule="auto"/>
        <w:rPr>
          <w:sz w:val="20"/>
          <w:szCs w:val="20"/>
          <w:color w:val="auto"/>
        </w:rPr>
      </w:pPr>
      <w:r>
        <w:rPr>
          <w:rFonts w:ascii="Arial" w:cs="Arial" w:eastAsia="Arial" w:hAnsi="Arial"/>
          <w:sz w:val="18"/>
          <w:szCs w:val="18"/>
          <w:color w:val="auto"/>
        </w:rPr>
        <w:t>Effective on January 1, 2017, the Company early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(“ASC 606”)</w:t>
      </w:r>
      <w:r>
        <w:rPr>
          <w:rFonts w:ascii="Arial" w:cs="Arial" w:eastAsia="Arial" w:hAnsi="Arial"/>
          <w:sz w:val="18"/>
          <w:szCs w:val="18"/>
          <w:color w:val="auto"/>
        </w:rPr>
        <w:t>. Under the guidance of ASC 606, revenue is recognized when a customer obtains control of promised goods or services, in</w:t>
      </w:r>
      <w:r>
        <w:rPr>
          <w:rFonts w:ascii="Arial" w:cs="Arial" w:eastAsia="Arial" w:hAnsi="Arial"/>
          <w:sz w:val="18"/>
          <w:szCs w:val="18"/>
          <w:i w:val="1"/>
          <w:iCs w:val="1"/>
          <w:color w:val="auto"/>
        </w:rPr>
        <w:t xml:space="preserve"> </w:t>
      </w:r>
      <w:r>
        <w:rPr>
          <w:rFonts w:ascii="Arial" w:cs="Arial" w:eastAsia="Arial" w:hAnsi="Arial"/>
          <w:sz w:val="18"/>
          <w:szCs w:val="18"/>
          <w:color w:val="auto"/>
        </w:rPr>
        <w:t>an amount that reflects the consideration which the entity expects to receive in exchange for those goods or services. In order to achieve this core principle, the Company applies the following five steps:</w:t>
      </w:r>
    </w:p>
    <w:p>
      <w:pPr>
        <w:spacing w:after="0" w:line="104" w:lineRule="exact"/>
        <w:rPr>
          <w:sz w:val="20"/>
          <w:szCs w:val="20"/>
          <w:color w:val="auto"/>
        </w:rPr>
      </w:pPr>
    </w:p>
    <w:p>
      <w:pPr>
        <w:ind w:left="1860" w:hanging="543"/>
        <w:spacing w:after="0"/>
        <w:tabs>
          <w:tab w:leader="none" w:pos="1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Recognize revenue as the entity satisfies a performance obligation.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derives revenue primarily from transactions and platform and usage-based fees.</w:t>
      </w:r>
    </w:p>
    <w:p>
      <w:pPr>
        <w:spacing w:after="0" w:line="86"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 relate to fees charged for payment processing services provided to educational institutions,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and other commercial entities (each a “Client”). The Company’s services relate to facilitating payments from individuals, such as students and patients, and organizations (“Client’s Customer”) to Clients. Fees charged for payment processing services consist of a rate applied to the monetary value of the payment and can vary based on the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The Company does not recognize the underlying amount of the transaction being settled between the Client and the Client’s Customer, as revenue in the consolidated statements of operations and comprehensive loss, as the Company is not the responsible party for fulfilling the obligation between the Client and the Client’s Customer. Therefore, revenue is only recognized for the fee to which the Company is entitled for processing the payment.</w:t>
      </w:r>
    </w:p>
    <w:p>
      <w:pPr>
        <w:spacing w:after="0" w:line="98" w:lineRule="exact"/>
        <w:rPr>
          <w:sz w:val="20"/>
          <w:szCs w:val="20"/>
          <w:color w:val="auto"/>
        </w:rPr>
      </w:pPr>
    </w:p>
    <w:p>
      <w:pPr>
        <w:ind w:left="660" w:right="100"/>
        <w:spacing w:after="0" w:line="237" w:lineRule="auto"/>
        <w:rPr>
          <w:sz w:val="20"/>
          <w:szCs w:val="20"/>
          <w:color w:val="auto"/>
        </w:rPr>
      </w:pPr>
      <w:r>
        <w:rPr>
          <w:rFonts w:ascii="Arial" w:cs="Arial" w:eastAsia="Arial" w:hAnsi="Arial"/>
          <w:sz w:val="18"/>
          <w:szCs w:val="18"/>
          <w:color w:val="auto"/>
        </w:rPr>
        <w:t>The money can be wired directly from the Client’s Customer to the Company, however, in certain situations when the Client’s Customer lives in a country where the Company does not have an active bank account, the Company uses third -party service providers (“Partners”) to collect wired funds before remitting the funds to the Company. The Partner invoices the Company on a recurring basis a fee for each payment processed and deposited into the Company’s bank account. The fee paid to Partners as well as any foreign exchange banking fees paid by the Company are reflected in the payment processing services costs line in the consolidated statements of operations and comprehensive loss.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59"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660" w:right="80"/>
        <w:spacing w:after="0" w:line="237" w:lineRule="auto"/>
        <w:rPr>
          <w:sz w:val="20"/>
          <w:szCs w:val="20"/>
          <w:color w:val="auto"/>
        </w:rPr>
      </w:pPr>
      <w:r>
        <w:rPr>
          <w:rFonts w:ascii="Arial" w:cs="Arial" w:eastAsia="Arial" w:hAnsi="Arial"/>
          <w:sz w:val="18"/>
          <w:szCs w:val="18"/>
          <w:color w:val="auto"/>
        </w:rPr>
        <w:t>Once a Partner receives funds from a Client’s Customer, the Company has the right to receive those funds from the Partner. The funds are not remitted to the Company immediately. When the Partner receives funds from the Client’s Customer, the Company records a receivable, which is included in funds receivables from payment partners, and a corresponding liability, included in funds payable to customers, in the consolidated balance sheets. The amounts are generally collected or paid within one to 30 days. Partners report to the Company the funds received from the Client’s Customer on a daily basis. Revenue in transactions where Partners are involved is not recognized until the payment is remitted to Clients.</w:t>
      </w:r>
    </w:p>
    <w:p>
      <w:pPr>
        <w:spacing w:after="0" w:line="97" w:lineRule="exact"/>
        <w:rPr>
          <w:sz w:val="20"/>
          <w:szCs w:val="20"/>
          <w:color w:val="auto"/>
        </w:rPr>
      </w:pPr>
    </w:p>
    <w:p>
      <w:pPr>
        <w:ind w:left="660" w:right="100"/>
        <w:spacing w:after="0" w:line="237" w:lineRule="auto"/>
        <w:rPr>
          <w:sz w:val="20"/>
          <w:szCs w:val="20"/>
          <w:color w:val="auto"/>
        </w:rPr>
      </w:pPr>
      <w:r>
        <w:rPr>
          <w:rFonts w:ascii="Arial" w:cs="Arial" w:eastAsia="Arial" w:hAnsi="Arial"/>
          <w:sz w:val="18"/>
          <w:szCs w:val="18"/>
          <w:color w:val="auto"/>
        </w:rPr>
        <w:t>The Company also earns revenue from fees charged to credit card service providers for marketing arrangements in which the Company performs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 Marketing services provided leverages the Company’s existing network and transaction processing platform therefore, these arrangements are considered part of the Company’s ordinary business activities.</w:t>
      </w:r>
    </w:p>
    <w:p>
      <w:pPr>
        <w:spacing w:after="0" w:line="97" w:lineRule="exact"/>
        <w:rPr>
          <w:sz w:val="20"/>
          <w:szCs w:val="20"/>
          <w:color w:val="auto"/>
        </w:rPr>
      </w:pPr>
    </w:p>
    <w:p>
      <w:pPr>
        <w:ind w:left="660" w:right="100"/>
        <w:spacing w:after="0" w:line="238" w:lineRule="auto"/>
        <w:rPr>
          <w:sz w:val="20"/>
          <w:szCs w:val="20"/>
          <w:color w:val="auto"/>
        </w:rPr>
      </w:pPr>
      <w:r>
        <w:rPr>
          <w:rFonts w:ascii="Arial" w:cs="Arial" w:eastAsia="Arial" w:hAnsi="Arial"/>
          <w:sz w:val="18"/>
          <w:szCs w:val="18"/>
          <w:color w:val="auto"/>
        </w:rPr>
        <w:t>In certain circumstances, the Company provides marketing services to financial institutions that are considered both a Client (for marketing services) and a service provider (for processing payments). Each one of these services are negotiated separately, each agreement is for distinct service and they are priced at fair value, therefore fees included in the marketing arrangements are accounted for as revenue, while fees paid by the Company are accounted for as payment processing services cost.</w:t>
      </w:r>
    </w:p>
    <w:p>
      <w:pPr>
        <w:spacing w:after="0" w:line="79" w:lineRule="exact"/>
        <w:rPr>
          <w:sz w:val="20"/>
          <w:szCs w:val="20"/>
          <w:color w:val="auto"/>
        </w:rPr>
      </w:pPr>
    </w:p>
    <w:p>
      <w:pPr>
        <w:ind w:left="660" w:right="60"/>
        <w:spacing w:after="0" w:line="245" w:lineRule="auto"/>
        <w:rPr>
          <w:sz w:val="20"/>
          <w:szCs w:val="20"/>
          <w:color w:val="auto"/>
        </w:rPr>
      </w:pPr>
      <w:r>
        <w:rPr>
          <w:rFonts w:ascii="Arial" w:cs="Arial" w:eastAsia="Arial" w:hAnsi="Arial"/>
          <w:sz w:val="18"/>
          <w:szCs w:val="18"/>
          <w:i w:val="1"/>
          <w:iCs w:val="1"/>
          <w:color w:val="auto"/>
        </w:rPr>
        <w:t>Platform and usage-based fee revenue—</w:t>
      </w:r>
      <w:r>
        <w:rPr>
          <w:rFonts w:ascii="Arial" w:cs="Arial" w:eastAsia="Arial" w:hAnsi="Arial"/>
          <w:sz w:val="18"/>
          <w:szCs w:val="18"/>
          <w:color w:val="auto"/>
        </w:rPr>
        <w:t>relate to fees earned for utilizing the Company’s platform to collect their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from Client’s Customers, fees collected on payment plans established by the Client for obligations due by Client’s Customer, subscription fees and fees related to printing and mailing statements. Fees charged consist of a fixed fee and a variable fee determined based on volume of transactions processed through the Company’s platform.</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 Obligations</w:t>
      </w:r>
    </w:p>
    <w:p>
      <w:pPr>
        <w:spacing w:after="0" w:line="122"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Substantially all of the Company’s arrangements represent a single promise to provide continuous access to the Company’s platform to perform payment processing services, cash collection optimization services, marketing, printing and mailing services, on an as-needed basis.</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As each day of providing these services is substantially the same and the Client simultaneously receives and consumes the benefits as services are provided, these services are viewed as a single performance obligation comprised of a series of distinct daily services. The Company satisfies its performance obligation as these services are provided. Revenue is recognized in the month the service is complete.</w:t>
      </w:r>
    </w:p>
    <w:p>
      <w:pPr>
        <w:spacing w:after="0" w:line="205"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For those arrangements that include fixed consideration, the fixed component is recognized ratably over the service period while variable consideration is recognized in the period earned.</w:t>
      </w:r>
    </w:p>
    <w:p>
      <w:pPr>
        <w:spacing w:after="0" w:line="197"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The Company considers implementation services as an activity to fulfill a contract, rather than a distinct performance obligation as the Client does not obtain benefits from the implementation service alone. The Company charges an immaterial amount for implementation services.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Variable Consideration</w:t>
      </w:r>
    </w:p>
    <w:p>
      <w:pPr>
        <w:spacing w:after="0" w:line="122"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The Company’s contracts contain variable consideration as the amount the Company expects to receive in a contract is based on the occurrence or non-occurrence of future events, such as processing services performed as a transaction-based pricing arrangement. The variable consideration relates specifically to the Company’s effort to transfer each distinct daily service, as such the Company allocates the variable consideration earned to the distinct day in which those activities are performed and it recognizes these fees as revenue in period earned, at which point the variable amount is known and it does not require estimation.</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Payment Terms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payment terms vary by type of Client, Client’s Customer and services offered and ranges between one and 60 days.</w:t>
      </w:r>
    </w:p>
    <w:p>
      <w:pPr>
        <w:ind w:left="120"/>
        <w:spacing w:after="0"/>
        <w:rPr>
          <w:sz w:val="20"/>
          <w:szCs w:val="20"/>
          <w:color w:val="auto"/>
        </w:rPr>
      </w:pPr>
      <w:r>
        <w:rPr>
          <w:rFonts w:ascii="Arial" w:cs="Arial" w:eastAsia="Arial" w:hAnsi="Arial"/>
          <w:sz w:val="18"/>
          <w:szCs w:val="18"/>
          <w:color w:val="auto"/>
        </w:rPr>
        <w:t>Typically, the Company charges either a fixed fee, a fixed fee per transaction or percentage of transaction value or a combination of both.</w:t>
      </w:r>
    </w:p>
    <w:p>
      <w:pPr>
        <w:spacing w:after="0" w:line="212" w:lineRule="exact"/>
        <w:rPr>
          <w:sz w:val="20"/>
          <w:szCs w:val="20"/>
          <w:color w:val="auto"/>
        </w:rPr>
      </w:pPr>
    </w:p>
    <w:p>
      <w:pPr>
        <w:jc w:val="both"/>
        <w:ind w:left="120" w:right="420" w:firstLine="440"/>
        <w:spacing w:after="0"/>
        <w:rPr>
          <w:sz w:val="20"/>
          <w:szCs w:val="20"/>
          <w:color w:val="auto"/>
        </w:rPr>
      </w:pPr>
      <w:r>
        <w:rPr>
          <w:rFonts w:ascii="Arial" w:cs="Arial" w:eastAsia="Arial" w:hAnsi="Arial"/>
          <w:sz w:val="18"/>
          <w:szCs w:val="18"/>
          <w:color w:val="auto"/>
        </w:rPr>
        <w:t>The Company does not assess whether a significant financing component exists if the period between performance obligations under the contract and payment is one year or less. None of the Company’s contracts contain a significant financing component as of December 31, 2019 or 2020.</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Revenue Recognition Policies</w:t>
      </w:r>
    </w:p>
    <w:p>
      <w:pPr>
        <w:spacing w:after="0" w:line="122"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Company incurs costs in processing payments which may include banking, credit card processing, foreign currency translation, partner fees, printing and mailing fees. These fees are direct costs of the Company in providing payment processing services. Since the Company controls the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Remaining Performance Obligations</w:t>
      </w:r>
    </w:p>
    <w:p>
      <w:pPr>
        <w:spacing w:after="0" w:line="12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Company does not disclose the value of remaining performance obligations for (i) contracts with an original contract term of one year or less, (ii) contracts for which the Company recognizes revenue at the amount to which it has 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 The Company does not have material remaining performance obligations associated with contracts with terms greater than one year.</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 from Contracts with Customers</w:t>
      </w:r>
    </w:p>
    <w:p>
      <w:pPr>
        <w:spacing w:after="0" w:line="122"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timing of revenue recognition, billing and cash collection results in billed receivables, unbilled receivables and deferred revenue on the consolidated balance sheet.</w:t>
      </w:r>
    </w:p>
    <w:p>
      <w:pPr>
        <w:spacing w:after="0" w:line="197"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When fees are received prior to transferring services to the Client under the terms of a contract, deferred revenue, which is a contract liability, is recorded. Contract liabilities are recognized as revenue when services are performed and all other revenue recognition criteria have been met. The balance of deferred revenue as of December 31, 2019 and 2020 was $1.4 million and $1.3 million, respectively.</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In certain instances, the Company delivers services in advance of billing. In this case the Company recognizes unbilled receivables which is not a contract asset as the Company has an unconditional right for payment. The balance of unbilled receivables as of December 31, 2019 and 2020 was $1.3 million and $1.7 million, respectively.</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Costs</w:t>
      </w:r>
    </w:p>
    <w:p>
      <w:pPr>
        <w:spacing w:after="0" w:line="122" w:lineRule="exact"/>
        <w:rPr>
          <w:sz w:val="20"/>
          <w:szCs w:val="20"/>
          <w:color w:val="auto"/>
        </w:rPr>
      </w:pPr>
    </w:p>
    <w:p>
      <w:pPr>
        <w:ind w:left="120" w:right="320" w:firstLine="440"/>
        <w:spacing w:after="0" w:line="234" w:lineRule="auto"/>
        <w:rPr>
          <w:sz w:val="20"/>
          <w:szCs w:val="20"/>
          <w:color w:val="auto"/>
        </w:rPr>
      </w:pPr>
      <w:r>
        <w:rPr>
          <w:rFonts w:ascii="Arial" w:cs="Arial" w:eastAsia="Arial" w:hAnsi="Arial"/>
          <w:sz w:val="18"/>
          <w:szCs w:val="18"/>
          <w:color w:val="auto"/>
        </w:rPr>
        <w:t>Incremental costs for obtaining contracts that are deemed recoverable are capitalized as contract costs and are included in other assets in the consolidated balance sheets. Such costs result from the payment of sales incentives and totaled $0 and less than</w:t>
      </w:r>
    </w:p>
    <w:p>
      <w:pPr>
        <w:spacing w:after="0" w:line="1"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$0.1 million as of December 31, 2019 and 2020, respectively. Capitalized sales incentives are amortized over the period of benefits, which the Company has determined to be three years.</w:t>
      </w:r>
    </w:p>
    <w:p>
      <w:pPr>
        <w:spacing w:after="0" w:line="19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Costs to fulfill a contract are capitalized when they relate directly to an existing contract or specific anticipated contract, generate or enhance resources that will be used to fulfill performance obligations and are recoverable. Such costs primarily represent set-up and implementation costs, which include any direct cost incurred at inception of a contract. The Company capitalized $1.5 million of costs in 2020 within other assets on the consolidated balance sheets. There was no cost qualifying for capitalization during the year ended December 31, 2019. These capitalized costs are amortized on a straight-line basis over the expected contract life, which generally is five years, starting on go-live date. The amortization is included in technology and development expense line in the consolidated statements of operations and comprehensive loss, and totaled $0.4 million for the year ended December 31, 2020.</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was no impairment of capitalized contract costs during the year ended December 31, 2019 or 2020.</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26"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7"/>
          <w:szCs w:val="17"/>
          <w:color w:val="auto"/>
        </w:rPr>
        <w:t>Technology and development includes (a) costs incurred in connection with the development of the Company’s transaction processing and payments platform, new solutions, and the improvement of existing solutions, including the amortization of software and website development costs incurred in developing transaction processing and payments platform, which are capitalized, and acquired developed technology, (b) site operations and other infrastructure costs incurred to support the transaction processing and payments platform, (c) amortization related to capitalized cost to fulfill a contract, (d) personnel-related expenses, including salaries, stock based compensation and other expenses, (e) hardware and software engineering, consultant services and other costs associated with the Company’s technology platform and products, (f) research materials and facilities and (g) depreciation and maintenance expense.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Company recognizes compensation cost for all stock-based compensation awards made to employees. The Company determines compensation expense associated with restricted stock awards based on the fair value of common stock on the date of grant. The Company determines compensation expense associated with stock options based on the estimated grant date fair value method using the Black-Scholes valuation model.</w:t>
      </w:r>
    </w:p>
    <w:p>
      <w:pPr>
        <w:spacing w:after="0" w:line="205"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Determining the fair value of each stock option grant requires judgements and estimates. Such estimates include the exercise price, option term, volatility, risk free rate and expected dividend yield.</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exercise price per share of stock options may not be less than the fair market value as determined by the Company’s Board of Directors, with input from management and the assistance of a third-party valuation specialist. The Company’s Board of Directors exercises judgment in determining the estimated fair value of the Company’s common stock on the date of grant based on a number of objective and subjective factors, including the Company’s operating and financial performance, external market conditions affecting the Company’s industry sector, an analysis of publicly traded peer companies, the prices at which the Company sold shares of convertible preferred stock, the superior rights and preferences of securities senior to the Company’s common stock at the time of each grant, and the likelihood of achieving a liquidity event such as an IPO or sale of the Company.</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Company lacks sufficient company-specific historical and implied volatility information for its stock; therefore, the Company estimates its expected stock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zero based on the fact that the Company does not have a history of declaring or paying cash dividends.</w:t>
      </w:r>
    </w:p>
    <w:p>
      <w:pPr>
        <w:spacing w:after="0" w:line="20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Any changes to those estimates that the Company makes may have a significant impact on the stock-based compensation expense recorded and could materially impact the Company’s results of operations.</w:t>
      </w:r>
    </w:p>
    <w:p>
      <w:pPr>
        <w:spacing w:after="0" w:line="19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Compensation expense is recognized using a straight-line amortization method over the requisite service period of the award, which is generally the option vesting term of four years. The Company accounts for forfeitures as they occur.</w:t>
      </w:r>
    </w:p>
    <w:p>
      <w:pPr>
        <w:spacing w:after="0" w:line="197"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temporary differences between the financial statement and tax basis of assets and liabilities, as measured by enacted tax rates anticipated to be in effect when these differences are expected to reverse.</w:t>
      </w:r>
    </w:p>
    <w:p>
      <w:pPr>
        <w:spacing w:after="0" w:line="203" w:lineRule="exact"/>
        <w:rPr>
          <w:sz w:val="20"/>
          <w:szCs w:val="20"/>
          <w:color w:val="auto"/>
        </w:rPr>
      </w:pPr>
    </w:p>
    <w:p>
      <w:pPr>
        <w:ind w:left="120" w:right="560" w:firstLine="440"/>
        <w:spacing w:after="0"/>
        <w:rPr>
          <w:sz w:val="20"/>
          <w:szCs w:val="20"/>
          <w:color w:val="auto"/>
        </w:rPr>
      </w:pPr>
      <w:r>
        <w:rPr>
          <w:rFonts w:ascii="Arial" w:cs="Arial" w:eastAsia="Arial" w:hAnsi="Arial"/>
          <w:sz w:val="18"/>
          <w:szCs w:val="18"/>
          <w:color w:val="auto"/>
        </w:rPr>
        <w:t>The measurement of deferred tax assets is reduced by a valuation allowance if, based upon available evidence, it is more-likely-than-not that some or all of the deferred tax assets will not be realized. The Company classifies deferred tax assets and liabilities as noncurrent within the consolidated balance sheets.</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Company accounts for uncertain tax positions using a two-step process to determine the amount of tax benefit to be recognized. First, the tax position is evaluated to determine the likelihood that it will be sustained upon external examination. If the tax position is deemed “more-likely-than -not”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Company accounts for the earnings of its foreign subsidiaries, if any, as permanently reinvested and therefore does not provide for U.S. income taxes that could result from the distribution of those earnings to the U.S. parent.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26"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Advertising costs are expensed as incurred and are included in selling and marketing expenses in the consolidated statements of operations and comprehensive loss. Advertising expenses were $2.5 million and $1.3 million for the years ended December 31, 2019 and 2020,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202"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years ended December 31, 2019 and 2020, as such basic net loss per share attributable to common stockholders was the same as diluted net loss per share attributable to common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Comprehensive loss includes net loss as well as other changes in stockholders’ deficit that result from transactions and economic events other than those with stockholders. The comprehensive loss for the Company equals its net loss plus changes in foreign currency translation for all periods presented.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6"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 xml:space="preserve">In August 2016, the Financial Accounting Standards Board (“FASB”) issued Accounting Standards Update (“ASU”) 2016-15, </w:t>
      </w:r>
      <w:r>
        <w:rPr>
          <w:rFonts w:ascii="Arial" w:cs="Arial" w:eastAsia="Arial" w:hAnsi="Arial"/>
          <w:sz w:val="18"/>
          <w:szCs w:val="18"/>
          <w:i w:val="1"/>
          <w:iCs w:val="1"/>
          <w:color w:val="auto"/>
        </w:rPr>
        <w:t>Statement of Cash Flows—Classification of Certain Cash Receipts and Cash Payments,</w:t>
      </w:r>
      <w:r>
        <w:rPr>
          <w:rFonts w:ascii="Arial" w:cs="Arial" w:eastAsia="Arial" w:hAnsi="Arial"/>
          <w:sz w:val="18"/>
          <w:szCs w:val="18"/>
          <w:color w:val="auto"/>
        </w:rPr>
        <w:t xml:space="preserve"> which addresses eight specific cash flow issues with the objective of reducing the existing diversity in practice in how certain cash receipts and cash payments are presented and classified in the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460"/>
        <w:spacing w:after="0"/>
        <w:rPr>
          <w:sz w:val="20"/>
          <w:szCs w:val="20"/>
          <w:color w:val="auto"/>
        </w:rPr>
      </w:pPr>
      <w:r>
        <w:rPr>
          <w:rFonts w:ascii="Arial" w:cs="Arial" w:eastAsia="Arial" w:hAnsi="Arial"/>
          <w:sz w:val="18"/>
          <w:szCs w:val="18"/>
          <w:color w:val="auto"/>
        </w:rPr>
        <w:t>statement of cash flows. ASU 2016-15 is effective for the Company for fiscal years beginning after December 15, 2018, and interim periods within fiscal years beginning after December 15, 2019. Early adoption is permitted. The Company adopted this ASU effective January 1, 2019, noting no material impact on its consolidated financial statements.</w:t>
      </w:r>
    </w:p>
    <w:p>
      <w:pPr>
        <w:spacing w:after="0" w:line="185"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740)—Intra-Entity Transfers of Assets other than</w:t>
      </w:r>
      <w:r>
        <w:rPr>
          <w:rFonts w:ascii="Arial" w:cs="Arial" w:eastAsia="Arial" w:hAnsi="Arial"/>
          <w:sz w:val="18"/>
          <w:szCs w:val="18"/>
          <w:color w:val="auto"/>
        </w:rPr>
        <w:t xml:space="preserve"> </w:t>
      </w:r>
      <w:r>
        <w:rPr>
          <w:rFonts w:ascii="Arial" w:cs="Arial" w:eastAsia="Arial" w:hAnsi="Arial"/>
          <w:sz w:val="18"/>
          <w:szCs w:val="18"/>
          <w:i w:val="1"/>
          <w:iCs w:val="1"/>
          <w:color w:val="auto"/>
        </w:rPr>
        <w:t>Inventory</w:t>
      </w:r>
      <w:r>
        <w:rPr>
          <w:rFonts w:ascii="Arial" w:cs="Arial" w:eastAsia="Arial" w:hAnsi="Arial"/>
          <w:sz w:val="18"/>
          <w:szCs w:val="18"/>
          <w:color w:val="auto"/>
        </w:rPr>
        <w:t>. ASU 2016-16 eliminated the exception that prohibited the recognition of current and deferred income tax consequences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intra-entity asset transfers (other than inventory) until the asset has been sold to an outside party. The standard is effective for the Company for fiscal years beginning after December 15, 2018, including interim periods after those fiscal years. The Company adopted this ASU effective January 1, 2019, noting no material impact on its consolidated financial statements.</w:t>
      </w:r>
    </w:p>
    <w:p>
      <w:pPr>
        <w:spacing w:after="0" w:line="18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that simplifies the accounting for goodwill impairment for all entities by requiring impairment charges to be based on the first step in the current two-step impairment test under ASC</w:t>
      </w:r>
    </w:p>
    <w:p>
      <w:pPr>
        <w:spacing w:after="0" w:line="1" w:lineRule="exact"/>
        <w:rPr>
          <w:sz w:val="20"/>
          <w:szCs w:val="20"/>
          <w:color w:val="auto"/>
        </w:rPr>
      </w:pPr>
    </w:p>
    <w:p>
      <w:pPr>
        <w:ind w:left="120" w:hanging="4"/>
        <w:spacing w:after="0" w:line="253" w:lineRule="auto"/>
        <w:tabs>
          <w:tab w:leader="none" w:pos="5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Under current guidance, if the fair value of a reporting unit is lower than its carrying amount (Step 1), an entity calculates any impairment charge by comparing the implied fair value of goodwill with its carrying amount (Step 2). The implied fair value of goodwill is calculated by deducting the current fair value of all assets and liabilities of the reporting unit from the reporting unit’s fair value as determined in Step 1. Under ASU 2017-04, if a reporting unit’s carrying amount exceeds its fair value, an entity will record an impairment charge based on that difference. The impairment charge is limited to the amount of goodwill allocated to that reporting unit. The standard is effective for all entities for fiscal years and interim periods within those fiscal years, beginning after December 15, 2021. Early adoption is permitted. The Company adopted this ASU effective January 1, 2019, noting no material impact on its consolidated financial statements.</w:t>
      </w:r>
    </w:p>
    <w:p>
      <w:pPr>
        <w:spacing w:after="0" w:line="173"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(Topic 35):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which requires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to develop or obtain internal-use software (and hosting arrangements that include an internal-use software license). The standard is effective for fiscal years beginning after December 15, 2020 including interim periods within those fiscal years, with early adoption permitted. The Company early adopted this ASU effective January 1, 2018 using the prospective method, noting no material impact on its consolidated financial statements.</w:t>
      </w:r>
    </w:p>
    <w:p>
      <w:pPr>
        <w:spacing w:after="0" w:line="184" w:lineRule="exact"/>
        <w:rPr>
          <w:sz w:val="20"/>
          <w:szCs w:val="20"/>
          <w:color w:val="auto"/>
        </w:rPr>
      </w:pPr>
    </w:p>
    <w:p>
      <w:pPr>
        <w:ind w:left="120" w:right="120" w:firstLine="440"/>
        <w:spacing w:after="0" w:line="242"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Disclosure Framework-Changes to the Disclosure Requirements for Fair Value Measurement, which modifies the disclosure requirements for fair value measurements. The standard is effective for all entities for fiscal years and interim periods within those fiscal years, beginning after December 15, 2019. Early adoption is permitted. The Company adopted this ASU effective January 1, 2020, noting no material impact on its consolidated financial statements.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2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 (“ASU 2016-02”</w:t>
      </w:r>
      <w:r>
        <w:rPr>
          <w:rFonts w:ascii="Arial" w:cs="Arial" w:eastAsia="Arial" w:hAnsi="Arial"/>
          <w:sz w:val="18"/>
          <w:szCs w:val="18"/>
          <w:color w:val="auto"/>
        </w:rPr>
        <w:t xml:space="preserve"> or “the new lease standard”). The new lease standard sets out the principles for the recognition, measurement, presentation and disclosure of leases for both parties to a contract (i.e., lessees and lessors). The standard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or on a straight-line basis over the term of the lease. In addition, a lessee is required to record (i) a right-of-use asset and a lease liability on its balance sheet for all leases with accounting lease terms of more than 12 months regardless of whether it is an operating or financing lease and (ii) lease expense for operating leases and amortization and interest expense for financing leases. Leases with a term of 12 months or less may be accounted for similar to prior guidance for operating leases. In July 2018, the FASB issued ASU No. 2018-11, which added an optional transition method under the new lease standard that allows companies to adopt the standard as of the beginning of the year of adoption as opposed to the earliest comparative period presented. In November 2019, the FASB issued guidance delaying the effective date for all entities, except for public business entities. For public entities, this guidance was effective for annual periods beginning after December 15, 2018, including interim periods within those fiscal years. For nonpublic entities, this guidance is effective for annual periods beginning after December 15, 2020. In May 2020, FASB issued ASU No. 2020-05 delaying the effective date of the new lease standard for nonpublic companies to fiscal years beginning after December 15, 2021 and interim periods within those fiscal years beginning after December 15, 2022. The Company expects to adopt this guidance effective January 1, 2022 and it is currently evaluating the impact on its consolidated financial statements and related disclosures.</w:t>
      </w:r>
    </w:p>
    <w:p>
      <w:pPr>
        <w:spacing w:after="0" w:line="184"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 xml:space="preserve">In May 2019, the FASB issued ASU No.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which introduces a new accounting model for recognizing credit losses on most financial instruments based on an estimate of current expected credit losses. ASU 2019-05 is effective for annual periods beginning after December 15, 2019. In April 2020, the FASB extended the adoption period allowing companies to adopt this ASU for annual periods beginning after December 15, 2021. The Company is currently evaluating the impact on its consolidated financial statements.</w:t>
      </w:r>
    </w:p>
    <w:p>
      <w:pPr>
        <w:spacing w:after="0" w:line="185" w:lineRule="exact"/>
        <w:rPr>
          <w:sz w:val="20"/>
          <w:szCs w:val="20"/>
          <w:color w:val="auto"/>
        </w:rPr>
      </w:pPr>
    </w:p>
    <w:p>
      <w:pPr>
        <w:ind w:left="120" w:right="120" w:firstLine="440"/>
        <w:spacing w:after="0" w:line="242"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removing certain exceptions for intra period tax allocations and deferred tax liabilities for equity method investments and adds guidance on whether a step-up in tax basis of goodwill relates to a business combination or a separate transaction. This ASU is effective for fiscal years beginning after December 15, 2020 for public companies and for fiscal years beginning after December 15, 2021 for nonpublic companies,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with early adoption permitted. The Company expects to adopt this guidance effective January 1, 2022 and it is currently evaluating the impact on its consolidated financial statements and related disclosures.</w:t>
      </w:r>
    </w:p>
    <w:p>
      <w:pPr>
        <w:spacing w:after="0" w:line="179"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Contracts in Entity’s Own Equity (Subtopic 815-40) (“ASU 2020-06”</w:t>
      </w:r>
      <w:r>
        <w:rPr>
          <w:rFonts w:ascii="Arial" w:cs="Arial" w:eastAsia="Arial" w:hAnsi="Arial"/>
          <w:sz w:val="18"/>
          <w:szCs w:val="18"/>
          <w:color w:val="auto"/>
        </w:rPr>
        <w:t>), which reduces the number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models for convertible debt instruments and convertible preferred stock as well as amends the derivatives scope exception for contracts in an entity’s own equity. The standard is effective for the Company on January 1, 2024, with early adoption permitted. The Company is currently evaluating the potential impact that this standard may have on its consolidated financial statements and related disclosures.</w:t>
      </w:r>
    </w:p>
    <w:p>
      <w:pPr>
        <w:spacing w:after="0" w:line="329" w:lineRule="exact"/>
        <w:rPr>
          <w:sz w:val="20"/>
          <w:szCs w:val="20"/>
          <w:color w:val="auto"/>
        </w:rPr>
      </w:pPr>
    </w:p>
    <w:p>
      <w:pPr>
        <w:ind w:left="660" w:hanging="544"/>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Recognition</w:t>
      </w:r>
    </w:p>
    <w:p>
      <w:pPr>
        <w:spacing w:after="0" w:line="126"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The following tables present revenue disaggregated by geographical area and major solutions. The categorization of revenue by geographical location is determined based on location of where the Client resides.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9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3"/>
        </w:trPr>
        <w:tc>
          <w:tcPr>
            <w:tcW w:w="8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 thousands)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b w:val="1"/>
                <w:bCs w:val="1"/>
                <w:color w:val="auto"/>
              </w:rPr>
              <w:t>Primary geographical markets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 (“U.S.”)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67,896</w:t>
            </w:r>
          </w:p>
        </w:tc>
        <w:tc>
          <w:tcPr>
            <w:tcW w:w="4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97,768</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United Kingdom (“U.K.”)</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15,532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18,217</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Other countries </w:t>
            </w: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11,490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15,798</w:t>
            </w:r>
          </w:p>
        </w:tc>
      </w:tr>
      <w:tr>
        <w:trPr>
          <w:trHeight w:val="209"/>
        </w:trPr>
        <w:tc>
          <w:tcPr>
            <w:tcW w:w="8900" w:type="dxa"/>
            <w:vAlign w:val="bottom"/>
          </w:tcPr>
          <w:p>
            <w:pPr>
              <w:ind w:left="36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94,918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131,783</w:t>
            </w:r>
          </w:p>
        </w:tc>
        <w:tc>
          <w:tcPr>
            <w:tcW w:w="80" w:type="dxa"/>
            <w:vAlign w:val="bottom"/>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Major solutions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Transactions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86,580</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89,607</w:t>
            </w:r>
          </w:p>
        </w:tc>
      </w:tr>
      <w:tr>
        <w:trPr>
          <w:trHeight w:val="202"/>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Platform and usage-based fees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8,338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42,176</w:t>
            </w:r>
          </w:p>
        </w:tc>
      </w:tr>
      <w:tr>
        <w:trPr>
          <w:trHeight w:val="210"/>
        </w:trPr>
        <w:tc>
          <w:tcPr>
            <w:tcW w:w="8900" w:type="dxa"/>
            <w:vAlign w:val="bottom"/>
          </w:tcPr>
          <w:p>
            <w:pPr>
              <w:ind w:left="36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94,918</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131,783</w:t>
            </w:r>
          </w:p>
        </w:tc>
        <w:tc>
          <w:tcPr>
            <w:tcW w:w="80" w:type="dxa"/>
            <w:vAlign w:val="bottom"/>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660" w:hanging="544"/>
        <w:spacing w:after="0"/>
        <w:tabs>
          <w:tab w:leader="none" w:pos="660" w:val="left"/>
        </w:tabs>
        <w:numPr>
          <w:ilvl w:val="0"/>
          <w:numId w:val="135"/>
        </w:numPr>
        <w:rPr>
          <w:rFonts w:ascii="Arial" w:cs="Arial" w:eastAsia="Arial" w:hAnsi="Arial"/>
          <w:sz w:val="15"/>
          <w:szCs w:val="15"/>
          <w:color w:val="auto"/>
        </w:rPr>
      </w:pPr>
      <w:r>
        <w:rPr>
          <w:rFonts w:ascii="Arial" w:cs="Arial" w:eastAsia="Arial" w:hAnsi="Arial"/>
          <w:sz w:val="18"/>
          <w:szCs w:val="18"/>
          <w:color w:val="auto"/>
        </w:rPr>
        <w:t>No single country included in the other countries category generated 10% or more of total revenue.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 from Contracts with Customers</w:t>
      </w:r>
    </w:p>
    <w:p>
      <w:pPr>
        <w:spacing w:after="0" w:line="126"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The following table provides information about accounts receivable, unbilled receivables and deferred revenue from contracts with customers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2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2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20" w:type="dxa"/>
            <w:vAlign w:val="bottom"/>
            <w:tcBorders>
              <w:top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Accounts receivable, net of allowances</w:t>
            </w:r>
          </w:p>
        </w:tc>
        <w:tc>
          <w:tcPr>
            <w:tcW w:w="4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1,700</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11,573</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Unbilled Receivables</w:t>
            </w:r>
          </w:p>
        </w:tc>
        <w:tc>
          <w:tcPr>
            <w:tcW w:w="56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1,297</w:t>
            </w:r>
          </w:p>
        </w:tc>
        <w:tc>
          <w:tcPr>
            <w:tcW w:w="12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1,698</w:t>
            </w: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revenue—current</w:t>
            </w:r>
          </w:p>
        </w:tc>
        <w:tc>
          <w:tcPr>
            <w:tcW w:w="56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1,325</w:t>
            </w:r>
          </w:p>
        </w:tc>
        <w:tc>
          <w:tcPr>
            <w:tcW w:w="12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1,227</w:t>
            </w:r>
          </w:p>
        </w:tc>
      </w:tr>
      <w:tr>
        <w:trPr>
          <w:trHeight w:val="217"/>
        </w:trPr>
        <w:tc>
          <w:tcPr>
            <w:tcW w:w="4200" w:type="dxa"/>
            <w:vAlign w:val="bottom"/>
          </w:tcPr>
          <w:p>
            <w:pPr>
              <w:spacing w:after="0"/>
              <w:rPr>
                <w:sz w:val="20"/>
                <w:szCs w:val="20"/>
                <w:color w:val="auto"/>
              </w:rPr>
            </w:pPr>
            <w:r>
              <w:rPr>
                <w:rFonts w:ascii="Arial" w:cs="Arial" w:eastAsia="Arial" w:hAnsi="Arial"/>
                <w:sz w:val="18"/>
                <w:szCs w:val="18"/>
                <w:color w:val="auto"/>
              </w:rPr>
              <w:t>Deferred revenue—non-current</w:t>
            </w:r>
          </w:p>
        </w:tc>
        <w:tc>
          <w:tcPr>
            <w:tcW w:w="5620" w:type="dxa"/>
            <w:vAlign w:val="bottom"/>
            <w:gridSpan w:val="3"/>
          </w:tcPr>
          <w:p>
            <w:pPr>
              <w:jc w:val="right"/>
              <w:ind w:right="300"/>
              <w:spacing w:after="0"/>
              <w:rPr>
                <w:sz w:val="20"/>
                <w:szCs w:val="20"/>
                <w:color w:val="auto"/>
              </w:rPr>
            </w:pPr>
            <w:r>
              <w:rPr>
                <w:rFonts w:ascii="Arial" w:cs="Arial" w:eastAsia="Arial" w:hAnsi="Arial"/>
                <w:sz w:val="18"/>
                <w:szCs w:val="18"/>
                <w:color w:val="auto"/>
              </w:rPr>
              <w:t>83</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108</w:t>
            </w:r>
          </w:p>
        </w:tc>
      </w:tr>
      <w:tr>
        <w:trPr>
          <w:trHeight w:val="350"/>
        </w:trPr>
        <w:tc>
          <w:tcPr>
            <w:tcW w:w="4200" w:type="dxa"/>
            <w:vAlign w:val="bottom"/>
          </w:tcPr>
          <w:p>
            <w:pPr>
              <w:spacing w:after="0"/>
              <w:rPr>
                <w:sz w:val="24"/>
                <w:szCs w:val="24"/>
                <w:color w:val="auto"/>
              </w:rPr>
            </w:pPr>
          </w:p>
        </w:tc>
        <w:tc>
          <w:tcPr>
            <w:tcW w:w="5620" w:type="dxa"/>
            <w:vAlign w:val="bottom"/>
            <w:gridSpan w:val="3"/>
          </w:tcPr>
          <w:p>
            <w:pPr>
              <w:ind w:left="1120"/>
              <w:spacing w:after="0"/>
              <w:rPr>
                <w:sz w:val="20"/>
                <w:szCs w:val="20"/>
                <w:color w:val="auto"/>
              </w:rPr>
            </w:pPr>
            <w:r>
              <w:rPr>
                <w:rFonts w:ascii="Arial" w:cs="Arial" w:eastAsia="Arial" w:hAnsi="Arial"/>
                <w:sz w:val="18"/>
                <w:szCs w:val="18"/>
                <w:color w:val="auto"/>
              </w:rPr>
              <w:t>F-26</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For the year ended December 31, 2019, the Company recognized $0.6 million in revenue from amounts that were included in deferred revenue as of December 31, 2018.</w:t>
      </w:r>
    </w:p>
    <w:p>
      <w:pPr>
        <w:spacing w:after="0" w:line="197"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For the year ended December 31, 2020, the Company recognized $1.3 million in revenue from amounts that were included in deferred revenue as of December 31, 2019.</w:t>
      </w:r>
    </w:p>
    <w:p>
      <w:pPr>
        <w:spacing w:after="0" w:line="323" w:lineRule="exact"/>
        <w:rPr>
          <w:sz w:val="20"/>
          <w:szCs w:val="20"/>
          <w:color w:val="auto"/>
        </w:rPr>
      </w:pPr>
    </w:p>
    <w:p>
      <w:pPr>
        <w:ind w:left="660" w:hanging="544"/>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the allowance for doubtful accounts were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6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7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860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Allowance for doubtful accounts at the beginning of the year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740" w:type="dxa"/>
            <w:vAlign w:val="bottom"/>
            <w:gridSpan w:val="2"/>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7"/>
                <w:szCs w:val="17"/>
                <w:color w:val="auto"/>
              </w:rPr>
            </w:pPr>
          </w:p>
        </w:tc>
      </w:tr>
      <w:tr>
        <w:trPr>
          <w:trHeight w:val="203"/>
        </w:trPr>
        <w:tc>
          <w:tcPr>
            <w:tcW w:w="8600" w:type="dxa"/>
            <w:vAlign w:val="bottom"/>
          </w:tcPr>
          <w:p>
            <w:pPr>
              <w:ind w:left="720"/>
              <w:spacing w:after="0" w:line="202" w:lineRule="exact"/>
              <w:rPr>
                <w:sz w:val="20"/>
                <w:szCs w:val="20"/>
                <w:color w:val="auto"/>
              </w:rPr>
            </w:pPr>
            <w:r>
              <w:rPr>
                <w:rFonts w:ascii="Arial" w:cs="Arial" w:eastAsia="Arial" w:hAnsi="Arial"/>
                <w:sz w:val="18"/>
                <w:szCs w:val="18"/>
                <w:color w:val="auto"/>
              </w:rPr>
              <w:t>Provisions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(253)</w:t>
            </w:r>
          </w:p>
        </w:tc>
        <w:tc>
          <w:tcPr>
            <w:tcW w:w="16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(237)</w:t>
            </w:r>
          </w:p>
        </w:tc>
      </w:tr>
      <w:tr>
        <w:trPr>
          <w:trHeight w:val="203"/>
        </w:trPr>
        <w:tc>
          <w:tcPr>
            <w:tcW w:w="8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Write-offs, net of recoveries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r>
      <w:tr>
        <w:trPr>
          <w:trHeight w:val="209"/>
        </w:trPr>
        <w:tc>
          <w:tcPr>
            <w:tcW w:w="8600" w:type="dxa"/>
            <w:vAlign w:val="bottom"/>
          </w:tcPr>
          <w:p>
            <w:pPr>
              <w:ind w:left="360"/>
              <w:spacing w:after="0"/>
              <w:rPr>
                <w:sz w:val="20"/>
                <w:szCs w:val="20"/>
                <w:color w:val="auto"/>
              </w:rPr>
            </w:pPr>
            <w:r>
              <w:rPr>
                <w:rFonts w:ascii="Arial" w:cs="Arial" w:eastAsia="Arial" w:hAnsi="Arial"/>
                <w:sz w:val="18"/>
                <w:szCs w:val="18"/>
                <w:color w:val="auto"/>
              </w:rPr>
              <w:t>Allowance for doubtful accounts at the end of the year</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(298)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(481)</w:t>
            </w:r>
          </w:p>
        </w:tc>
      </w:tr>
      <w:tr>
        <w:trPr>
          <w:trHeight w:val="20"/>
        </w:trPr>
        <w:tc>
          <w:tcPr>
            <w:tcW w:w="8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6"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920" w:type="dxa"/>
            <w:vAlign w:val="bottom"/>
            <w:gridSpan w:val="19"/>
          </w:tcPr>
          <w:p>
            <w:pPr>
              <w:ind w:left="400"/>
              <w:spacing w:after="0"/>
              <w:rPr>
                <w:sz w:val="20"/>
                <w:szCs w:val="20"/>
                <w:color w:val="auto"/>
              </w:rPr>
            </w:pPr>
            <w:r>
              <w:rPr>
                <w:rFonts w:ascii="Arial" w:cs="Arial" w:eastAsia="Arial" w:hAnsi="Arial"/>
                <w:sz w:val="14"/>
                <w:szCs w:val="14"/>
                <w:b w:val="1"/>
                <w:bCs w:val="1"/>
                <w:color w:val="auto"/>
              </w:rPr>
              <w:t>Fair Value Measurements as of December 31, 2019 Using:</w:t>
            </w:r>
          </w:p>
        </w:tc>
      </w:tr>
      <w:tr>
        <w:trPr>
          <w:trHeight w:val="155"/>
        </w:trPr>
        <w:tc>
          <w:tcPr>
            <w:tcW w:w="5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Level 1</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83"/>
        </w:trPr>
        <w:tc>
          <w:tcPr>
            <w:tcW w:w="5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Money market funds</w:t>
            </w:r>
          </w:p>
        </w:tc>
        <w:tc>
          <w:tcPr>
            <w:tcW w:w="540" w:type="dxa"/>
            <w:vAlign w:val="bottom"/>
          </w:tcPr>
          <w:p>
            <w:pPr>
              <w:spacing w:after="0"/>
              <w:rPr>
                <w:sz w:val="17"/>
                <w:szCs w:val="17"/>
                <w:color w:val="auto"/>
              </w:rPr>
            </w:pP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13,179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jc w:val="right"/>
              <w:ind w:right="368"/>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13,179</w:t>
            </w:r>
          </w:p>
        </w:tc>
      </w:tr>
      <w:tr>
        <w:trPr>
          <w:trHeight w:val="20"/>
        </w:trPr>
        <w:tc>
          <w:tcPr>
            <w:tcW w:w="5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540" w:type="dxa"/>
            <w:vAlign w:val="bottom"/>
          </w:tcPr>
          <w:p>
            <w:pPr>
              <w:spacing w:after="0"/>
              <w:rPr>
                <w:sz w:val="17"/>
                <w:szCs w:val="17"/>
                <w:color w:val="auto"/>
              </w:rPr>
            </w:pP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jc w:val="right"/>
              <w:ind w:right="368"/>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1,307</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1,307</w:t>
            </w: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2,000</w:t>
            </w:r>
          </w:p>
        </w:tc>
      </w:tr>
      <w:tr>
        <w:trPr>
          <w:trHeight w:val="27"/>
        </w:trPr>
        <w:tc>
          <w:tcPr>
            <w:tcW w:w="5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13,179</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68"/>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3,312</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3,312</w:t>
            </w:r>
          </w:p>
        </w:tc>
      </w:tr>
      <w:tr>
        <w:trPr>
          <w:trHeight w:val="20"/>
        </w:trPr>
        <w:tc>
          <w:tcPr>
            <w:tcW w:w="5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54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6"/>
          </w:tcPr>
          <w:p>
            <w:pPr>
              <w:jc w:val="center"/>
              <w:spacing w:after="0"/>
              <w:rPr>
                <w:sz w:val="20"/>
                <w:szCs w:val="20"/>
                <w:color w:val="auto"/>
              </w:rPr>
            </w:pPr>
            <w:r>
              <w:rPr>
                <w:rFonts w:ascii="Arial" w:cs="Arial" w:eastAsia="Arial" w:hAnsi="Arial"/>
                <w:sz w:val="14"/>
                <w:szCs w:val="14"/>
                <w:b w:val="1"/>
                <w:bCs w:val="1"/>
                <w:color w:val="auto"/>
              </w:rPr>
              <w:t>Fair Value Measurements as of December 31, 2020 Using:</w:t>
            </w: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5420" w:type="dxa"/>
            <w:vAlign w:val="bottom"/>
          </w:tcPr>
          <w:p>
            <w:pPr>
              <w:spacing w:after="0"/>
              <w:rPr>
                <w:sz w:val="13"/>
                <w:szCs w:val="13"/>
                <w:color w:val="auto"/>
              </w:rPr>
            </w:pPr>
          </w:p>
        </w:tc>
        <w:tc>
          <w:tcPr>
            <w:tcW w:w="68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Level 1</w:t>
            </w:r>
          </w:p>
        </w:tc>
        <w:tc>
          <w:tcPr>
            <w:tcW w:w="640" w:type="dxa"/>
            <w:vAlign w:val="bottom"/>
          </w:tcPr>
          <w:p>
            <w:pPr>
              <w:spacing w:after="0"/>
              <w:rPr>
                <w:sz w:val="13"/>
                <w:szCs w:val="13"/>
                <w:color w:val="auto"/>
              </w:rPr>
            </w:pPr>
          </w:p>
        </w:tc>
        <w:tc>
          <w:tcPr>
            <w:tcW w:w="5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5"/>
          </w:tcPr>
          <w:p>
            <w:pPr>
              <w:ind w:left="8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gridSpan w:val="2"/>
          </w:tcPr>
          <w:p>
            <w:pPr>
              <w:spacing w:after="0"/>
              <w:rPr>
                <w:sz w:val="13"/>
                <w:szCs w:val="13"/>
                <w:color w:val="auto"/>
              </w:rPr>
            </w:pPr>
          </w:p>
        </w:tc>
      </w:tr>
      <w:tr>
        <w:trPr>
          <w:trHeight w:val="183"/>
        </w:trPr>
        <w:tc>
          <w:tcPr>
            <w:tcW w:w="5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Money market funds</w:t>
            </w:r>
          </w:p>
        </w:tc>
        <w:tc>
          <w:tcPr>
            <w:tcW w:w="540" w:type="dxa"/>
            <w:vAlign w:val="bottom"/>
          </w:tcPr>
          <w:p>
            <w:pPr>
              <w:jc w:val="right"/>
              <w:ind w:right="355"/>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540" w:type="dxa"/>
            <w:vAlign w:val="bottom"/>
          </w:tcPr>
          <w:p>
            <w:pPr>
              <w:jc w:val="right"/>
              <w:ind w:right="355"/>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1,932</w:t>
            </w:r>
          </w:p>
        </w:tc>
        <w:tc>
          <w:tcPr>
            <w:tcW w:w="3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1,932</w:t>
            </w:r>
          </w:p>
        </w:tc>
        <w:tc>
          <w:tcPr>
            <w:tcW w:w="60" w:type="dxa"/>
            <w:vAlign w:val="bottom"/>
          </w:tcPr>
          <w:p>
            <w:pPr>
              <w:spacing w:after="0"/>
              <w:rPr>
                <w:sz w:val="17"/>
                <w:szCs w:val="17"/>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12,500</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12,500</w:t>
            </w:r>
          </w:p>
        </w:tc>
        <w:tc>
          <w:tcPr>
            <w:tcW w:w="60" w:type="dxa"/>
            <w:vAlign w:val="bottom"/>
            <w:shd w:val="clear" w:color="auto" w:fill="CCEEFF"/>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420" w:type="dxa"/>
            <w:vAlign w:val="bottom"/>
          </w:tcPr>
          <w:p>
            <w:pPr>
              <w:spacing w:after="0"/>
              <w:rPr>
                <w:sz w:val="18"/>
                <w:szCs w:val="18"/>
                <w:color w:val="auto"/>
              </w:rPr>
            </w:pPr>
          </w:p>
        </w:tc>
        <w:tc>
          <w:tcPr>
            <w:tcW w:w="540" w:type="dxa"/>
            <w:vAlign w:val="bottom"/>
          </w:tcPr>
          <w:p>
            <w:pPr>
              <w:jc w:val="right"/>
              <w:ind w:right="355"/>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4"/>
          </w:tcPr>
          <w:p>
            <w:pPr>
              <w:jc w:val="right"/>
              <w:ind w:right="340"/>
              <w:spacing w:after="0"/>
              <w:rPr>
                <w:sz w:val="20"/>
                <w:szCs w:val="20"/>
                <w:color w:val="auto"/>
              </w:rPr>
            </w:pPr>
            <w:r>
              <w:rPr>
                <w:rFonts w:ascii="Arial" w:cs="Arial" w:eastAsia="Arial" w:hAnsi="Arial"/>
                <w:sz w:val="18"/>
                <w:szCs w:val="18"/>
                <w:color w:val="auto"/>
              </w:rPr>
              <w:t>14,432</w:t>
            </w:r>
          </w:p>
        </w:tc>
        <w:tc>
          <w:tcPr>
            <w:tcW w:w="3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14,432</w:t>
            </w:r>
          </w:p>
        </w:tc>
        <w:tc>
          <w:tcPr>
            <w:tcW w:w="6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40" w:right="1500" w:hanging="4882"/>
        <w:spacing w:after="0" w:line="418" w:lineRule="auto"/>
        <w:rPr>
          <w:sz w:val="20"/>
          <w:szCs w:val="20"/>
          <w:color w:val="auto"/>
        </w:rPr>
      </w:pPr>
      <w:r>
        <w:rPr>
          <w:rFonts w:ascii="Arial" w:cs="Arial" w:eastAsia="Arial" w:hAnsi="Arial"/>
          <w:sz w:val="18"/>
          <w:szCs w:val="18"/>
          <w:color w:val="auto"/>
        </w:rPr>
        <w:t>During the year ended December 31, 2019 and 2020, there were no transfers between Level 1, Level 2 or Level 3. F-27</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26"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The preferred stock warrant liability in the table above consists of the fair value of warrants to purchase convertible preferred stock (refer to Note 13). The fair value of the preferred stock warrant liability was determined using significant inputs not observable in the market, which represent a Level 3 measurement within the fair value hierarchy.</w:t>
      </w:r>
    </w:p>
    <w:p>
      <w:pPr>
        <w:spacing w:after="0" w:line="203"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The table below summarizes the weighted average of the most significant inputs used to fair value the preferred stock warrant liability:</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720" w:type="dxa"/>
            <w:vAlign w:val="bottom"/>
          </w:tcPr>
          <w:p>
            <w:pPr>
              <w:spacing w:after="0"/>
              <w:rPr>
                <w:sz w:val="15"/>
                <w:szCs w:val="15"/>
                <w:color w:val="auto"/>
              </w:rPr>
            </w:pPr>
          </w:p>
        </w:tc>
        <w:tc>
          <w:tcPr>
            <w:tcW w:w="23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7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preferred stock</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13.99</w:t>
            </w: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19.42</w:t>
            </w:r>
          </w:p>
        </w:tc>
        <w:tc>
          <w:tcPr>
            <w:tcW w:w="220" w:type="dxa"/>
            <w:vAlign w:val="bottom"/>
            <w:shd w:val="clear" w:color="auto" w:fill="CCEEFF"/>
          </w:tcPr>
          <w:p>
            <w:pPr>
              <w:spacing w:after="0"/>
              <w:rPr>
                <w:sz w:val="17"/>
                <w:szCs w:val="17"/>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3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1.83%</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0.66%</w:t>
            </w: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3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44.0%</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42.5%</w:t>
            </w: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3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contractual term (in years)</w:t>
            </w:r>
          </w:p>
        </w:tc>
        <w:tc>
          <w:tcPr>
            <w:tcW w:w="13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w:t>
            </w: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unobservable inputs incorporated into the valuation of contingent consideration: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60" w:type="dxa"/>
            <w:vAlign w:val="bottom"/>
            <w:tcBorders>
              <w:bottom w:val="single" w:sz="8" w:color="CCEEFF"/>
            </w:tcBorders>
          </w:tcPr>
          <w:p>
            <w:pPr>
              <w:spacing w:after="0"/>
              <w:rPr>
                <w:sz w:val="15"/>
                <w:szCs w:val="15"/>
                <w:color w:val="auto"/>
              </w:rPr>
            </w:pPr>
          </w:p>
        </w:tc>
        <w:tc>
          <w:tcPr>
            <w:tcW w:w="26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Year Ended December 31, 2020</w:t>
            </w: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2660" w:type="dxa"/>
            <w:vAlign w:val="bottom"/>
            <w:shd w:val="clear" w:color="auto" w:fill="CCEEFF"/>
          </w:tcPr>
          <w:p>
            <w:pPr>
              <w:jc w:val="right"/>
              <w:ind w:right="1075"/>
              <w:spacing w:after="0" w:line="196" w:lineRule="exact"/>
              <w:rPr>
                <w:sz w:val="20"/>
                <w:szCs w:val="20"/>
                <w:color w:val="auto"/>
              </w:rPr>
            </w:pPr>
            <w:r>
              <w:rPr>
                <w:rFonts w:ascii="Arial" w:cs="Arial" w:eastAsia="Arial" w:hAnsi="Arial"/>
                <w:sz w:val="18"/>
                <w:szCs w:val="18"/>
                <w:color w:val="auto"/>
              </w:rPr>
              <w:t>10%</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Probability of successful achievement*</w:t>
            </w:r>
          </w:p>
        </w:tc>
        <w:tc>
          <w:tcPr>
            <w:tcW w:w="2660" w:type="dxa"/>
            <w:vAlign w:val="bottom"/>
          </w:tcPr>
          <w:p>
            <w:pPr>
              <w:jc w:val="right"/>
              <w:ind w:right="815"/>
              <w:spacing w:after="0" w:line="202" w:lineRule="exact"/>
              <w:rPr>
                <w:sz w:val="20"/>
                <w:szCs w:val="20"/>
                <w:color w:val="auto"/>
              </w:rPr>
            </w:pPr>
            <w:r>
              <w:rPr>
                <w:rFonts w:ascii="Arial" w:cs="Arial" w:eastAsia="Arial" w:hAnsi="Arial"/>
                <w:sz w:val="18"/>
                <w:szCs w:val="18"/>
                <w:color w:val="auto"/>
              </w:rPr>
              <w:t>71%-100%</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Performance period</w:t>
            </w:r>
          </w:p>
        </w:tc>
        <w:tc>
          <w:tcPr>
            <w:tcW w:w="266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2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Probability of successful achievement was set at 71% for certain targets and at 100% for others based on the Company’s best estimates on achieving them.</w:t>
      </w:r>
    </w:p>
    <w:p>
      <w:pPr>
        <w:spacing w:after="0" w:line="211"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Increases or decreases in any of the probabilities of success in which revenue targets are expected to be achieved would result in a higher or lower fair value measurement, respectively. Increases or decreases in the discount rate would result in a lower or higher fair value measurement, respectively.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changes in the carrying value of the contingent consideration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5580" w:type="dxa"/>
            <w:vAlign w:val="bottom"/>
            <w:tcBorders>
              <w:bottom w:val="single" w:sz="8" w:color="CCEEFF"/>
            </w:tcBorders>
          </w:tcPr>
          <w:p>
            <w:pPr>
              <w:spacing w:after="0"/>
              <w:rPr>
                <w:sz w:val="13"/>
                <w:szCs w:val="13"/>
                <w:color w:val="auto"/>
              </w:rPr>
            </w:pPr>
          </w:p>
        </w:tc>
        <w:tc>
          <w:tcPr>
            <w:tcW w:w="32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r>
      <w:tr>
        <w:trPr>
          <w:trHeight w:val="196"/>
        </w:trPr>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w w:val="94"/>
              </w:rPr>
              <w:t>13,763</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7"/>
                <w:szCs w:val="17"/>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7,100</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5,400</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Contingent consideration paid</w:t>
            </w: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(12,423)</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(2,000)*</w:t>
            </w:r>
          </w:p>
        </w:tc>
      </w:tr>
      <w:tr>
        <w:trPr>
          <w:trHeight w:val="27"/>
        </w:trPr>
        <w:tc>
          <w:tcPr>
            <w:tcW w:w="5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12,500</w:t>
            </w:r>
          </w:p>
        </w:tc>
      </w:tr>
      <w:tr>
        <w:trPr>
          <w:trHeight w:val="20"/>
        </w:trPr>
        <w:tc>
          <w:tcPr>
            <w:tcW w:w="5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7" w:lineRule="exact"/>
        <w:rPr>
          <w:sz w:val="20"/>
          <w:szCs w:val="20"/>
          <w:color w:val="auto"/>
        </w:rPr>
      </w:pPr>
    </w:p>
    <w:p>
      <w:pPr>
        <w:ind w:left="540" w:right="40" w:hanging="424"/>
        <w:spacing w:after="0" w:line="258" w:lineRule="auto"/>
        <w:tabs>
          <w:tab w:leader="none" w:pos="5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Amounts of $0.7 million paid in excess of fair value initially recorded in purchase accounting were classified as operating cash flows in the Consolidated Statements of Cash Flows.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34"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December 31, 2019 and 2020, respectively, the Company had 1,570 and 3,647 open foreign exchange contracts. As of December 31, 2019 and 2020, the Company had foreign currency forward contracts outstanding with a notional amount of $10.2 million and $11.8 million, respectively.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records all derivative instruments in the consolidated balance sheets at their fair values. As of December 31, 2019,</w:t>
      </w:r>
    </w:p>
    <w:p>
      <w:pPr>
        <w:ind w:left="120"/>
        <w:spacing w:after="0" w:line="234" w:lineRule="auto"/>
        <w:rPr>
          <w:sz w:val="20"/>
          <w:szCs w:val="20"/>
          <w:color w:val="auto"/>
        </w:rPr>
      </w:pPr>
      <w:r>
        <w:rPr>
          <w:rFonts w:ascii="Arial" w:cs="Arial" w:eastAsia="Arial" w:hAnsi="Arial"/>
          <w:sz w:val="18"/>
          <w:szCs w:val="18"/>
          <w:color w:val="auto"/>
        </w:rPr>
        <w:t>the Company recorded a liability of less than $0.1 million and as of December 31, 2020, the Company recorded an asset of less than</w:t>
      </w:r>
    </w:p>
    <w:p>
      <w:pPr>
        <w:ind w:left="120"/>
        <w:spacing w:after="0" w:line="235" w:lineRule="auto"/>
        <w:rPr>
          <w:sz w:val="20"/>
          <w:szCs w:val="20"/>
          <w:color w:val="auto"/>
        </w:rPr>
      </w:pPr>
      <w:r>
        <w:rPr>
          <w:rFonts w:ascii="Arial" w:cs="Arial" w:eastAsia="Arial" w:hAnsi="Arial"/>
          <w:sz w:val="18"/>
          <w:szCs w:val="18"/>
          <w:color w:val="auto"/>
        </w:rPr>
        <w:t>$0.1 million related to outstanding foreign exchange contracts. The Company recognized a loss of $0.1 million and $0.5 million during the</w:t>
      </w:r>
    </w:p>
    <w:p>
      <w:pPr>
        <w:ind w:left="120"/>
        <w:spacing w:after="0" w:line="235" w:lineRule="auto"/>
        <w:rPr>
          <w:sz w:val="20"/>
          <w:szCs w:val="20"/>
          <w:color w:val="auto"/>
        </w:rPr>
      </w:pPr>
      <w:r>
        <w:rPr>
          <w:rFonts w:ascii="Arial" w:cs="Arial" w:eastAsia="Arial" w:hAnsi="Arial"/>
          <w:sz w:val="18"/>
          <w:szCs w:val="18"/>
          <w:color w:val="auto"/>
        </w:rPr>
        <w:t>year ended December 31, 2019 and 2020, respectively, which was included in the general and administrative line within the consolidated</w:t>
      </w:r>
    </w:p>
    <w:p>
      <w:pPr>
        <w:ind w:left="120"/>
        <w:spacing w:after="0"/>
        <w:rPr>
          <w:sz w:val="20"/>
          <w:szCs w:val="20"/>
          <w:color w:val="auto"/>
        </w:rPr>
      </w:pPr>
      <w:r>
        <w:rPr>
          <w:rFonts w:ascii="Arial" w:cs="Arial" w:eastAsia="Arial" w:hAnsi="Arial"/>
          <w:sz w:val="18"/>
          <w:szCs w:val="18"/>
          <w:color w:val="auto"/>
        </w:rPr>
        <w:t>statements of operations and comprehensive loss.</w:t>
      </w:r>
    </w:p>
    <w:p>
      <w:pPr>
        <w:spacing w:after="0" w:line="338" w:lineRule="exact"/>
        <w:rPr>
          <w:sz w:val="20"/>
          <w:szCs w:val="20"/>
          <w:color w:val="auto"/>
        </w:rPr>
      </w:pPr>
    </w:p>
    <w:p>
      <w:pPr>
        <w:ind w:left="660" w:hanging="544"/>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0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8"/>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300" w:type="dxa"/>
            <w:vAlign w:val="bottom"/>
            <w:tcBorders>
              <w:bottom w:val="single" w:sz="8" w:color="CCEEFF"/>
            </w:tcBorders>
          </w:tcPr>
          <w:p>
            <w:pPr>
              <w:spacing w:after="0"/>
              <w:rPr>
                <w:sz w:val="13"/>
                <w:szCs w:val="13"/>
                <w:color w:val="auto"/>
              </w:rPr>
            </w:pPr>
          </w:p>
        </w:tc>
        <w:tc>
          <w:tcPr>
            <w:tcW w:w="61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7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8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Accrued employee compensation and related taxes</w:t>
            </w: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3,696</w:t>
            </w:r>
          </w:p>
        </w:tc>
        <w:tc>
          <w:tcPr>
            <w:tcW w:w="2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9,371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3"/>
          </w:tcPr>
          <w:p>
            <w:pPr>
              <w:spacing w:after="0" w:line="202" w:lineRule="exact"/>
              <w:rPr>
                <w:sz w:val="20"/>
                <w:szCs w:val="20"/>
                <w:color w:val="auto"/>
              </w:rPr>
            </w:pPr>
            <w:r>
              <w:rPr>
                <w:rFonts w:ascii="Arial" w:cs="Arial" w:eastAsia="Arial" w:hAnsi="Arial"/>
                <w:sz w:val="18"/>
                <w:szCs w:val="18"/>
                <w:color w:val="auto"/>
              </w:rPr>
              <w:t>Accrued vendor liabilities</w:t>
            </w: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1,887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03"/>
        </w:trPr>
        <w:tc>
          <w:tcPr>
            <w:tcW w:w="68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Accrued income taxes payable</w:t>
            </w: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03"/>
        </w:trPr>
        <w:tc>
          <w:tcPr>
            <w:tcW w:w="6820" w:type="dxa"/>
            <w:vAlign w:val="bottom"/>
            <w:gridSpan w:val="3"/>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760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03"/>
        </w:trPr>
        <w:tc>
          <w:tcPr>
            <w:tcW w:w="68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accrued expenses and current liabilities</w:t>
            </w: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724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7,388</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14,991</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8.</w:t>
            </w:r>
          </w:p>
        </w:tc>
        <w:tc>
          <w:tcPr>
            <w:tcW w:w="65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Property and Equipment, net</w:t>
            </w: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00" w:type="dxa"/>
            <w:vAlign w:val="bottom"/>
            <w:vMerge w:val="continue"/>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00" w:type="dxa"/>
            <w:vAlign w:val="bottom"/>
          </w:tcPr>
          <w:p>
            <w:pPr>
              <w:spacing w:after="0"/>
              <w:rPr>
                <w:sz w:val="24"/>
                <w:szCs w:val="24"/>
                <w:color w:val="auto"/>
              </w:rPr>
            </w:pPr>
          </w:p>
        </w:tc>
        <w:tc>
          <w:tcPr>
            <w:tcW w:w="652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 consisted of the following (dollars in thousands):</w:t>
            </w: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Estimated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8"/>
            <w:vMerge w:val="restart"/>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6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Useful Life</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300" w:type="dxa"/>
            <w:vAlign w:val="bottom"/>
          </w:tcPr>
          <w:p>
            <w:pPr>
              <w:spacing w:after="0"/>
              <w:rPr>
                <w:sz w:val="5"/>
                <w:szCs w:val="5"/>
                <w:color w:val="auto"/>
              </w:rPr>
            </w:pPr>
          </w:p>
        </w:tc>
        <w:tc>
          <w:tcPr>
            <w:tcW w:w="6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Computer equipment and software</w:t>
            </w:r>
          </w:p>
        </w:tc>
        <w:tc>
          <w:tcPr>
            <w:tcW w:w="17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3-5</w:t>
            </w: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2,311</w:t>
            </w: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1,465</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3"/>
          </w:tcPr>
          <w:p>
            <w:pPr>
              <w:spacing w:after="0" w:line="202" w:lineRule="exact"/>
              <w:rPr>
                <w:sz w:val="20"/>
                <w:szCs w:val="20"/>
                <w:color w:val="auto"/>
              </w:rPr>
            </w:pPr>
            <w:r>
              <w:rPr>
                <w:rFonts w:ascii="Arial" w:cs="Arial" w:eastAsia="Arial" w:hAnsi="Arial"/>
                <w:sz w:val="18"/>
                <w:szCs w:val="18"/>
                <w:color w:val="auto"/>
              </w:rPr>
              <w:t>Internal use software</w:t>
            </w:r>
          </w:p>
        </w:tc>
        <w:tc>
          <w:tcPr>
            <w:tcW w:w="1760" w:type="dxa"/>
            <w:vAlign w:val="bottom"/>
          </w:tcPr>
          <w:p>
            <w:pPr>
              <w:jc w:val="center"/>
              <w:spacing w:after="0" w:line="202" w:lineRule="exact"/>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17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995</w:t>
            </w:r>
          </w:p>
        </w:tc>
        <w:tc>
          <w:tcPr>
            <w:tcW w:w="2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gridSpan w:val="3"/>
          </w:tcPr>
          <w:p>
            <w:pPr>
              <w:spacing w:after="0" w:line="201" w:lineRule="exact"/>
              <w:rPr>
                <w:sz w:val="20"/>
                <w:szCs w:val="20"/>
                <w:color w:val="auto"/>
              </w:rPr>
            </w:pPr>
            <w:r>
              <w:rPr>
                <w:rFonts w:ascii="Arial" w:cs="Arial" w:eastAsia="Arial" w:hAnsi="Arial"/>
                <w:sz w:val="18"/>
                <w:szCs w:val="18"/>
                <w:color w:val="auto"/>
              </w:rPr>
              <w:t>Leasehold improvements</w:t>
            </w:r>
          </w:p>
        </w:tc>
        <w:tc>
          <w:tcPr>
            <w:tcW w:w="182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99"/>
              </w:rPr>
              <w:t>Shorter of lease term</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4,864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3,989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8"/>
              </w:rPr>
              <w:t>or useful life</w:t>
            </w: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8,170</w:t>
            </w:r>
          </w:p>
        </w:tc>
        <w:tc>
          <w:tcPr>
            <w:tcW w:w="2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7,920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(3,320)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4,850</w:t>
            </w:r>
          </w:p>
        </w:tc>
        <w:tc>
          <w:tcPr>
            <w:tcW w:w="240" w:type="dxa"/>
            <w:vAlign w:val="bottom"/>
            <w:tcBorders>
              <w:left w:val="single" w:sz="8" w:color="CCEEFF"/>
            </w:tcBorders>
            <w:shd w:val="clear" w:color="auto" w:fill="CCEEFF"/>
          </w:tcPr>
          <w:p>
            <w:pPr>
              <w:spacing w:after="0"/>
              <w:rPr>
                <w:sz w:val="17"/>
                <w:szCs w:val="17"/>
                <w:color w:val="auto"/>
              </w:rPr>
            </w:pPr>
          </w:p>
        </w:tc>
        <w:tc>
          <w:tcPr>
            <w:tcW w:w="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520" w:type="dxa"/>
            <w:vAlign w:val="bottom"/>
            <w:gridSpan w:val="2"/>
            <w:vMerge w:val="restart"/>
          </w:tcPr>
          <w:p>
            <w:pPr>
              <w:ind w:left="5020"/>
              <w:spacing w:after="0"/>
              <w:rPr>
                <w:sz w:val="20"/>
                <w:szCs w:val="20"/>
                <w:color w:val="auto"/>
              </w:rPr>
            </w:pPr>
            <w:r>
              <w:rPr>
                <w:rFonts w:ascii="Arial" w:cs="Arial" w:eastAsia="Arial" w:hAnsi="Arial"/>
                <w:sz w:val="18"/>
                <w:szCs w:val="18"/>
                <w:color w:val="auto"/>
              </w:rPr>
              <w:t>F-29</w:t>
            </w: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740" w:firstLine="440"/>
        <w:spacing w:after="0" w:line="246" w:lineRule="auto"/>
        <w:rPr>
          <w:sz w:val="20"/>
          <w:szCs w:val="20"/>
          <w:color w:val="auto"/>
        </w:rPr>
      </w:pPr>
      <w:r>
        <w:rPr>
          <w:rFonts w:ascii="Arial" w:cs="Arial" w:eastAsia="Arial" w:hAnsi="Arial"/>
          <w:sz w:val="18"/>
          <w:szCs w:val="18"/>
          <w:color w:val="auto"/>
        </w:rPr>
        <w:t>Depreciation and amortization expense was $1.2 million and $1.9 million for the years ended December 31, 2019 and 2020, respectively.</w:t>
      </w:r>
    </w:p>
    <w:p>
      <w:pPr>
        <w:spacing w:after="0" w:line="197" w:lineRule="exact"/>
        <w:rPr>
          <w:sz w:val="20"/>
          <w:szCs w:val="20"/>
          <w:color w:val="auto"/>
        </w:rPr>
      </w:pPr>
    </w:p>
    <w:p>
      <w:pPr>
        <w:ind w:left="120" w:right="760" w:firstLine="440"/>
        <w:spacing w:after="0" w:line="246" w:lineRule="auto"/>
        <w:rPr>
          <w:sz w:val="20"/>
          <w:szCs w:val="20"/>
          <w:color w:val="auto"/>
        </w:rPr>
      </w:pPr>
      <w:r>
        <w:rPr>
          <w:rFonts w:ascii="Arial" w:cs="Arial" w:eastAsia="Arial" w:hAnsi="Arial"/>
          <w:sz w:val="18"/>
          <w:szCs w:val="18"/>
          <w:color w:val="auto"/>
        </w:rPr>
        <w:t>During the year ended December 31, 2020 the Company wrote off $2.6 million of property and equipment with accumulated depreciation of $2.5 million, as the assets were determined to no longer have any future economic benefits.</w:t>
      </w:r>
    </w:p>
    <w:p>
      <w:pPr>
        <w:spacing w:after="0" w:line="197" w:lineRule="exact"/>
        <w:rPr>
          <w:sz w:val="20"/>
          <w:szCs w:val="20"/>
          <w:color w:val="auto"/>
        </w:rPr>
      </w:pPr>
    </w:p>
    <w:p>
      <w:pPr>
        <w:ind w:left="120" w:right="80" w:firstLine="440"/>
        <w:spacing w:after="0" w:line="274" w:lineRule="auto"/>
        <w:rPr>
          <w:sz w:val="20"/>
          <w:szCs w:val="20"/>
          <w:color w:val="auto"/>
        </w:rPr>
      </w:pPr>
      <w:r>
        <w:rPr>
          <w:rFonts w:ascii="Arial" w:cs="Arial" w:eastAsia="Arial" w:hAnsi="Arial"/>
          <w:sz w:val="17"/>
          <w:szCs w:val="17"/>
          <w:color w:val="auto"/>
        </w:rPr>
        <w:t>As of December 31, 2019 and 2020, the carrying value of internal-used software was $0 and $ 1.7 million, respectively. Amortization expense related to internal-used software was $0 and $0.1 million for the year ended December 31, 2019 and 2020, respectively.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property and equipment, net based on geography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2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83"/>
        </w:trPr>
        <w:tc>
          <w:tcPr>
            <w:tcW w:w="9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Long-lived assets:</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9260" w:type="dxa"/>
            <w:vAlign w:val="bottom"/>
          </w:tcPr>
          <w:p>
            <w:pPr>
              <w:spacing w:after="0" w:line="202" w:lineRule="exact"/>
              <w:rPr>
                <w:sz w:val="20"/>
                <w:szCs w:val="20"/>
                <w:color w:val="auto"/>
              </w:rPr>
            </w:pPr>
            <w:r>
              <w:rPr>
                <w:rFonts w:ascii="Arial" w:cs="Arial" w:eastAsia="Arial" w:hAnsi="Arial"/>
                <w:sz w:val="18"/>
                <w:szCs w:val="18"/>
                <w:color w:val="auto"/>
              </w:rPr>
              <w:t>U.S.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3,957</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4,485</w:t>
            </w:r>
          </w:p>
        </w:tc>
      </w:tr>
      <w:tr>
        <w:trPr>
          <w:trHeight w:val="203"/>
        </w:trPr>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U.K.</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220</w:t>
            </w:r>
          </w:p>
        </w:tc>
      </w:tr>
      <w:tr>
        <w:trPr>
          <w:trHeight w:val="210"/>
        </w:trPr>
        <w:tc>
          <w:tcPr>
            <w:tcW w:w="9260" w:type="dxa"/>
            <w:vAlign w:val="bottom"/>
          </w:tcPr>
          <w:p>
            <w:pPr>
              <w:spacing w:after="0" w:line="202" w:lineRule="exact"/>
              <w:rPr>
                <w:sz w:val="20"/>
                <w:szCs w:val="20"/>
                <w:color w:val="auto"/>
              </w:rPr>
            </w:pPr>
            <w:r>
              <w:rPr>
                <w:rFonts w:ascii="Arial" w:cs="Arial" w:eastAsia="Arial" w:hAnsi="Arial"/>
                <w:sz w:val="18"/>
                <w:szCs w:val="18"/>
                <w:color w:val="auto"/>
              </w:rPr>
              <w:t>Other countries</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w:t>
            </w:r>
          </w:p>
        </w:tc>
        <w:tc>
          <w:tcPr>
            <w:tcW w:w="60" w:type="dxa"/>
            <w:vAlign w:val="bottom"/>
          </w:tcPr>
          <w:p>
            <w:pPr>
              <w:spacing w:after="0"/>
              <w:rPr>
                <w:sz w:val="18"/>
                <w:szCs w:val="18"/>
                <w:color w:val="auto"/>
              </w:rPr>
            </w:pPr>
          </w:p>
        </w:tc>
      </w:tr>
      <w:tr>
        <w:trPr>
          <w:trHeight w:val="203"/>
        </w:trPr>
        <w:tc>
          <w:tcPr>
            <w:tcW w:w="9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4,850</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5,101</w:t>
            </w:r>
          </w:p>
        </w:tc>
      </w:tr>
      <w:tr>
        <w:trPr>
          <w:trHeight w:val="20"/>
        </w:trPr>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Business Acquisition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Simplificare Inc.</w:t>
      </w:r>
    </w:p>
    <w:p>
      <w:pPr>
        <w:spacing w:after="0" w:line="230"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On February 13, 2020, the Company completed its acquisition of Simplificare Inc. (“Simplee”), a provider of healthcare payment and collections software. The acquisition of Simplee was intended to further expand the capabilities of the Company and to acquire additional customers in the healthcare market. The acquisition of Simplee has been accounted for as a business combination.</w:t>
      </w:r>
    </w:p>
    <w:p>
      <w:pPr>
        <w:spacing w:after="0" w:line="203"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Pursuant to the terms of the agreement, the Company acquired all outstanding equity of Simplee for estimated total purchase consideration of $86.5 million, which consists of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79,401</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7,100</w:t>
            </w:r>
          </w:p>
        </w:tc>
      </w:tr>
      <w:tr>
        <w:trPr>
          <w:trHeight w:val="27"/>
        </w:trPr>
        <w:tc>
          <w:tcPr>
            <w:tcW w:w="10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2"/>
        </w:trPr>
        <w:tc>
          <w:tcPr>
            <w:tcW w:w="10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purchase consideration, net of cash acquired</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86,501</w:t>
            </w:r>
          </w:p>
        </w:tc>
      </w:tr>
      <w:tr>
        <w:trPr>
          <w:trHeight w:val="20"/>
        </w:trPr>
        <w:tc>
          <w:tcPr>
            <w:tcW w:w="10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Contingent consideration represents additional payments that the Company may be required to make in the future, which totals up to $20.0 million depending on the Company reaching certain revenue and integration targets established for the years ended December 31, 2020 and 2021, as well as retaining key customers. A portion of the contingent consideration is also tied to continuing employment of certain key employees; accordingly, $2.1 million has been excluded from the purchase price allocation. During the year ended December 31, 2020 the Company expensed $1.1 million in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40"/>
        <w:spacing w:after="0" w:line="261" w:lineRule="auto"/>
        <w:rPr>
          <w:sz w:val="20"/>
          <w:szCs w:val="20"/>
          <w:color w:val="auto"/>
        </w:rPr>
      </w:pPr>
      <w:r>
        <w:rPr>
          <w:rFonts w:ascii="Arial" w:cs="Arial" w:eastAsia="Arial" w:hAnsi="Arial"/>
          <w:sz w:val="17"/>
          <w:szCs w:val="17"/>
          <w:color w:val="auto"/>
        </w:rPr>
        <w:t>personnel costs associated with the contingent consideration, in the Company’s consolidated statements of operations and comprehensive loss, and recorded a liability included in accrued expenses and other current liabilities on the consolidated balance sheet. The contingent consideration is payable at the one-year and two-year acquisition anniversary dates based on the prior year results.</w:t>
      </w:r>
    </w:p>
    <w:p>
      <w:pPr>
        <w:spacing w:after="0" w:line="18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7"/>
          <w:szCs w:val="17"/>
          <w:color w:val="auto"/>
        </w:rPr>
        <w:t>The Company incurred $ 1.9 million in transaction costs related to the Simplee acquisition, of which $0.4 million was incurred during the year ended December 31, 2019 and $1.5 million was incurred during the year ended December 31, 2020. Additionally, the Company incurred $3.4 million of retention costs during the year ended December 31, 2020 to compensate employees of Simplee for future services. This amount was included in personnel costs in the Company’s consolidated statements of operations and comprehensive loss.</w:t>
      </w:r>
    </w:p>
    <w:p>
      <w:pPr>
        <w:spacing w:after="0" w:line="189"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The following table summarizes the allocation of the purchase consideration to the fair value of the assets acquired and liabilities assumed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8,555</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1,578</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6,587</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31,696</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3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58,800</w:t>
            </w:r>
          </w:p>
        </w:tc>
        <w:tc>
          <w:tcPr>
            <w:tcW w:w="60" w:type="dxa"/>
            <w:vAlign w:val="bottom"/>
            <w:shd w:val="clear" w:color="auto" w:fill="CCEEFF"/>
          </w:tcPr>
          <w:p>
            <w:pPr>
              <w:spacing w:after="0"/>
              <w:rPr>
                <w:sz w:val="17"/>
                <w:szCs w:val="17"/>
                <w:color w:val="auto"/>
              </w:rPr>
            </w:pPr>
          </w:p>
        </w:tc>
      </w:tr>
      <w:tr>
        <w:trPr>
          <w:trHeight w:val="217"/>
        </w:trPr>
        <w:tc>
          <w:tcPr>
            <w:tcW w:w="6600" w:type="dxa"/>
            <w:vAlign w:val="bottom"/>
          </w:tcPr>
          <w:p>
            <w:pPr>
              <w:ind w:left="360"/>
              <w:spacing w:after="0"/>
              <w:rPr>
                <w:sz w:val="20"/>
                <w:szCs w:val="20"/>
                <w:color w:val="auto"/>
              </w:rPr>
            </w:pPr>
            <w:r>
              <w:rPr>
                <w:rFonts w:ascii="Arial" w:cs="Arial" w:eastAsia="Arial" w:hAnsi="Arial"/>
                <w:sz w:val="18"/>
                <w:szCs w:val="18"/>
                <w:color w:val="auto"/>
              </w:rPr>
              <w:t>Total assets acquired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109,513</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15,092</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2,267</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3,463</w:t>
            </w:r>
          </w:p>
        </w:tc>
        <w:tc>
          <w:tcPr>
            <w:tcW w:w="60" w:type="dxa"/>
            <w:vAlign w:val="bottom"/>
            <w:shd w:val="clear" w:color="auto" w:fill="CCEEFF"/>
          </w:tcPr>
          <w:p>
            <w:pPr>
              <w:spacing w:after="0"/>
              <w:rPr>
                <w:sz w:val="17"/>
                <w:szCs w:val="17"/>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20,822</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acquired</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88,691</w:t>
            </w:r>
          </w:p>
        </w:tc>
      </w:tr>
      <w:tr>
        <w:trPr>
          <w:trHeight w:val="210"/>
        </w:trPr>
        <w:tc>
          <w:tcPr>
            <w:tcW w:w="6600" w:type="dxa"/>
            <w:vAlign w:val="bottom"/>
          </w:tcPr>
          <w:p>
            <w:pPr>
              <w:ind w:left="360"/>
              <w:spacing w:after="0" w:line="202" w:lineRule="exact"/>
              <w:rPr>
                <w:sz w:val="20"/>
                <w:szCs w:val="20"/>
                <w:color w:val="auto"/>
              </w:rPr>
            </w:pPr>
            <w:r>
              <w:rPr>
                <w:rFonts w:ascii="Arial" w:cs="Arial" w:eastAsia="Arial" w:hAnsi="Arial"/>
                <w:sz w:val="18"/>
                <w:szCs w:val="18"/>
                <w:color w:val="auto"/>
              </w:rPr>
              <w:t>Less: cash acquired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2,190</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less cash acquired</w:t>
            </w:r>
          </w:p>
        </w:tc>
        <w:tc>
          <w:tcPr>
            <w:tcW w:w="3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86,501</w:t>
            </w:r>
          </w:p>
        </w:tc>
      </w:tr>
      <w:tr>
        <w:trPr>
          <w:trHeight w:val="20"/>
        </w:trPr>
        <w:tc>
          <w:tcPr>
            <w:tcW w:w="66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20" w:firstLine="440"/>
        <w:spacing w:after="0" w:line="246" w:lineRule="auto"/>
        <w:rPr>
          <w:sz w:val="20"/>
          <w:szCs w:val="20"/>
          <w:color w:val="auto"/>
        </w:rPr>
      </w:pPr>
      <w:r>
        <w:rPr>
          <w:rFonts w:ascii="Arial" w:cs="Arial" w:eastAsia="Arial" w:hAnsi="Arial"/>
          <w:sz w:val="18"/>
          <w:szCs w:val="18"/>
          <w:color w:val="auto"/>
        </w:rPr>
        <w:t>Goodwill arising from the acquisition of $31.7 million was attributable to the workforce of Simplee and the synergies expected to arise from the acquisition. The Company expects that no goodwill from this acquisition will be deductible for income tax purposes.</w:t>
      </w:r>
    </w:p>
    <w:p>
      <w:pPr>
        <w:spacing w:after="0" w:line="197"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The following table reflects the estimated fair values of the identified intangible assets of Simplee and their respective weighted-average estimated amortization periods.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7200" w:type="dxa"/>
            <w:vAlign w:val="bottom"/>
          </w:tcPr>
          <w:p>
            <w:pPr>
              <w:spacing w:after="0"/>
              <w:rPr>
                <w:sz w:val="14"/>
                <w:szCs w:val="14"/>
                <w:color w:val="auto"/>
              </w:rPr>
            </w:pPr>
          </w:p>
        </w:tc>
        <w:tc>
          <w:tcPr>
            <w:tcW w:w="216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rPr>
              <w:t>Estimated Fair</w:t>
            </w:r>
          </w:p>
        </w:tc>
        <w:tc>
          <w:tcPr>
            <w:tcW w:w="1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Estimated Amortization</w:t>
            </w:r>
          </w:p>
        </w:tc>
      </w:tr>
      <w:tr>
        <w:trPr>
          <w:trHeight w:val="175"/>
        </w:trPr>
        <w:tc>
          <w:tcPr>
            <w:tcW w:w="7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Values</w:t>
            </w:r>
          </w:p>
        </w:tc>
        <w:tc>
          <w:tcPr>
            <w:tcW w:w="116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60" w:type="dxa"/>
            <w:vAlign w:val="bottom"/>
          </w:tcPr>
          <w:p>
            <w:pPr>
              <w:spacing w:after="0"/>
              <w:rPr>
                <w:sz w:val="15"/>
                <w:szCs w:val="15"/>
                <w:color w:val="auto"/>
              </w:rPr>
            </w:pPr>
          </w:p>
        </w:tc>
      </w:tr>
      <w:tr>
        <w:trPr>
          <w:trHeight w:val="156"/>
        </w:trPr>
        <w:tc>
          <w:tcPr>
            <w:tcW w:w="7200" w:type="dxa"/>
            <w:vAlign w:val="bottom"/>
          </w:tcPr>
          <w:p>
            <w:pPr>
              <w:spacing w:after="0"/>
              <w:rPr>
                <w:sz w:val="13"/>
                <w:szCs w:val="13"/>
                <w:color w:val="auto"/>
              </w:rPr>
            </w:pPr>
          </w:p>
        </w:tc>
        <w:tc>
          <w:tcPr>
            <w:tcW w:w="2160" w:type="dxa"/>
            <w:vAlign w:val="bottom"/>
            <w:gridSpan w:val="3"/>
          </w:tcPr>
          <w:p>
            <w:pPr>
              <w:jc w:val="center"/>
              <w:ind w:right="1160"/>
              <w:spacing w:after="0" w:line="155" w:lineRule="exact"/>
              <w:rPr>
                <w:sz w:val="20"/>
                <w:szCs w:val="20"/>
                <w:color w:val="auto"/>
              </w:rPr>
            </w:pPr>
            <w:r>
              <w:rPr>
                <w:rFonts w:ascii="Arial" w:cs="Arial" w:eastAsia="Arial" w:hAnsi="Arial"/>
                <w:sz w:val="14"/>
                <w:szCs w:val="14"/>
                <w:color w:val="auto"/>
              </w:rPr>
              <w:t>(in thousands)</w:t>
            </w:r>
          </w:p>
        </w:tc>
        <w:tc>
          <w:tcPr>
            <w:tcW w:w="1660" w:type="dxa"/>
            <w:vAlign w:val="bottom"/>
            <w:gridSpan w:val="2"/>
          </w:tcPr>
          <w:p>
            <w:pPr>
              <w:jc w:val="center"/>
              <w:ind w:right="60"/>
              <w:spacing w:after="0" w:line="155" w:lineRule="exact"/>
              <w:rPr>
                <w:sz w:val="20"/>
                <w:szCs w:val="20"/>
                <w:color w:val="auto"/>
              </w:rPr>
            </w:pPr>
            <w:r>
              <w:rPr>
                <w:rFonts w:ascii="Arial" w:cs="Arial" w:eastAsia="Arial" w:hAnsi="Arial"/>
                <w:sz w:val="14"/>
                <w:szCs w:val="14"/>
                <w:color w:val="auto"/>
              </w:rPr>
              <w:t>(years)</w:t>
            </w:r>
          </w:p>
        </w:tc>
      </w:tr>
      <w:tr>
        <w:trPr>
          <w:trHeight w:val="202"/>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10,500</w:t>
            </w:r>
          </w:p>
        </w:tc>
        <w:tc>
          <w:tcPr>
            <w:tcW w:w="1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7"/>
                <w:szCs w:val="17"/>
                <w:color w:val="auto"/>
              </w:rPr>
            </w:pPr>
          </w:p>
        </w:tc>
        <w:tc>
          <w:tcPr>
            <w:tcW w:w="1960" w:type="dxa"/>
            <w:vAlign w:val="bottom"/>
            <w:gridSpan w:val="2"/>
          </w:tcPr>
          <w:p>
            <w:pPr>
              <w:jc w:val="right"/>
              <w:ind w:right="1160"/>
              <w:spacing w:after="0" w:line="202" w:lineRule="exact"/>
              <w:rPr>
                <w:sz w:val="20"/>
                <w:szCs w:val="20"/>
                <w:color w:val="auto"/>
              </w:rPr>
            </w:pPr>
            <w:r>
              <w:rPr>
                <w:rFonts w:ascii="Arial" w:cs="Arial" w:eastAsia="Arial" w:hAnsi="Arial"/>
                <w:sz w:val="18"/>
                <w:szCs w:val="18"/>
                <w:color w:val="auto"/>
              </w:rPr>
              <w:t>48,300</w:t>
            </w:r>
          </w:p>
        </w:tc>
        <w:tc>
          <w:tcPr>
            <w:tcW w:w="1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7"/>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58,800</w:t>
            </w:r>
          </w:p>
        </w:tc>
        <w:tc>
          <w:tcPr>
            <w:tcW w:w="1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The results of Simplee have been included in the consolidated financial statements since the date of the acquisition. Simplee’s consolidated revenue included in the consolidated financial statements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since the acquisition date was $34.1 million. The Company has not disclosed net income or loss since the acquisition date as the business was fully integrated into the consolidated Company’s operations and therefore it was impracticable to determine this amount.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2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7"/>
          <w:szCs w:val="17"/>
          <w:color w:val="auto"/>
        </w:rPr>
        <w:t>The following unaudited pro forma financial information shows the results of the Company’s operations for the years ended December 31, 2019 and 2020 as if the acquisition had occurred on January 1, 2019.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Simplee. The unaudited pro forma information reflects the effects of applying the Company’s accounting policies and certain pro forma adjustments to the combined historical financial information of the Company and Simplee. The pro forma adjustments include:</w:t>
      </w:r>
    </w:p>
    <w:p>
      <w:pPr>
        <w:spacing w:after="0" w:line="100" w:lineRule="exact"/>
        <w:rPr>
          <w:sz w:val="20"/>
          <w:szCs w:val="20"/>
          <w:color w:val="auto"/>
        </w:rPr>
      </w:pPr>
    </w:p>
    <w:p>
      <w:pPr>
        <w:ind w:left="1320" w:hanging="435"/>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incremental amortization expense associated with the estimated fair value of identified intangible assets;</w:t>
      </w:r>
    </w:p>
    <w:p>
      <w:pPr>
        <w:spacing w:after="0" w:line="117" w:lineRule="exact"/>
        <w:rPr>
          <w:rFonts w:ascii="Arial" w:cs="Arial" w:eastAsia="Arial" w:hAnsi="Arial"/>
          <w:sz w:val="18"/>
          <w:szCs w:val="18"/>
          <w:color w:val="auto"/>
        </w:rPr>
      </w:pPr>
    </w:p>
    <w:p>
      <w:pPr>
        <w:ind w:left="1320" w:right="520" w:hanging="435"/>
        <w:spacing w:after="0" w:line="246" w:lineRule="auto"/>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revenue and cost of revenue adjustments as a result of the reduction in deferred revenue and the cost related to their estimated fair value;</w:t>
      </w:r>
    </w:p>
    <w:p>
      <w:pPr>
        <w:spacing w:after="0" w:line="102" w:lineRule="exact"/>
        <w:rPr>
          <w:rFonts w:ascii="Arial" w:cs="Arial" w:eastAsia="Arial" w:hAnsi="Arial"/>
          <w:sz w:val="18"/>
          <w:szCs w:val="18"/>
          <w:color w:val="auto"/>
        </w:rPr>
      </w:pPr>
    </w:p>
    <w:p>
      <w:pPr>
        <w:ind w:left="1320" w:hanging="435"/>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incremental employee compensation expense for Simplee employees; and</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estimated tax impact of the above items.</w:t>
      </w:r>
    </w:p>
    <w:p>
      <w:pPr>
        <w:spacing w:after="0" w:line="212"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In addition, the pro forma net loss attributable to the Company includes recognition of transaction costs related to the acquisition in net loss as of the beginning of the earliest period presented. Accordingly, pro forma net loss attributable to the Company for the year ended December 31, 2019 includes $1.9 million of transaction costs.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Year Ended December 31, 2019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 2020</w:t>
            </w:r>
          </w:p>
        </w:tc>
      </w:tr>
      <w:tr>
        <w:trPr>
          <w:trHeight w:val="155"/>
        </w:trPr>
        <w:tc>
          <w:tcPr>
            <w:tcW w:w="3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Actual</w:t>
            </w:r>
          </w:p>
        </w:tc>
        <w:tc>
          <w:tcPr>
            <w:tcW w:w="3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Pro Forma</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Actual</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3"/>
                <w:szCs w:val="13"/>
                <w:color w:val="auto"/>
              </w:rPr>
            </w:pPr>
          </w:p>
        </w:tc>
      </w:tr>
      <w:tr>
        <w:trPr>
          <w:trHeight w:val="155"/>
        </w:trPr>
        <w:tc>
          <w:tcPr>
            <w:tcW w:w="3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gridSpan w:val="5"/>
          </w:tcPr>
          <w:p>
            <w:pPr>
              <w:jc w:val="right"/>
              <w:ind w:right="799"/>
              <w:spacing w:after="0" w:line="155" w:lineRule="exact"/>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94,918</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120,516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131,783</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136,269</w:t>
            </w:r>
          </w:p>
        </w:tc>
      </w:tr>
      <w:tr>
        <w:trPr>
          <w:trHeight w:val="217"/>
        </w:trPr>
        <w:tc>
          <w:tcPr>
            <w:tcW w:w="3220" w:type="dxa"/>
            <w:vAlign w:val="bottom"/>
          </w:tcPr>
          <w:p>
            <w:pPr>
              <w:spacing w:after="0"/>
              <w:rPr>
                <w:sz w:val="20"/>
                <w:szCs w:val="20"/>
                <w:color w:val="auto"/>
              </w:rPr>
            </w:pPr>
            <w:r>
              <w:rPr>
                <w:rFonts w:ascii="Arial" w:cs="Arial" w:eastAsia="Arial" w:hAnsi="Arial"/>
                <w:sz w:val="18"/>
                <w:szCs w:val="18"/>
                <w:color w:val="auto"/>
              </w:rPr>
              <w:t>Net Loss</w:t>
            </w:r>
          </w:p>
        </w:tc>
        <w:tc>
          <w:tcPr>
            <w:tcW w:w="2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9"/>
              <w:spacing w:after="0"/>
              <w:rPr>
                <w:sz w:val="20"/>
                <w:szCs w:val="20"/>
                <w:color w:val="auto"/>
              </w:rPr>
            </w:pPr>
            <w:r>
              <w:rPr>
                <w:rFonts w:ascii="Arial" w:cs="Arial" w:eastAsia="Arial" w:hAnsi="Arial"/>
                <w:sz w:val="18"/>
                <w:szCs w:val="18"/>
                <w:color w:val="auto"/>
              </w:rPr>
              <w:t>(20,116)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(20,343)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9"/>
              <w:spacing w:after="0"/>
              <w:rPr>
                <w:sz w:val="20"/>
                <w:szCs w:val="20"/>
                <w:color w:val="auto"/>
              </w:rPr>
            </w:pPr>
            <w:r>
              <w:rPr>
                <w:rFonts w:ascii="Arial" w:cs="Arial" w:eastAsia="Arial" w:hAnsi="Arial"/>
                <w:sz w:val="18"/>
                <w:szCs w:val="18"/>
                <w:color w:val="auto"/>
              </w:rPr>
              <w:t>(11,107)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(13,444)</w:t>
            </w:r>
          </w:p>
        </w:tc>
      </w:tr>
    </w:tbl>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OnPlan Holdings, LLC</w:t>
      </w:r>
    </w:p>
    <w:p>
      <w:pPr>
        <w:spacing w:after="0" w:line="12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On January 18, 2018, the Company acquired all of the issued and outstanding capital stock of OnPlan Holdings, LLC (“OnPlan”), a payment plan platform, for total purchase consideration of $28.1 million, consisting of $13.2 million of cash paid at closing, $1.5 million deferred consideration paid in 2019 and $13.4 million estimated fair value of contingent consideration dependent upon the achievement of certain revenue targets. Based on actual results, the final contingent consideration was $14.1 million. Of this amount, $12.1 million was paid in 2019 with the remaining $2.0 million paid in January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VialQ</w:t>
      </w:r>
    </w:p>
    <w:p>
      <w:pPr>
        <w:spacing w:after="0" w:line="122"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On April 20, 2018, the Company acquired certain assets of ViaIQ LLC (“VialQ”), a cloud-based customer invoicing platform for total purchase consideration of $1.6 million, consisting of $1.1 million cash paid at closing and $0.5 million paid in 2019.</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Acquired Intangible Assets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changes in the carrying amount of goodwill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9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12,899</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12,924</w:t>
            </w:r>
          </w:p>
        </w:tc>
        <w:tc>
          <w:tcPr>
            <w:tcW w:w="8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Goodwill related to Simplee acquisition</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31,696</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90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12,924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44,650</w:t>
            </w:r>
          </w:p>
        </w:tc>
      </w:tr>
      <w:tr>
        <w:trPr>
          <w:trHeight w:val="20"/>
        </w:trPr>
        <w:tc>
          <w:tcPr>
            <w:tcW w:w="8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goodwill impairment was recorded during the years ended December 31, 2019 and 2020.</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Acquired intangible assets to amortization consisted of the following (in thousands, other than years):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Gross Carrying</w:t>
            </w:r>
          </w:p>
        </w:tc>
        <w:tc>
          <w:tcPr>
            <w:tcW w:w="4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Developed Technology</w:t>
            </w:r>
          </w:p>
        </w:tc>
        <w:tc>
          <w:tcPr>
            <w:tcW w:w="1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14,564</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(3,511)</w:t>
            </w: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11,053</w:t>
            </w:r>
          </w:p>
        </w:tc>
        <w:tc>
          <w:tcPr>
            <w:tcW w:w="6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4,012</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(1,234)</w:t>
            </w:r>
          </w:p>
        </w:tc>
        <w:tc>
          <w:tcPr>
            <w:tcW w:w="140" w:type="dxa"/>
            <w:vAlign w:val="bottom"/>
          </w:tcPr>
          <w:p>
            <w:pPr>
              <w:spacing w:after="0"/>
              <w:rPr>
                <w:sz w:val="17"/>
                <w:szCs w:val="17"/>
                <w:color w:val="auto"/>
              </w:rPr>
            </w:pPr>
          </w:p>
        </w:tc>
        <w:tc>
          <w:tcPr>
            <w:tcW w:w="13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2,778</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Name/Trademark</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511</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177</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Non-Compete Agreement</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(180)</w:t>
            </w:r>
          </w:p>
        </w:tc>
        <w:tc>
          <w:tcPr>
            <w:tcW w:w="140" w:type="dxa"/>
            <w:vAlign w:val="bottom"/>
          </w:tcPr>
          <w:p>
            <w:pPr>
              <w:spacing w:after="0"/>
              <w:rPr>
                <w:sz w:val="17"/>
                <w:szCs w:val="17"/>
                <w:color w:val="auto"/>
              </w:rPr>
            </w:pPr>
          </w:p>
        </w:tc>
        <w:tc>
          <w:tcPr>
            <w:tcW w:w="13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289</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19,556</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(5,259)</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14,297</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7"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Includes less than $0.1 million of foreign currency translation adjustments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Gross Carrying</w:t>
            </w:r>
          </w:p>
        </w:tc>
        <w:tc>
          <w:tcPr>
            <w:tcW w:w="4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Developed Technology</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25,063</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(6,595)</w:t>
            </w: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18,468</w:t>
            </w:r>
          </w:p>
        </w:tc>
        <w:tc>
          <w:tcPr>
            <w:tcW w:w="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52,312</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(2,772)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49,540</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Name/Trademark</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511</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Non-Compete Agreement</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(273)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196</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78,355</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(10,144)</w:t>
            </w:r>
          </w:p>
        </w:tc>
        <w:tc>
          <w:tcPr>
            <w:tcW w:w="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68,211</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7"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Includes less than $0.1 million of foreign currency translation adjustments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Amortization expense for the years ended December 31, 2019 and 2020 was $2.5 million and $4.9 million, respectively.</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As of December 31, 2020, the estimated annual amortization expense of intangible assets for each of the next five years and thereafter is expected to be as follows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100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10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Expense</w:t>
            </w:r>
          </w:p>
        </w:tc>
      </w:tr>
      <w:tr>
        <w:trPr>
          <w:trHeight w:val="196"/>
        </w:trPr>
        <w:tc>
          <w:tcPr>
            <w:tcW w:w="10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100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6,881</w:t>
            </w:r>
          </w:p>
        </w:tc>
      </w:tr>
      <w:tr>
        <w:trPr>
          <w:trHeight w:val="203"/>
        </w:trPr>
        <w:tc>
          <w:tcPr>
            <w:tcW w:w="10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7,588</w:t>
            </w:r>
          </w:p>
        </w:tc>
      </w:tr>
      <w:tr>
        <w:trPr>
          <w:trHeight w:val="203"/>
        </w:trPr>
        <w:tc>
          <w:tcPr>
            <w:tcW w:w="100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7,892</w:t>
            </w:r>
          </w:p>
        </w:tc>
      </w:tr>
      <w:tr>
        <w:trPr>
          <w:trHeight w:val="203"/>
        </w:trPr>
        <w:tc>
          <w:tcPr>
            <w:tcW w:w="10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7,714</w:t>
            </w:r>
          </w:p>
        </w:tc>
      </w:tr>
      <w:tr>
        <w:trPr>
          <w:trHeight w:val="210"/>
        </w:trPr>
        <w:tc>
          <w:tcPr>
            <w:tcW w:w="10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32,134</w:t>
            </w:r>
          </w:p>
        </w:tc>
        <w:tc>
          <w:tcPr>
            <w:tcW w:w="60" w:type="dxa"/>
            <w:vAlign w:val="bottom"/>
          </w:tcPr>
          <w:p>
            <w:pPr>
              <w:spacing w:after="0"/>
              <w:rPr>
                <w:sz w:val="18"/>
                <w:szCs w:val="18"/>
                <w:color w:val="auto"/>
              </w:rPr>
            </w:pPr>
          </w:p>
        </w:tc>
      </w:tr>
      <w:tr>
        <w:trPr>
          <w:trHeight w:val="203"/>
        </w:trPr>
        <w:tc>
          <w:tcPr>
            <w:tcW w:w="10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68,211</w:t>
            </w:r>
          </w:p>
        </w:tc>
      </w:tr>
      <w:tr>
        <w:trPr>
          <w:trHeight w:val="20"/>
        </w:trPr>
        <w:tc>
          <w:tcPr>
            <w:tcW w:w="10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660" w:hanging="544"/>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Company’s outstanding debt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8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 term debt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7"/>
                <w:szCs w:val="17"/>
                <w:color w:val="auto"/>
              </w:rPr>
            </w:pPr>
          </w:p>
        </w:tc>
      </w:tr>
      <w:tr>
        <w:trPr>
          <w:trHeight w:val="203"/>
        </w:trPr>
        <w:tc>
          <w:tcPr>
            <w:tcW w:w="8820" w:type="dxa"/>
            <w:vAlign w:val="bottom"/>
          </w:tcPr>
          <w:p>
            <w:pPr>
              <w:ind w:left="360"/>
              <w:spacing w:after="0" w:line="202" w:lineRule="exact"/>
              <w:rPr>
                <w:sz w:val="20"/>
                <w:szCs w:val="20"/>
                <w:color w:val="auto"/>
              </w:rPr>
            </w:pPr>
            <w:r>
              <w:rPr>
                <w:rFonts w:ascii="Arial" w:cs="Arial" w:eastAsia="Arial" w:hAnsi="Arial"/>
                <w:sz w:val="18"/>
                <w:szCs w:val="18"/>
                <w:color w:val="auto"/>
              </w:rPr>
              <w:t>Less unamortized debt discount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(430)</w:t>
            </w:r>
          </w:p>
        </w:tc>
      </w:tr>
      <w:tr>
        <w:trPr>
          <w:trHeight w:val="203"/>
        </w:trPr>
        <w:tc>
          <w:tcPr>
            <w:tcW w:w="8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unamortized debt issuance costs</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(218)</w:t>
            </w:r>
          </w:p>
        </w:tc>
      </w:tr>
      <w:tr>
        <w:trPr>
          <w:trHeight w:val="210"/>
        </w:trPr>
        <w:tc>
          <w:tcPr>
            <w:tcW w:w="8820" w:type="dxa"/>
            <w:vAlign w:val="bottom"/>
          </w:tcPr>
          <w:p>
            <w:pPr>
              <w:ind w:left="360"/>
              <w:spacing w:after="0" w:line="202" w:lineRule="exact"/>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(3,895)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 term debt, net</w:t>
            </w: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20,738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24,352</w:t>
            </w:r>
          </w:p>
        </w:tc>
        <w:tc>
          <w:tcPr>
            <w:tcW w:w="120" w:type="dxa"/>
            <w:vAlign w:val="bottom"/>
            <w:shd w:val="clear" w:color="auto" w:fill="CCEEFF"/>
          </w:tcPr>
          <w:p>
            <w:pPr>
              <w:spacing w:after="0"/>
              <w:rPr>
                <w:sz w:val="17"/>
                <w:szCs w:val="17"/>
                <w:color w:val="auto"/>
              </w:rPr>
            </w:pPr>
          </w:p>
        </w:tc>
      </w:tr>
      <w:tr>
        <w:trPr>
          <w:trHeight w:val="20"/>
        </w:trPr>
        <w:tc>
          <w:tcPr>
            <w:tcW w:w="8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26" w:lineRule="exact"/>
        <w:rPr>
          <w:sz w:val="20"/>
          <w:szCs w:val="20"/>
          <w:color w:val="auto"/>
        </w:rPr>
      </w:pPr>
    </w:p>
    <w:p>
      <w:pPr>
        <w:ind w:left="120" w:right="240" w:firstLine="440"/>
        <w:spacing w:after="0" w:line="236" w:lineRule="auto"/>
        <w:rPr>
          <w:sz w:val="20"/>
          <w:szCs w:val="20"/>
          <w:color w:val="auto"/>
        </w:rPr>
      </w:pPr>
      <w:r>
        <w:rPr>
          <w:rFonts w:ascii="Arial" w:cs="Arial" w:eastAsia="Arial" w:hAnsi="Arial"/>
          <w:sz w:val="18"/>
          <w:szCs w:val="18"/>
          <w:color w:val="auto"/>
        </w:rPr>
        <w:t>On January 16, 2018, the Company entered into a Loan and Security Agreement with a financial institution for a $25.0 million loan (the “LSA”) with interest at a rate of 8.5% per annum. The proceeds of the LSA were used to fund the acquisition of OnPlan. The LSA could be drawn down in three tranches. The first tranche of $15.0 million was drawn in January 2018, while the remaining two tranches were drawn in February 2019 and August 2019 for $ 5.0 million each. The LSA maturity date was January 22, 2022. The Company was obligated to make monthly interest payments on the loan. The LSA was interest only until either August 1, 2019 or February 1, 2020 pending on achieving certain revenue and margin targets. The Company incurred debt issuance costs of $0.2 million in connection with the issuance of the LSA. These issuance costs were amortized to interest expense, using the effective interest method, over the term of the loan.</w:t>
      </w:r>
    </w:p>
    <w:p>
      <w:pPr>
        <w:spacing w:after="0" w:line="208"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On December 31, 2018, the Company achieved the required targets, and deemed that the principal payments would not commence until February 1, 2020. In connection with the LSA, the Company issued 127,000 warrants to purchase Series C Convertible Preferred Stock. The Company determined the fair value of the debt and warrants and allocated the debt proceeds to the debt and warrants as these warrants are freestanding financial instruments that may require the Company to transfer assets upon exercise. The initial fair value of the warrants was $0.6 million and was treated as a debt discount and amortized to interest expense, using the effective interest method, over the term of the loan.</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jc w:val="both"/>
        <w:ind w:left="120" w:right="480" w:firstLine="440"/>
        <w:spacing w:after="0"/>
        <w:rPr>
          <w:sz w:val="20"/>
          <w:szCs w:val="20"/>
          <w:color w:val="auto"/>
        </w:rPr>
      </w:pPr>
      <w:r>
        <w:rPr>
          <w:rFonts w:ascii="Arial" w:cs="Arial" w:eastAsia="Arial" w:hAnsi="Arial"/>
          <w:sz w:val="18"/>
          <w:szCs w:val="18"/>
          <w:color w:val="auto"/>
        </w:rPr>
        <w:t>The LSA does not include any financial covenants. The LSA contains negative covenants that restrict, among other things, the Company’s ability to sell assets, make investments and acquisitions, make capital expenditures, grant liens, pay dividends and make certain other restricted payments.</w:t>
      </w:r>
    </w:p>
    <w:p>
      <w:pPr>
        <w:spacing w:after="0" w:line="20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LSA is subject to customary mandatory prepayment provisions and acceleration upon events of default for, among other things, non-payment, breach of covenants, certain large judgments and misrepresentations. The Company may make voluntary prepayments of the LSA at any time without penalty or premium. The Company did not make any prepayments of the LSA during the years ended December 31, 2019 and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Amendments to Loan and Security Agreement</w:t>
      </w:r>
    </w:p>
    <w:p>
      <w:pPr>
        <w:spacing w:after="0" w:line="126"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On April 25, 2020 the Company entered into a Joinder and First Amendment to the Loan and Security Agreement for administrative matters.</w:t>
      </w:r>
    </w:p>
    <w:p>
      <w:pPr>
        <w:spacing w:after="0" w:line="197" w:lineRule="exact"/>
        <w:rPr>
          <w:sz w:val="20"/>
          <w:szCs w:val="20"/>
          <w:color w:val="auto"/>
        </w:rPr>
      </w:pPr>
    </w:p>
    <w:p>
      <w:pPr>
        <w:ind w:left="120" w:right="120" w:firstLine="440"/>
        <w:spacing w:after="0" w:line="248" w:lineRule="auto"/>
        <w:rPr>
          <w:sz w:val="20"/>
          <w:szCs w:val="20"/>
          <w:color w:val="auto"/>
        </w:rPr>
      </w:pPr>
      <w:r>
        <w:rPr>
          <w:rFonts w:ascii="Arial" w:cs="Arial" w:eastAsia="Arial" w:hAnsi="Arial"/>
          <w:sz w:val="17"/>
          <w:szCs w:val="17"/>
          <w:color w:val="auto"/>
        </w:rPr>
        <w:t>On May 18, 2020, the Company entered into a Joinder and Second Amendment to Loan and Security Agreement to refinance the LSA. As part of the amendment, the financial institution re-advanced $4.2 million of principal paid on the loan through May 1, 2020. The final maturity date of the LSA was extended to May 2025. The new stated interest rate at a floating per annum rate equal to the greater of</w:t>
      </w:r>
    </w:p>
    <w:p>
      <w:pPr>
        <w:ind w:left="320" w:hanging="204"/>
        <w:spacing w:after="0" w:line="236" w:lineRule="auto"/>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5.25% above the prime rate; or (ii) 8.50%. The LSA is interest only until May 2023. Beginning on June 1, 2023, the Company will make</w:t>
      </w:r>
    </w:p>
    <w:p>
      <w:pPr>
        <w:ind w:left="120" w:right="100"/>
        <w:spacing w:after="0" w:line="246" w:lineRule="auto"/>
        <w:rPr>
          <w:rFonts w:ascii="Arial" w:cs="Arial" w:eastAsia="Arial" w:hAnsi="Arial"/>
          <w:sz w:val="18"/>
          <w:szCs w:val="18"/>
          <w:color w:val="auto"/>
        </w:rPr>
      </w:pPr>
      <w:r>
        <w:rPr>
          <w:rFonts w:ascii="Arial" w:cs="Arial" w:eastAsia="Arial" w:hAnsi="Arial"/>
          <w:sz w:val="18"/>
          <w:szCs w:val="18"/>
          <w:color w:val="auto"/>
        </w:rPr>
        <w:t>24 equal principal payments. The Company incurred $0.2 million in commitment fees from the financial institution to close the refinancing. These commitment fees were recorded as a reduction to the loan balance on the balance sheet.</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Both amendments were accounted for as debt modifications.</w:t>
      </w:r>
    </w:p>
    <w:p>
      <w:pPr>
        <w:spacing w:after="0" w:line="212"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In connection with the Joinder and Second Amendment, the Company issued warrants to the lenders under the LSA to purchase up to a total of 63,057 shares of the Company’s common stock, at an exercise price of $11.84 per share. These warrants are classified as equity (refer to Note 14). The initial fair value of the warrants of $0.3 million and was treated as a debt discount and amortized to interest expense, using the effective interest method, over the term of the loan.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Principal Payments</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As of December 31, 2020, the aggregate minimum future principal payments due in connection with the Company’s LSA in the next five years were as follows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120" w:type="dxa"/>
            <w:vAlign w:val="bottom"/>
            <w:shd w:val="clear" w:color="auto" w:fill="CCEEFF"/>
          </w:tcPr>
          <w:p>
            <w:pPr>
              <w:jc w:val="right"/>
              <w:ind w:right="9630"/>
              <w:spacing w:after="0"/>
              <w:rPr>
                <w:sz w:val="20"/>
                <w:szCs w:val="20"/>
                <w:color w:val="auto"/>
              </w:rPr>
            </w:pPr>
            <w:r>
              <w:rPr>
                <w:rFonts w:ascii="Arial" w:cs="Arial" w:eastAsia="Arial" w:hAnsi="Arial"/>
                <w:sz w:val="18"/>
                <w:szCs w:val="18"/>
                <w:color w:val="auto"/>
                <w:w w:val="94"/>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3"/>
        </w:trPr>
        <w:tc>
          <w:tcPr>
            <w:tcW w:w="10120" w:type="dxa"/>
            <w:vAlign w:val="bottom"/>
          </w:tcPr>
          <w:p>
            <w:pPr>
              <w:jc w:val="right"/>
              <w:ind w:right="9630"/>
              <w:spacing w:after="0" w:line="202" w:lineRule="exact"/>
              <w:rPr>
                <w:sz w:val="20"/>
                <w:szCs w:val="20"/>
                <w:color w:val="auto"/>
              </w:rPr>
            </w:pPr>
            <w:r>
              <w:rPr>
                <w:rFonts w:ascii="Arial" w:cs="Arial" w:eastAsia="Arial" w:hAnsi="Arial"/>
                <w:sz w:val="18"/>
                <w:szCs w:val="18"/>
                <w:color w:val="auto"/>
                <w:w w:val="94"/>
              </w:rPr>
              <w:t>2022</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10120" w:type="dxa"/>
            <w:vAlign w:val="bottom"/>
            <w:shd w:val="clear" w:color="auto" w:fill="CCEEFF"/>
          </w:tcPr>
          <w:p>
            <w:pPr>
              <w:jc w:val="right"/>
              <w:ind w:right="9630"/>
              <w:spacing w:after="0" w:line="202" w:lineRule="exact"/>
              <w:rPr>
                <w:sz w:val="20"/>
                <w:szCs w:val="20"/>
                <w:color w:val="auto"/>
              </w:rPr>
            </w:pPr>
            <w:r>
              <w:rPr>
                <w:rFonts w:ascii="Arial" w:cs="Arial" w:eastAsia="Arial" w:hAnsi="Arial"/>
                <w:sz w:val="18"/>
                <w:szCs w:val="18"/>
                <w:color w:val="auto"/>
                <w:w w:val="94"/>
              </w:rPr>
              <w:t>2023</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7,292</w:t>
            </w:r>
          </w:p>
        </w:tc>
        <w:tc>
          <w:tcPr>
            <w:tcW w:w="80" w:type="dxa"/>
            <w:vAlign w:val="bottom"/>
            <w:shd w:val="clear" w:color="auto" w:fill="CCEEFF"/>
          </w:tcPr>
          <w:p>
            <w:pPr>
              <w:spacing w:after="0"/>
              <w:rPr>
                <w:sz w:val="17"/>
                <w:szCs w:val="17"/>
                <w:color w:val="auto"/>
              </w:rPr>
            </w:pPr>
          </w:p>
        </w:tc>
      </w:tr>
      <w:tr>
        <w:trPr>
          <w:trHeight w:val="203"/>
        </w:trPr>
        <w:tc>
          <w:tcPr>
            <w:tcW w:w="10120" w:type="dxa"/>
            <w:vAlign w:val="bottom"/>
          </w:tcPr>
          <w:p>
            <w:pPr>
              <w:jc w:val="right"/>
              <w:ind w:right="9630"/>
              <w:spacing w:after="0" w:line="202" w:lineRule="exact"/>
              <w:rPr>
                <w:sz w:val="20"/>
                <w:szCs w:val="20"/>
                <w:color w:val="auto"/>
              </w:rPr>
            </w:pPr>
            <w:r>
              <w:rPr>
                <w:rFonts w:ascii="Arial" w:cs="Arial" w:eastAsia="Arial" w:hAnsi="Arial"/>
                <w:sz w:val="18"/>
                <w:szCs w:val="18"/>
                <w:color w:val="auto"/>
                <w:w w:val="94"/>
              </w:rPr>
              <w:t>2024</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12,500</w:t>
            </w:r>
          </w:p>
        </w:tc>
        <w:tc>
          <w:tcPr>
            <w:tcW w:w="80" w:type="dxa"/>
            <w:vAlign w:val="bottom"/>
          </w:tcPr>
          <w:p>
            <w:pPr>
              <w:spacing w:after="0"/>
              <w:rPr>
                <w:sz w:val="17"/>
                <w:szCs w:val="17"/>
                <w:color w:val="auto"/>
              </w:rPr>
            </w:pPr>
          </w:p>
        </w:tc>
      </w:tr>
      <w:tr>
        <w:trPr>
          <w:trHeight w:val="203"/>
        </w:trPr>
        <w:tc>
          <w:tcPr>
            <w:tcW w:w="10120" w:type="dxa"/>
            <w:vAlign w:val="bottom"/>
            <w:shd w:val="clear" w:color="auto" w:fill="CCEEFF"/>
          </w:tcPr>
          <w:p>
            <w:pPr>
              <w:jc w:val="right"/>
              <w:ind w:right="9630"/>
              <w:spacing w:after="0" w:line="202" w:lineRule="exact"/>
              <w:rPr>
                <w:sz w:val="20"/>
                <w:szCs w:val="20"/>
                <w:color w:val="auto"/>
              </w:rPr>
            </w:pPr>
            <w:r>
              <w:rPr>
                <w:rFonts w:ascii="Arial" w:cs="Arial" w:eastAsia="Arial" w:hAnsi="Arial"/>
                <w:sz w:val="18"/>
                <w:szCs w:val="18"/>
                <w:color w:val="auto"/>
                <w:w w:val="94"/>
              </w:rPr>
              <w:t>2025</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5,208</w:t>
            </w:r>
          </w:p>
        </w:tc>
        <w:tc>
          <w:tcPr>
            <w:tcW w:w="80" w:type="dxa"/>
            <w:vAlign w:val="bottom"/>
            <w:shd w:val="clear" w:color="auto" w:fill="CCEEFF"/>
          </w:tcPr>
          <w:p>
            <w:pPr>
              <w:spacing w:after="0"/>
              <w:rPr>
                <w:sz w:val="17"/>
                <w:szCs w:val="17"/>
                <w:color w:val="auto"/>
              </w:rPr>
            </w:pPr>
          </w:p>
        </w:tc>
      </w:tr>
      <w:tr>
        <w:trPr>
          <w:trHeight w:val="210"/>
        </w:trPr>
        <w:tc>
          <w:tcPr>
            <w:tcW w:w="10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r>
      <w:tr>
        <w:trPr>
          <w:trHeight w:val="20"/>
        </w:trPr>
        <w:tc>
          <w:tcPr>
            <w:tcW w:w="10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In 2019, the Company recorded interest expense of $2.5 million, including amortization of debt issuance cost and debt discount of $0.3 million. In 2020, the Company recorded interest expense of $2.5 million, including amortization of debt issuance cost and debt discount of $0.2 million.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Preferred Stock</w:t>
      </w:r>
    </w:p>
    <w:p>
      <w:pPr>
        <w:spacing w:after="0" w:line="126"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The Company has issued Series A convertible preferred stock (the “Series A Preferred Stock”), Series B convertible preferred stock (the “Series B Preferred Stock”), Series B1-NV convertible preferred stock (the “Series B1-NV Preferred Stock”), Series B1 convertible preferred stock (the “Series B1 Preferred Stock”), Series C convertible preferred stock (the “Series C Preferred Stock”),</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8"/>
          <w:szCs w:val="18"/>
          <w:color w:val="auto"/>
        </w:rPr>
        <w:t>Series D convertible preferred stock (the “Series D Preferred Stock”), Series E-1 redeemable convertible preferred stock and Series E-2 redeemable convertible preferred stock (the “Series E Preferred Stock”). The Series A Preferred Stock, the Series B Preferred Stock, the Series B1-NV Preferred Stock, the Series B1 Preferred Stock, the Series C Preferred Stock, the Series D Preferred Stock, and the Series E Preferred Stock are collectively referred to as the “Preferred Stock”.</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In February 2020, the Company issued and sold 3,746,640 shares of Series E Preferred Stock at $32.0287 per share for total gross proceeds of $120.0 million. The Company incurred issuance costs in connection with this transaction of $0.2 million. In conjunction with the sale of the Series E Preferred Stock, the Company amended its certificate of incorporation to increase shares authorized for issuance to a total of 26,312,842 shares of Preferred Stock with a par value of $0.0001 per share.</w:t>
      </w:r>
    </w:p>
    <w:p>
      <w:pPr>
        <w:spacing w:after="0" w:line="205" w:lineRule="exact"/>
        <w:rPr>
          <w:sz w:val="20"/>
          <w:szCs w:val="20"/>
          <w:color w:val="auto"/>
        </w:rPr>
      </w:pPr>
    </w:p>
    <w:p>
      <w:pPr>
        <w:jc w:val="both"/>
        <w:ind w:left="120" w:right="280" w:firstLine="440"/>
        <w:spacing w:after="0"/>
        <w:rPr>
          <w:sz w:val="20"/>
          <w:szCs w:val="20"/>
          <w:color w:val="auto"/>
        </w:rPr>
      </w:pPr>
      <w:r>
        <w:rPr>
          <w:rFonts w:ascii="Arial" w:cs="Arial" w:eastAsia="Arial" w:hAnsi="Arial"/>
          <w:sz w:val="18"/>
          <w:szCs w:val="18"/>
          <w:color w:val="auto"/>
        </w:rPr>
        <w:t>Upon issuance of each class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class of Preferred Stock.</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Preferred Stock consisted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9"/>
          </w:tcPr>
          <w:p>
            <w:pPr>
              <w:ind w:left="38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Preferred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 Issued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and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4960" w:type="dxa"/>
            <w:vAlign w:val="bottom"/>
          </w:tcPr>
          <w:p>
            <w:pPr>
              <w:spacing w:after="0"/>
              <w:rPr>
                <w:sz w:val="20"/>
                <w:szCs w:val="20"/>
                <w:color w:val="auto"/>
              </w:rPr>
            </w:pPr>
            <w:r>
              <w:rPr>
                <w:rFonts w:ascii="Arial" w:cs="Arial" w:eastAsia="Arial" w:hAnsi="Arial"/>
                <w:sz w:val="14"/>
                <w:szCs w:val="14"/>
                <w:i w:val="1"/>
                <w:iCs w:val="1"/>
                <w:color w:val="auto"/>
              </w:rPr>
              <w:t>(in thousands, except share data)</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Authorized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Outstanding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Preference</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14,807</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14,843</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3,305,829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3,305,829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9,163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9,199</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B1-NV Preferred Stock</w:t>
            </w:r>
          </w:p>
        </w:tc>
        <w:tc>
          <w:tcPr>
            <w:tcW w:w="10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2,775,311</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381,842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1,174</w:t>
            </w:r>
          </w:p>
        </w:tc>
      </w:tr>
      <w:tr>
        <w:trPr>
          <w:trHeight w:val="202"/>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B1 Preferred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2,775,311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2,393,469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7,326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7,357</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10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5,081,951</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4,954,951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28,072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28,143</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D Preferred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2,208,334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2,208,334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49,859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50,000</w:t>
            </w:r>
          </w:p>
        </w:tc>
      </w:tr>
      <w:tr>
        <w:trPr>
          <w:trHeight w:val="27"/>
        </w:trPr>
        <w:tc>
          <w:tcPr>
            <w:tcW w:w="4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9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20,971,798</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18,069,487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110,401</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110,716</w:t>
            </w:r>
          </w:p>
        </w:tc>
      </w:tr>
      <w:tr>
        <w:trPr>
          <w:trHeight w:val="20"/>
        </w:trPr>
        <w:tc>
          <w:tcPr>
            <w:tcW w:w="4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49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55"/>
              <w:spacing w:after="0" w:line="143"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Stock</w:t>
            </w:r>
          </w:p>
        </w:tc>
      </w:tr>
      <w:tr>
        <w:trPr>
          <w:trHeight w:val="162"/>
        </w:trPr>
        <w:tc>
          <w:tcPr>
            <w:tcW w:w="496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Preferred</w:t>
            </w:r>
          </w:p>
        </w:tc>
        <w:tc>
          <w:tcPr>
            <w:tcW w:w="114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Stock Issued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Issuable</w:t>
            </w:r>
          </w:p>
        </w:tc>
      </w:tr>
      <w:tr>
        <w:trPr>
          <w:trHeight w:val="162"/>
        </w:trPr>
        <w:tc>
          <w:tcPr>
            <w:tcW w:w="496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14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5"/>
          </w:tcPr>
          <w:p>
            <w:pPr>
              <w:spacing w:after="0"/>
              <w:rPr>
                <w:sz w:val="20"/>
                <w:szCs w:val="20"/>
                <w:color w:val="auto"/>
              </w:rPr>
            </w:pPr>
            <w:r>
              <w:rPr>
                <w:rFonts w:ascii="Arial" w:cs="Arial" w:eastAsia="Arial" w:hAnsi="Arial"/>
                <w:sz w:val="14"/>
                <w:szCs w:val="14"/>
                <w:b w:val="1"/>
                <w:bCs w:val="1"/>
                <w:color w:val="auto"/>
              </w:rPr>
              <w:t>Liquidation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Upon</w:t>
            </w:r>
          </w:p>
        </w:tc>
      </w:tr>
      <w:tr>
        <w:trPr>
          <w:trHeight w:val="175"/>
        </w:trPr>
        <w:tc>
          <w:tcPr>
            <w:tcW w:w="4960" w:type="dxa"/>
            <w:vAlign w:val="bottom"/>
          </w:tcPr>
          <w:p>
            <w:pPr>
              <w:spacing w:after="0"/>
              <w:rPr>
                <w:sz w:val="20"/>
                <w:szCs w:val="20"/>
                <w:color w:val="auto"/>
              </w:rPr>
            </w:pPr>
            <w:r>
              <w:rPr>
                <w:rFonts w:ascii="Arial" w:cs="Arial" w:eastAsia="Arial" w:hAnsi="Arial"/>
                <w:sz w:val="14"/>
                <w:szCs w:val="14"/>
                <w:i w:val="1"/>
                <w:iCs w:val="1"/>
                <w:color w:val="auto"/>
              </w:rPr>
              <w:t>(in thousands, except share data)</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Authorized</w:t>
            </w:r>
          </w:p>
        </w:tc>
        <w:tc>
          <w:tcPr>
            <w:tcW w:w="114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Preference</w:t>
            </w:r>
          </w:p>
        </w:tc>
        <w:tc>
          <w:tcPr>
            <w:tcW w:w="120" w:type="dxa"/>
            <w:vAlign w:val="bottom"/>
          </w:tcPr>
          <w:p>
            <w:pPr>
              <w:spacing w:after="0"/>
              <w:rPr>
                <w:sz w:val="15"/>
                <w:szCs w:val="15"/>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14,807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14,843</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3,305,829</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3,305,829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9,163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9,199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3,305,829</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B1-NV Preferred Stock</w:t>
            </w:r>
          </w:p>
        </w:tc>
        <w:tc>
          <w:tcPr>
            <w:tcW w:w="130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2,775,311</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381,842</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1,174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381,842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B1 Preferred Stock</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2,775,311</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2,393,469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7,326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7,357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2,393,469</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130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5,081,951</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4,954,951</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28,072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28,143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4,954,951</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D Preferred Stock</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2,208,334</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2,208,334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49,859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2,208,334</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E-1 Preferred Stock</w:t>
            </w:r>
          </w:p>
        </w:tc>
        <w:tc>
          <w:tcPr>
            <w:tcW w:w="130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2,374,954</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1,750,514</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55,960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70,080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1,750,514</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E-2 Preferred Stock</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2,966,090</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1,996,126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63,809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79,920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1,996,126</w:t>
            </w:r>
          </w:p>
        </w:tc>
      </w:tr>
      <w:tr>
        <w:trPr>
          <w:trHeight w:val="27"/>
        </w:trPr>
        <w:tc>
          <w:tcPr>
            <w:tcW w:w="49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96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26,312,842</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21,816,127</w:t>
            </w: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230,170</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260,716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21,816,127</w:t>
            </w:r>
          </w:p>
        </w:tc>
      </w:tr>
      <w:tr>
        <w:trPr>
          <w:trHeight w:val="20"/>
        </w:trPr>
        <w:tc>
          <w:tcPr>
            <w:tcW w:w="4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496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F-36</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Preferred Stock have the following rights and preferences (Series B, B1, and B1-NV collectively referred to as “Senior</w:t>
      </w:r>
    </w:p>
    <w:p>
      <w:pPr>
        <w:ind w:left="120"/>
        <w:spacing w:after="0"/>
        <w:rPr>
          <w:sz w:val="20"/>
          <w:szCs w:val="20"/>
          <w:color w:val="auto"/>
        </w:rPr>
      </w:pPr>
      <w:r>
        <w:rPr>
          <w:rFonts w:ascii="Arial" w:cs="Arial" w:eastAsia="Arial" w:hAnsi="Arial"/>
          <w:sz w:val="18"/>
          <w:szCs w:val="18"/>
          <w:color w:val="auto"/>
        </w:rPr>
        <w:t>Preferred Stock”):</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w:t>
      </w:r>
    </w:p>
    <w:p>
      <w:pPr>
        <w:spacing w:after="0" w:line="12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holders of the Preferred Stock are entitled to vote, together with the holders of common stock, on all matters submitted to stockholders for a vote. Each holder of Preferred Stock is entitled to the number of votes equal to the number of whole shares of common stock into which each Preferred Stock is convertible at the time of such vote. The holders of Preferred Stock shall vote together with the holders of common stock as a single class, except for the election of the Board of Directors. For such election, the holders of Preferred Stock shall vote exclusively as a separate class to elect three directors. The holders of Class A common stock shall vote exclusively to elect one director. The remainder of the directors of the Company shall be elected by the holders of common stock and preferred stock voting as a single class and are entitled to elect three directors.</w:t>
      </w:r>
    </w:p>
    <w:p>
      <w:pPr>
        <w:spacing w:after="0" w:line="203"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Except as may otherwise be required under Delaware General Corporation Law, holders of the Series B1-NV Preferred Stock and the Series E-2 Preferred Stock shall have no right to vote in respect of such shares.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26"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Each share of Preferred Stock is convertible, at the option of the holder, at any time after the date of issuance of such share, into such number of fully paid and nonassessable shares of common stock.</w:t>
      </w:r>
    </w:p>
    <w:p>
      <w:pPr>
        <w:spacing w:after="0" w:line="197" w:lineRule="exact"/>
        <w:rPr>
          <w:sz w:val="20"/>
          <w:szCs w:val="20"/>
          <w:color w:val="auto"/>
        </w:rPr>
      </w:pPr>
    </w:p>
    <w:p>
      <w:pPr>
        <w:ind w:left="120" w:right="60" w:firstLine="440"/>
        <w:spacing w:after="0" w:line="248" w:lineRule="auto"/>
        <w:rPr>
          <w:sz w:val="20"/>
          <w:szCs w:val="20"/>
          <w:color w:val="auto"/>
        </w:rPr>
      </w:pPr>
      <w:r>
        <w:rPr>
          <w:rFonts w:ascii="Arial" w:cs="Arial" w:eastAsia="Arial" w:hAnsi="Arial"/>
          <w:sz w:val="17"/>
          <w:szCs w:val="17"/>
          <w:color w:val="auto"/>
        </w:rPr>
        <w:t>The conversion ratio of each series of Preferred Stock is determined by dividing the applicable Original Issue Price of each series by the applicable Conversion Price of each series in effect on the date the certificate is surrendered for conversion. The Original Issue Price per share is $1.974 for Series A Preferred Stock, $1.974 for Series B Preferred Stock, $2.252 for Series B1 Preferred Stock and Series</w:t>
      </w:r>
    </w:p>
    <w:p>
      <w:pPr>
        <w:spacing w:after="0" w:line="2" w:lineRule="exact"/>
        <w:rPr>
          <w:sz w:val="20"/>
          <w:szCs w:val="20"/>
          <w:color w:val="auto"/>
        </w:rPr>
      </w:pPr>
    </w:p>
    <w:p>
      <w:pPr>
        <w:jc w:val="both"/>
        <w:ind w:left="120" w:right="180"/>
        <w:spacing w:after="0"/>
        <w:rPr>
          <w:sz w:val="20"/>
          <w:szCs w:val="20"/>
          <w:color w:val="auto"/>
        </w:rPr>
      </w:pPr>
      <w:r>
        <w:rPr>
          <w:rFonts w:ascii="Arial" w:cs="Arial" w:eastAsia="Arial" w:hAnsi="Arial"/>
          <w:sz w:val="18"/>
          <w:szCs w:val="18"/>
          <w:color w:val="auto"/>
        </w:rPr>
        <w:t>B1-NV Preferred Stock, $4.44 for Series C Preferred Stock, $ 22.6415 for Series D Preferred Stock, and $32.0287 for Series E Preferred Stock, each subject to appropriate adjustment in the event of any stock dividend, stock split, combination or other similar recapitalization and other adjustments as set forth in the Company’s certificate of incorporation, as amended and restated.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Mandatory Conversion</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Each share of Preferred Stock will automatically be converted into shares of the Company’s common stock, at the then effective conversion price upon the closing of the sale of shares of common stock at a price to the public of at least $44.8402 per share, subject to appropriate adjustment for stock splits, stock dividends, combinations and other similar recapitalizations affecting such shares, in a firm commitment underwritten public offering pursuant to an effective registration statement under the Securities Act of 1933, as amended, with net proceeds to the Company of at least $50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A Preferred Stock</w:t>
      </w:r>
    </w:p>
    <w:p>
      <w:pPr>
        <w:spacing w:after="0" w:line="122"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A Preferred Stock then outstanding shall be entitled to be paid out of the assets of the Company available for distribution to its stockholders before any payment shall be made to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holders of the common stock by reason of their ownership thereof, an amount per share equal to the greater of (i) the Series A Original Issue Price, plus any dividends accrued but unpaid thereon, whether or not declared, together with any other dividends declared but unpaid thereon or (ii) such amount per share as would have been payable had all shares of Series A Preferred Stock been converted into common stock immediately prior to such liquidation, dissolution, or winding up of the Company.</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A Preferred Stock the full amount to which they shall be entitled, the holders of shares of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Senior Preferred Stock (Series B, B1 and B1-NV)</w:t>
      </w:r>
    </w:p>
    <w:p>
      <w:pPr>
        <w:spacing w:after="0" w:line="1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Senior Preferred Stock then outstanding shall be entitled to be paid out of the assets of the Company available for distribution to its stockholders before any payment shall be made to the holders of (i) Series A Preferred Stock or (ii) common stock by reason of their ownership thereof, an amount per share equal to the greater of (i) the applicable preferred stock Original Issue Price, plus any dividends accrued but unpaid thereon, whether or not declared, together with any other dividends declared but unpaid thereon or (ii) such amount per share as would have been payable had all shares of Senior Preferred Stock been converted into common stock immediately prior to such liquidation, dissolution, or winding up of the Company.</w:t>
      </w:r>
    </w:p>
    <w:p>
      <w:pPr>
        <w:spacing w:after="0" w:line="20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Senior Preferred Stock the full amount to which they shall be entitled, the holders of shares of Senior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C Preferred Stock</w:t>
      </w:r>
    </w:p>
    <w:p>
      <w:pPr>
        <w:spacing w:after="0" w:line="1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C Preferred Stock then outstanding shall be entitled to be paid out of the assets of the Company available for distribution to its stockholders before any payment shall be made to the holders of (i) Senior Preferred Stock (ii) Series A Preferred Stock or (iii) common stock by reason of their ownership thereof, an amount per share equal to the greater of (i) the Series C preferred stock Original Issue Price, plus any dividends accrued but unpaid thereon, whether or not declared, together with any other dividends declared but unpaid thereon or (ii) such amount per share as would have been payable had all shares of Series C Preferred Stock been converted into common stock immediately prior to such liquidation, dissolution, or winding up of the Company.</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C Preferred Stock the full amount to which they shall be entitled, the holders of shares of Series C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D Preferred Stock</w:t>
      </w:r>
    </w:p>
    <w:p>
      <w:pPr>
        <w:spacing w:after="0" w:line="122" w:lineRule="exact"/>
        <w:rPr>
          <w:sz w:val="20"/>
          <w:szCs w:val="20"/>
          <w:color w:val="auto"/>
        </w:rPr>
      </w:pPr>
    </w:p>
    <w:p>
      <w:pPr>
        <w:jc w:val="both"/>
        <w:ind w:left="120" w:right="20" w:firstLine="440"/>
        <w:spacing w:after="0" w:line="234"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D preferred stock then outstanding shall be entitled to be paid out of the assets of the Company available for distribution to its stockholders before any payment shall be made to the holders of (i) Series C Preferred Stock (ii) Senior Preferred Stock (iii) Series A preferred stock or</w:t>
      </w:r>
    </w:p>
    <w:p>
      <w:pPr>
        <w:spacing w:after="0" w:line="2" w:lineRule="exact"/>
        <w:rPr>
          <w:sz w:val="20"/>
          <w:szCs w:val="20"/>
          <w:color w:val="auto"/>
        </w:rPr>
      </w:pPr>
    </w:p>
    <w:p>
      <w:pPr>
        <w:ind w:left="120" w:right="100" w:hanging="4"/>
        <w:spacing w:after="0" w:line="238" w:lineRule="auto"/>
        <w:tabs>
          <w:tab w:leader="none" w:pos="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common stock by reason of their ownership thereof, an amount per share equal to the greater of (i) the Series D preferred stock Original Issue Price, plus any dividends accrued but unpaid thereon, whether or not declared, together with any other dividends declared but unpaid thereon or (ii) such amount per share as would have been payable had all shares of Series D Preferred Stock been converted into common stock immediately prior to such liquidation, dissolution, or winding up of the Company.</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D Preferred Stock the full amount to which they shall be entitled, the holders of shares of Series D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E Preferred Stock (Series E-1 and E-2)</w:t>
      </w:r>
    </w:p>
    <w:p>
      <w:pPr>
        <w:spacing w:after="0" w:line="122"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color w:val="auto"/>
        </w:rPr>
        <w:t>In the event of a voluntary or involuntary liquidation, dissolution or winding up of the Company, the holders of the Series E preferred stock then outstanding shall be entitled to be paid out of the assets of the Company available for distribution to its stockholders before any payment shall be made to the holders of (i) Series D Preferred Stock, (ii) Series C Preferred Stock, (iii) Senior Preferred Stock, (iv) Series A Preferred Stock, (v) Common Stock, or (vi) any other class or series of capital stock of the Corporation, in each case by reason of their ownership thereof, an amount per share equal to the greater of (a) (i) 125% of the Series E Preferred Stock Original Issue Price, plus any dividends declared but unpaid thereon (if the voluntary or involuntary liquidation, dissolution or winding up of the corporation or any deemed liquidation event is consummated before the second anniversary of the Series E original issue date) and (ii) Series E Original Issue Price, plus any dividends declared but unpaid (if the voluntary or involuntary liquidation, dissolution or winding up of the corporation or any deemed liquidation event is consummated on or after the second anniversary of the Series E original issue date) or (b) such amount per share as would have been payable had all shares of Series E Preferred Stock been converted into common stock immediately prior to such liquidation, dissolution, or winding up of the Company, if the voluntary or involuntary liquidation, dissolution or winding up of the corporation or any deemed liquidation event is consummated before the second anniversary of the Series E original issue date.</w:t>
      </w:r>
    </w:p>
    <w:p>
      <w:pPr>
        <w:spacing w:after="0" w:line="19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E Preferred Stock the full amount to which they shall be entitled, the holders of shares of Series E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00"/>
          </w:cols>
          <w:pgMar w:left="320" w:top="459"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July 2018, coinciding with the issuance of Series D Preferred Stock, the certificate of incorporation was amended to eliminate the future accrual of dividends. Holders of Series A Preferred Stock, Senior Preferred Stock and Series C Preferred Stock were entitled to accrue dividends through the Series D Preferred Stock issuance date of July 5, 2018 (the “Preferred Stock Dividends”) out of any assets legally available therefor, prior and in preference to any declaration or payment of any dividend to shareholders of common stock. The Preferred Stock Dividends shall be cumulative and accrue, day to day through the Series D Preferred Stock issuance date, at a rate per annum of 8% per share on such shares of preferred stock, subject to appropriate adjustment in the event of any stock dividend, stock split, combination, or other similar recapitalization with respect to the preferred stock. The holders of Series D Preferred Stock and Series E Preferred Stock are not entitled to accrue dividends.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Accumulated dividends were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9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5,318</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5,318</w:t>
            </w:r>
          </w:p>
        </w:tc>
        <w:tc>
          <w:tcPr>
            <w:tcW w:w="8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1,967</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1,967</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B1-NV Preferred Stock</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314</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314</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Series B1 Preferred Stock</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2,673</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2,673</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6,143</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6,143</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Series D Preferred Stock</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 Preferred Stock</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9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16,415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16,415</w:t>
            </w:r>
          </w:p>
        </w:tc>
      </w:tr>
      <w:tr>
        <w:trPr>
          <w:trHeight w:val="20"/>
        </w:trPr>
        <w:tc>
          <w:tcPr>
            <w:tcW w:w="8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dividends were declared or paid by the Company during the years ended December 31, 2019 and 2020.</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jc w:val="both"/>
        <w:ind w:left="120" w:right="140" w:firstLine="440"/>
        <w:spacing w:after="0" w:line="238" w:lineRule="auto"/>
        <w:rPr>
          <w:sz w:val="20"/>
          <w:szCs w:val="20"/>
          <w:color w:val="auto"/>
        </w:rPr>
      </w:pPr>
      <w:r>
        <w:rPr>
          <w:rFonts w:ascii="Arial" w:cs="Arial" w:eastAsia="Arial" w:hAnsi="Arial"/>
          <w:sz w:val="18"/>
          <w:szCs w:val="18"/>
          <w:color w:val="auto"/>
        </w:rPr>
        <w:t>Series A, B, B1 B1-NV, C and D of Preferred Stock do not contain any date-certain redemption features. At any time on or after the fifteenth anniversary of the Series E Preferred Stock issue date, any holder of Series E Preferred Stock may elect to have all outstanding shares of Series E Preferred Stock redeemed. The redemption price for each share of Series E Preferred Stock will be the original issue price per share, plus any declared but unpaid dividends. All classes of the Company’s Preferred Stock are contingently redeemable upon a deemed liquidation event.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Classification of Convertible Preferred Stock</w:t>
      </w:r>
    </w:p>
    <w:p>
      <w:pPr>
        <w:spacing w:after="0" w:line="126"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Preferred Stock is contingently redeemable upon certain deemed liquidation events outside of the Company’s control such as a dissolution, winding up of the Company, merger or consolidation, or other disposition of all or substantially all the assets of the Company. Accordingly, all shares of convertible Preferred Stock have been presented outside of permanent equity in mezzanine equity on the consolidated balance sheets.</w:t>
      </w:r>
    </w:p>
    <w:p>
      <w:pPr>
        <w:spacing w:after="0" w:line="205"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The Company recorded the convertible Preferred Stock at fair value on the dates of issuance, net of issuance costs. Shares of convertible preferred stock are not currently redeemable. The Company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did not adjust the carrying values of the convertible preferred stock to the deemed liquidation values of such shares since a liquidation event was not probable at any of the balance sheet dates. Subsequent adjustments to increase or decrease the carrying values to the ultimate liquidation values will be made only if, and when, it becomes probable that such a liquidation event will occur. The Company will evaluate the redemption contingency at each reporting period, reclassifying the instrument to a liability when the contingency is resolved and the convertible preferred stock becomes mandatorily redeemable.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Classification and Accretion of Redeemable Convertible Preferred Stock</w:t>
      </w:r>
    </w:p>
    <w:p>
      <w:pPr>
        <w:spacing w:after="0" w:line="126" w:lineRule="exact"/>
        <w:rPr>
          <w:sz w:val="20"/>
          <w:szCs w:val="20"/>
          <w:color w:val="auto"/>
        </w:rPr>
      </w:pPr>
    </w:p>
    <w:p>
      <w:pPr>
        <w:ind w:left="120" w:right="220" w:firstLine="440"/>
        <w:spacing w:after="0" w:line="236" w:lineRule="auto"/>
        <w:rPr>
          <w:sz w:val="20"/>
          <w:szCs w:val="20"/>
          <w:color w:val="auto"/>
        </w:rPr>
      </w:pPr>
      <w:r>
        <w:rPr>
          <w:rFonts w:ascii="Arial" w:cs="Arial" w:eastAsia="Arial" w:hAnsi="Arial"/>
          <w:sz w:val="18"/>
          <w:szCs w:val="18"/>
          <w:color w:val="auto"/>
        </w:rPr>
        <w:t>The Company has classified redeemable convertible preferred stock outside of stockholders’ deficit because the shares contain certain redemption features that are not solely within the control of the Company. Costs incurred in connection with the issuance of each series of redeemable convertible preferred stock are recorded as a reduction of gross proceeds from issuance. The Company records periodic accretion to the carrying values of its outstanding redeemable convertible preferred stock such that the carrying value of the redeemable convertible preferred stock will be equal to the original issuance cost at the earliest date of redemption. Adjustments to the carrying values of the redeemable convertible preferred stock to record this accretion at each reporting date are considered a deemed dividend, which adjusts additional paid-in capital and increases or decreases net loss attributable to common stockholders in computing basic and diluted net loss per share.</w:t>
      </w:r>
    </w:p>
    <w:p>
      <w:pPr>
        <w:spacing w:after="0" w:line="294" w:lineRule="exact"/>
        <w:rPr>
          <w:sz w:val="20"/>
          <w:szCs w:val="20"/>
          <w:color w:val="auto"/>
        </w:rPr>
      </w:pPr>
    </w:p>
    <w:p>
      <w:pPr>
        <w:ind w:left="560" w:hanging="444"/>
        <w:spacing w:after="0"/>
        <w:tabs>
          <w:tab w:leader="none" w:pos="5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Convertible Preferred Stock</w:t>
      </w:r>
    </w:p>
    <w:p>
      <w:pPr>
        <w:spacing w:after="0" w:line="12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 connection with the January 2018 LSA, the Company issued 127,000 warrants to purchase Series C Convertible Preferred Stock. The Company’s warrants to purchase preferred stock provide for net share settlement under which the maximum number of shares that could be issued represents the total amount of shares under the warrant agreements. The maximum number of shares that could be required to be issued to net share settle the warrants is 28,603 shares of Series C Convertible Preferred Stock.</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and 2020 warrants to purchase the following classes of Preferred Stock were outstanding: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of</w:t>
            </w: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Number of</w:t>
            </w: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Weight</w:t>
            </w: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2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Preferred Shares</w:t>
            </w: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Average</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Contractual</w:t>
            </w:r>
          </w:p>
        </w:tc>
        <w:tc>
          <w:tcPr>
            <w:tcW w:w="11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Fair Value of</w:t>
            </w:r>
          </w:p>
        </w:tc>
        <w:tc>
          <w:tcPr>
            <w:tcW w:w="0" w:type="dxa"/>
            <w:vAlign w:val="bottom"/>
          </w:tcPr>
          <w:p>
            <w:pPr>
              <w:spacing w:after="0"/>
              <w:rPr>
                <w:sz w:val="1"/>
                <w:szCs w:val="1"/>
                <w:color w:val="auto"/>
              </w:rPr>
            </w:pPr>
          </w:p>
        </w:tc>
      </w:tr>
      <w:tr>
        <w:trPr>
          <w:trHeight w:val="162"/>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Preferred</w:t>
            </w: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Issuable under</w:t>
            </w: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Exercise</w:t>
            </w: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Term</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Stock</w:t>
            </w:r>
          </w:p>
        </w:tc>
        <w:tc>
          <w:tcPr>
            <w:tcW w:w="3120" w:type="dxa"/>
            <w:vAlign w:val="bottom"/>
          </w:tcPr>
          <w:p>
            <w:pPr>
              <w:spacing w:after="0"/>
              <w:rPr>
                <w:sz w:val="16"/>
                <w:szCs w:val="16"/>
                <w:color w:val="auto"/>
              </w:rPr>
            </w:pPr>
          </w:p>
        </w:tc>
        <w:tc>
          <w:tcPr>
            <w:tcW w:w="2060" w:type="dxa"/>
            <w:vAlign w:val="bottom"/>
            <w:gridSpan w:val="2"/>
          </w:tcPr>
          <w:p>
            <w:pPr>
              <w:ind w:left="240"/>
              <w:spacing w:after="0"/>
              <w:rPr>
                <w:sz w:val="20"/>
                <w:szCs w:val="20"/>
                <w:color w:val="auto"/>
              </w:rPr>
            </w:pPr>
            <w:r>
              <w:rPr>
                <w:rFonts w:ascii="Arial" w:cs="Arial" w:eastAsia="Arial" w:hAnsi="Arial"/>
                <w:sz w:val="14"/>
                <w:szCs w:val="14"/>
                <w:b w:val="1"/>
                <w:bCs w:val="1"/>
                <w:color w:val="auto"/>
              </w:rPr>
              <w:t>Issuance Date</w:t>
            </w:r>
          </w:p>
        </w:tc>
        <w:tc>
          <w:tcPr>
            <w:tcW w:w="17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Warrant</w:t>
            </w: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Price</w:t>
            </w: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(In Years)</w:t>
            </w: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0"/>
        </w:trPr>
        <w:tc>
          <w:tcPr>
            <w:tcW w:w="35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Series C</w:t>
            </w:r>
          </w:p>
        </w:tc>
        <w:tc>
          <w:tcPr>
            <w:tcW w:w="146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9"/>
              </w:rPr>
              <w:t>January 16, 2018</w:t>
            </w:r>
          </w:p>
        </w:tc>
        <w:tc>
          <w:tcPr>
            <w:tcW w:w="6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127,000</w:t>
            </w:r>
          </w:p>
        </w:tc>
        <w:tc>
          <w:tcPr>
            <w:tcW w:w="5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  4.44</w:t>
            </w:r>
          </w:p>
        </w:tc>
        <w:tc>
          <w:tcPr>
            <w:tcW w:w="6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w:t>
            </w:r>
          </w:p>
        </w:tc>
        <w:tc>
          <w:tcPr>
            <w:tcW w:w="6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1,932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As a result of changes in the fair value of these warrants, the Company recorded other expense of $0.1 million and $0.6 million, for the years ended December 31, 2019 and 2020, respectively.</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 roll forward of the aggregate fair value of the Company’s preferred stock warrants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3880" w:type="dxa"/>
            <w:vAlign w:val="bottom"/>
            <w:tcBorders>
              <w:bottom w:val="single" w:sz="8" w:color="CCEEFF"/>
            </w:tcBorders>
          </w:tcPr>
          <w:p>
            <w:pPr>
              <w:spacing w:after="0"/>
              <w:rPr>
                <w:sz w:val="13"/>
                <w:szCs w:val="13"/>
                <w:color w:val="auto"/>
              </w:rPr>
            </w:pPr>
          </w:p>
        </w:tc>
        <w:tc>
          <w:tcPr>
            <w:tcW w:w="50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50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1,180</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1,307</w:t>
            </w:r>
          </w:p>
        </w:tc>
        <w:tc>
          <w:tcPr>
            <w:tcW w:w="60" w:type="dxa"/>
            <w:vAlign w:val="bottom"/>
            <w:shd w:val="clear" w:color="auto" w:fill="CCEEFF"/>
          </w:tcPr>
          <w:p>
            <w:pPr>
              <w:spacing w:after="0"/>
              <w:rPr>
                <w:sz w:val="17"/>
                <w:szCs w:val="17"/>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Changes in fair value</w:t>
            </w:r>
          </w:p>
        </w:tc>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127</w:t>
            </w:r>
          </w:p>
        </w:tc>
        <w:tc>
          <w:tcPr>
            <w:tcW w:w="18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625</w:t>
            </w:r>
          </w:p>
        </w:tc>
      </w:tr>
      <w:tr>
        <w:trPr>
          <w:trHeight w:val="27"/>
        </w:trPr>
        <w:tc>
          <w:tcPr>
            <w:tcW w:w="38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end of period</w:t>
            </w:r>
          </w:p>
        </w:tc>
        <w:tc>
          <w:tcPr>
            <w:tcW w:w="5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1,307</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1,932</w:t>
            </w:r>
          </w:p>
        </w:tc>
      </w:tr>
      <w:tr>
        <w:trPr>
          <w:trHeight w:val="20"/>
        </w:trPr>
        <w:tc>
          <w:tcPr>
            <w:tcW w:w="38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5120" w:type="dxa"/>
            <w:vAlign w:val="bottom"/>
            <w:gridSpan w:val="2"/>
          </w:tcPr>
          <w:p>
            <w:pPr>
              <w:jc w:val="right"/>
              <w:ind w:right="3230"/>
              <w:spacing w:after="0"/>
              <w:rPr>
                <w:sz w:val="20"/>
                <w:szCs w:val="20"/>
                <w:color w:val="auto"/>
              </w:rPr>
            </w:pPr>
            <w:r>
              <w:rPr>
                <w:rFonts w:ascii="Arial" w:cs="Arial" w:eastAsia="Arial" w:hAnsi="Arial"/>
                <w:sz w:val="18"/>
                <w:szCs w:val="18"/>
                <w:color w:val="auto"/>
              </w:rPr>
              <w:t>F-41</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Common Stock Warrants</w:t>
      </w:r>
    </w:p>
    <w:p>
      <w:pPr>
        <w:spacing w:after="0" w:line="126"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As of December 31, 2019, the Company’s amended and restated certificate of incorporation authorized the issuance of 34 million shares, par value of $.0001 common stock. In February 2020, the amended and restated certificate of incorporation adjusted common stock reserved for issuance in connection with the conversion of Preferred Stock to a total of 26,312,842 shares and upon the exercise of stock options under the Company’s 2018 Equity Incentive plan to a total of 9,977,175.</w:t>
      </w:r>
    </w:p>
    <w:p>
      <w:pPr>
        <w:spacing w:after="0" w:line="20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Each share of common stock entitles the holder to one vote on all matters submitted to the Company’s stockholders for a vote. Holders of common stock are entitled to receive dividends at the discretion of the Board of Directors pending on applicable laws and the Company’s financial condition, results of operations, cash requirements, prospects and other factors as the Board of Directors may deem relevant. The holders have no preemptive, conversion, or other subscription rights. There are no redemption or scheduled installment payment provisions relating to shares of common stock. All the outstanding shares of common stock are fully paid and nonassessable. As of December 31, 2019 and 2020, no cash divided have been declared or paid.</w:t>
      </w:r>
    </w:p>
    <w:p>
      <w:pPr>
        <w:spacing w:after="0" w:line="205"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On May 18, 2020, in connection with the Company’s refinancing of the LSA, the Company issued warrants to purchase 63,057 shares of common stock at $11.84 per share that were classified as equity. The initial fair value of the warrants was $0.4 million. The warrants, if not exercised, expire on May 17, 2030. The fair value of the warrants was determined using the Black Scholes model on the date of issuance using the assumptions as presented below:</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9020" w:type="dxa"/>
            <w:vAlign w:val="bottom"/>
            <w:tcBorders>
              <w:bottom w:val="single" w:sz="8" w:color="CCEEFF"/>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2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0.73%</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2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38.5%</w:t>
            </w:r>
          </w:p>
        </w:tc>
      </w:tr>
      <w:tr>
        <w:trPr>
          <w:trHeight w:val="217"/>
        </w:trPr>
        <w:tc>
          <w:tcPr>
            <w:tcW w:w="9020" w:type="dxa"/>
            <w:vAlign w:val="bottom"/>
          </w:tcPr>
          <w:p>
            <w:pPr>
              <w:spacing w:after="0"/>
              <w:rPr>
                <w:sz w:val="20"/>
                <w:szCs w:val="20"/>
                <w:color w:val="auto"/>
              </w:rPr>
            </w:pPr>
            <w:r>
              <w:rPr>
                <w:rFonts w:ascii="Arial" w:cs="Arial" w:eastAsia="Arial" w:hAnsi="Arial"/>
                <w:sz w:val="18"/>
                <w:szCs w:val="18"/>
                <w:color w:val="auto"/>
              </w:rPr>
              <w:t>Remaining contractual term (years)</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about the Company’s outstanding common stock warrants as of 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26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Date</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Total Warrants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tcPr>
          <w:p>
            <w:pPr>
              <w:jc w:val="right"/>
              <w:ind w:right="360"/>
              <w:spacing w:after="0" w:line="143" w:lineRule="exact"/>
              <w:rPr>
                <w:sz w:val="20"/>
                <w:szCs w:val="20"/>
                <w:color w:val="auto"/>
              </w:rPr>
            </w:pPr>
            <w:r>
              <w:rPr>
                <w:rFonts w:ascii="Arial" w:cs="Arial" w:eastAsia="Arial" w:hAnsi="Arial"/>
                <w:sz w:val="14"/>
                <w:szCs w:val="14"/>
                <w:b w:val="1"/>
                <w:bCs w:val="1"/>
                <w:color w:val="auto"/>
              </w:rPr>
              <w:t>Strike</w:t>
            </w:r>
          </w:p>
        </w:tc>
        <w:tc>
          <w:tcPr>
            <w:tcW w:w="130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2"/>
                <w:szCs w:val="12"/>
                <w:color w:val="auto"/>
              </w:rPr>
            </w:pPr>
          </w:p>
        </w:tc>
        <w:tc>
          <w:tcPr>
            <w:tcW w:w="90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Exercise</w:t>
            </w:r>
          </w:p>
        </w:tc>
        <w:tc>
          <w:tcPr>
            <w:tcW w:w="800" w:type="dxa"/>
            <w:vAlign w:val="bottom"/>
            <w:gridSpan w:val="3"/>
          </w:tcPr>
          <w:p>
            <w:pPr>
              <w:jc w:val="center"/>
              <w:ind w:right="60"/>
              <w:spacing w:after="0" w:line="143"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auto"/>
              </w:rPr>
              <w:t>Issued</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Expiration</w:t>
            </w:r>
          </w:p>
        </w:tc>
        <w:tc>
          <w:tcPr>
            <w:tcW w:w="100" w:type="dxa"/>
            <w:vAlign w:val="bottom"/>
          </w:tcPr>
          <w:p>
            <w:pPr>
              <w:spacing w:after="0"/>
              <w:rPr>
                <w:sz w:val="15"/>
                <w:szCs w:val="15"/>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Price</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and Exercisable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Price</w:t>
            </w:r>
          </w:p>
        </w:tc>
        <w:tc>
          <w:tcPr>
            <w:tcW w:w="14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LSA Warrants</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August-12</w:t>
            </w: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August-22</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2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20" w:type="dxa"/>
            <w:vAlign w:val="bottom"/>
          </w:tcPr>
          <w:p>
            <w:pPr>
              <w:spacing w:after="0"/>
              <w:rPr>
                <w:sz w:val="20"/>
                <w:szCs w:val="20"/>
                <w:color w:val="auto"/>
              </w:rPr>
            </w:pPr>
            <w:r>
              <w:rPr>
                <w:rFonts w:ascii="Arial" w:cs="Arial" w:eastAsia="Arial" w:hAnsi="Arial"/>
                <w:sz w:val="18"/>
                <w:szCs w:val="18"/>
                <w:color w:val="auto"/>
              </w:rPr>
              <w:t>LSA Warrants</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May-20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May-30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11.84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63,057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11.84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120" w:right="8100" w:hanging="4"/>
        <w:spacing w:after="0" w:line="394" w:lineRule="auto"/>
        <w:tabs>
          <w:tab w:leader="none" w:pos="660"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b w:val="1"/>
          <w:bCs w:val="1"/>
          <w:i w:val="1"/>
          <w:iCs w:val="1"/>
          <w:color w:val="auto"/>
        </w:rPr>
        <w:t>2009 Equity Incentive Plan</w:t>
      </w:r>
    </w:p>
    <w:p>
      <w:pPr>
        <w:spacing w:after="0" w:line="1"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Company’s 2009 Equity Incentive Plan (the “2009 Plan”) provided for the issuance of shares of common stock in the form of incentive stock options, nonqualified stock options, and restricted stock awards to the Company’s Board of Directors, officers, employees and outside consultants. The 2009 Plan was terminated in 2018, as such no further awards are currently being made under the 2009 Plan, however awards outstanding under the 2009 Plan will continue to be governed by their existing terms.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The stock options under 2009 Plan generally vest over four-year period and expire within ten years from the date of grant. Any options that are canceled or forfeited before expiration become available for future grants.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Company’s 2018 Equity Incentive Plan (the “2018 Plan”) provides for the issuance of a total of 9,977,175 shares of common stock in the form of incentive stock options, nonqualified stock options, and restricted stock awards to the Company’s directors, officers, employees and outside consultants. The 2018 Plan is administered by the Board of Directors or, at the discretion of the Board of Directors, by a committee of the Board of Directors. The exercise prices, vesting and other restrictions are determined at the discretion of the Board of Directors, or its committee if so delegated.</w:t>
      </w:r>
    </w:p>
    <w:p>
      <w:pPr>
        <w:spacing w:after="0" w:line="202"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The stock options generally vest over four-year period and expire within ten years from the date of grant. Any options that are canceled or forfeited before expiration become available for future grants. As of December 31, 2020, an aggregate of 783,949 incentive stock options, nonqualified options, and restricted stock awards of the Company are still available for future grant.</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presents a summary of option activity since December 31,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Contractual</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Aggregate Intrinsic</w:t>
            </w:r>
          </w:p>
        </w:tc>
      </w:tr>
      <w:tr>
        <w:trPr>
          <w:trHeight w:val="162"/>
        </w:trPr>
        <w:tc>
          <w:tcPr>
            <w:tcW w:w="472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Average Exercise</w:t>
            </w: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r>
      <w:tr>
        <w:trPr>
          <w:trHeight w:val="175"/>
        </w:trPr>
        <w:tc>
          <w:tcPr>
            <w:tcW w:w="4720" w:type="dxa"/>
            <w:vAlign w:val="bottom"/>
          </w:tcPr>
          <w:p>
            <w:pPr>
              <w:spacing w:after="0"/>
              <w:rPr>
                <w:sz w:val="15"/>
                <w:szCs w:val="15"/>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18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Price Per Share</w:t>
            </w: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(In Years)</w:t>
            </w:r>
          </w:p>
        </w:tc>
        <w:tc>
          <w:tcPr>
            <w:tcW w:w="12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as of December 31, 2019</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5,550,064</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4.68</w:t>
            </w: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7.05</w:t>
            </w: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948,841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11.84</w:t>
            </w: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(617,565)</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1.23</w:t>
            </w: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12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(265,173)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9.16</w:t>
            </w: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Expired</w:t>
            </w: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(46,566)</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4.15</w:t>
            </w: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720" w:type="dxa"/>
            <w:vAlign w:val="bottom"/>
          </w:tcPr>
          <w:p>
            <w:pPr>
              <w:spacing w:after="0"/>
              <w:rPr>
                <w:sz w:val="20"/>
                <w:szCs w:val="20"/>
                <w:color w:val="auto"/>
              </w:rPr>
            </w:pPr>
            <w:r>
              <w:rPr>
                <w:rFonts w:ascii="Arial" w:cs="Arial" w:eastAsia="Arial" w:hAnsi="Arial"/>
                <w:sz w:val="18"/>
                <w:szCs w:val="18"/>
                <w:color w:val="auto"/>
              </w:rPr>
              <w:t>Outstanding as of December 31, 2020</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5,569,601</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6.06</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32,174</w:t>
            </w:r>
          </w:p>
        </w:tc>
      </w:tr>
      <w:tr>
        <w:trPr>
          <w:trHeight w:val="20"/>
        </w:trPr>
        <w:tc>
          <w:tcPr>
            <w:tcW w:w="4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as of December 31, 2020</w:t>
            </w:r>
          </w:p>
        </w:tc>
        <w:tc>
          <w:tcPr>
            <w:tcW w:w="12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3,536,890</w:t>
            </w:r>
          </w:p>
        </w:tc>
        <w:tc>
          <w:tcPr>
            <w:tcW w:w="50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3.70</w:t>
            </w:r>
          </w:p>
        </w:tc>
        <w:tc>
          <w:tcPr>
            <w:tcW w:w="148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28,792</w:t>
            </w:r>
          </w:p>
        </w:tc>
      </w:tr>
      <w:tr>
        <w:trPr>
          <w:trHeight w:val="202"/>
        </w:trPr>
        <w:tc>
          <w:tcPr>
            <w:tcW w:w="4720" w:type="dxa"/>
            <w:vAlign w:val="bottom"/>
          </w:tcPr>
          <w:p>
            <w:pPr>
              <w:spacing w:after="0" w:line="201" w:lineRule="exact"/>
              <w:rPr>
                <w:sz w:val="20"/>
                <w:szCs w:val="20"/>
                <w:color w:val="auto"/>
              </w:rPr>
            </w:pPr>
            <w:r>
              <w:rPr>
                <w:rFonts w:ascii="Arial" w:cs="Arial" w:eastAsia="Arial" w:hAnsi="Arial"/>
                <w:sz w:val="18"/>
                <w:szCs w:val="18"/>
                <w:color w:val="auto"/>
              </w:rPr>
              <w:t>Vested or expected to vest as of December 31,</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4720" w:type="dxa"/>
            <w:vAlign w:val="bottom"/>
          </w:tcPr>
          <w:p>
            <w:pPr>
              <w:ind w:left="180"/>
              <w:spacing w:after="0"/>
              <w:rPr>
                <w:sz w:val="20"/>
                <w:szCs w:val="20"/>
                <w:color w:val="auto"/>
              </w:rPr>
            </w:pPr>
            <w:r>
              <w:rPr>
                <w:rFonts w:ascii="Arial" w:cs="Arial" w:eastAsia="Arial" w:hAnsi="Arial"/>
                <w:sz w:val="18"/>
                <w:szCs w:val="18"/>
                <w:color w:val="auto"/>
              </w:rPr>
              <w:t>2020</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5,446,743</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5.96</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32,032</w:t>
            </w:r>
          </w:p>
        </w:tc>
      </w:tr>
    </w:tbl>
    <w:p>
      <w:pPr>
        <w:spacing w:after="0" w:line="202" w:lineRule="exact"/>
        <w:rPr>
          <w:sz w:val="20"/>
          <w:szCs w:val="20"/>
          <w:color w:val="auto"/>
        </w:rPr>
      </w:pPr>
    </w:p>
    <w:p>
      <w:pPr>
        <w:jc w:val="both"/>
        <w:ind w:left="120" w:right="260" w:firstLine="440"/>
        <w:spacing w:after="0"/>
        <w:rPr>
          <w:sz w:val="20"/>
          <w:szCs w:val="20"/>
          <w:color w:val="auto"/>
        </w:rPr>
      </w:pPr>
      <w:r>
        <w:rPr>
          <w:rFonts w:ascii="Arial" w:cs="Arial" w:eastAsia="Arial" w:hAnsi="Arial"/>
          <w:sz w:val="18"/>
          <w:szCs w:val="18"/>
          <w:color w:val="auto"/>
        </w:rPr>
        <w:t>The aggregate intrinsic value was calculated as the difference between exercise price of the underlying awards and the calculated price of the Company’s common stock at December 31, 2020. The aggregate intrinsic value of stock options exercised during the years ended December 31, 2019 and 2020 was $1.9 million and $6.6 million, respectively.</w:t>
      </w:r>
    </w:p>
    <w:p>
      <w:pPr>
        <w:spacing w:after="0" w:line="203"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The Company received cash proceeds from the exercise of common stock options of $0.5 million and $0.8 million during the years ended December 31, 2019 and 2020, respectively.</w:t>
      </w:r>
    </w:p>
    <w:p>
      <w:pPr>
        <w:spacing w:after="0" w:line="197" w:lineRule="exact"/>
        <w:rPr>
          <w:sz w:val="20"/>
          <w:szCs w:val="20"/>
          <w:color w:val="auto"/>
        </w:rPr>
      </w:pPr>
    </w:p>
    <w:p>
      <w:pPr>
        <w:ind w:left="120" w:right="500" w:firstLine="440"/>
        <w:spacing w:after="0" w:line="246"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2019 and 2020 was $9.88 per share and $11.84 per share, respectively.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The table below quantifies the weighted average of the most significant inputs to determine the fair value of stock options granted.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27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3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720" w:type="dxa"/>
            <w:vAlign w:val="bottom"/>
            <w:gridSpan w:val="2"/>
            <w:shd w:val="clear" w:color="auto" w:fill="CCEEFF"/>
          </w:tcPr>
          <w:p>
            <w:pPr>
              <w:jc w:val="right"/>
              <w:ind w:right="860"/>
              <w:spacing w:after="0" w:line="196" w:lineRule="exact"/>
              <w:rPr>
                <w:sz w:val="20"/>
                <w:szCs w:val="20"/>
                <w:color w:val="auto"/>
              </w:rPr>
            </w:pPr>
            <w:r>
              <w:rPr>
                <w:rFonts w:ascii="Arial" w:cs="Arial" w:eastAsia="Arial" w:hAnsi="Arial"/>
                <w:sz w:val="18"/>
                <w:szCs w:val="18"/>
                <w:color w:val="auto"/>
              </w:rPr>
              <w:t>2.10%</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0.47%</w:t>
            </w: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72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2"/>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72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39.8%</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42.0%</w:t>
            </w:r>
          </w:p>
        </w:tc>
      </w:tr>
      <w:tr>
        <w:trPr>
          <w:trHeight w:val="217"/>
        </w:trPr>
        <w:tc>
          <w:tcPr>
            <w:tcW w:w="83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720" w:type="dxa"/>
            <w:vAlign w:val="bottom"/>
            <w:gridSpan w:val="2"/>
          </w:tcPr>
          <w:p>
            <w:pPr>
              <w:jc w:val="right"/>
              <w:ind w:right="1020"/>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r>
    </w:tbl>
    <w:p>
      <w:pPr>
        <w:spacing w:after="0" w:line="201"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During 2018, the Company granted restricted stock awards (“RSAs”) to employees under the 2018 Plan. The RSAs vest ratably over a four-year period from the date of grant. The fair value of each RSA on the date of grant is the estimated fair value of the common stock on the date of grant. The following table summarizes the restricted stock activity for the year ended December 31,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Weighted-Average</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r>
      <w:tr>
        <w:trPr>
          <w:trHeight w:val="175"/>
        </w:trPr>
        <w:tc>
          <w:tcPr>
            <w:tcW w:w="5280" w:type="dxa"/>
            <w:vAlign w:val="bottom"/>
          </w:tcPr>
          <w:p>
            <w:pPr>
              <w:spacing w:after="0"/>
              <w:rPr>
                <w:sz w:val="15"/>
                <w:szCs w:val="15"/>
                <w:color w:val="auto"/>
              </w:rPr>
            </w:pPr>
          </w:p>
        </w:tc>
        <w:tc>
          <w:tcPr>
            <w:tcW w:w="1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spacing w:after="0"/>
              <w:rPr>
                <w:sz w:val="15"/>
                <w:szCs w:val="15"/>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Grant Date Fair Value</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r>
      <w:tr>
        <w:trPr>
          <w:trHeight w:val="156"/>
        </w:trPr>
        <w:tc>
          <w:tcPr>
            <w:tcW w:w="528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as of December 31, 2019</w:t>
            </w:r>
          </w:p>
        </w:tc>
        <w:tc>
          <w:tcPr>
            <w:tcW w:w="17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504,047</w:t>
            </w:r>
          </w:p>
        </w:tc>
        <w:tc>
          <w:tcPr>
            <w:tcW w:w="5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2.93</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7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7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(244,885)</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2.93</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718</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17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(35,323)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2.93</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104</w:t>
            </w:r>
          </w:p>
        </w:tc>
      </w:tr>
      <w:tr>
        <w:trPr>
          <w:trHeight w:val="27"/>
        </w:trPr>
        <w:tc>
          <w:tcPr>
            <w:tcW w:w="52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as of December 31, 2020</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223,839</w:t>
            </w:r>
          </w:p>
        </w:tc>
        <w:tc>
          <w:tcPr>
            <w:tcW w:w="5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2.93</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60" w:firstLine="440"/>
        <w:spacing w:after="0" w:line="246" w:lineRule="auto"/>
        <w:rPr>
          <w:sz w:val="20"/>
          <w:szCs w:val="20"/>
          <w:color w:val="auto"/>
        </w:rPr>
      </w:pPr>
      <w:r>
        <w:rPr>
          <w:rFonts w:ascii="Arial" w:cs="Arial" w:eastAsia="Arial" w:hAnsi="Arial"/>
          <w:sz w:val="18"/>
          <w:szCs w:val="18"/>
          <w:color w:val="auto"/>
        </w:rPr>
        <w:t>As of December 31, 2020, there was $7.9 million of total unrecognized compensation expense related to unvested stock options and restricted stock awards, which is expected to be recognized over a weighted-average period of 2.4 years.</w:t>
      </w:r>
    </w:p>
    <w:p>
      <w:pPr>
        <w:spacing w:after="0" w:line="197"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The following table summarizes the stock-based compensation expense for stock options and restricted stock awards granted to employees that was recorded in the Company’s consolidated statements of operations and comprehensive loss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9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440" w:type="dxa"/>
            <w:vAlign w:val="bottom"/>
            <w:tcBorders>
              <w:top w:val="single" w:sz="8" w:color="auto"/>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 and development</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640</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766</w:t>
            </w:r>
          </w:p>
        </w:tc>
        <w:tc>
          <w:tcPr>
            <w:tcW w:w="6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Selling and marketing</w:t>
            </w:r>
          </w:p>
        </w:tc>
        <w:tc>
          <w:tcPr>
            <w:tcW w:w="8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905</w:t>
            </w:r>
          </w:p>
        </w:tc>
        <w:tc>
          <w:tcPr>
            <w:tcW w:w="44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1,275</w:t>
            </w: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1,404</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1,803</w:t>
            </w:r>
          </w:p>
        </w:tc>
        <w:tc>
          <w:tcPr>
            <w:tcW w:w="60" w:type="dxa"/>
            <w:vAlign w:val="bottom"/>
            <w:shd w:val="clear" w:color="auto" w:fill="CCEEFF"/>
          </w:tcPr>
          <w:p>
            <w:pPr>
              <w:spacing w:after="0"/>
              <w:rPr>
                <w:sz w:val="17"/>
                <w:szCs w:val="17"/>
                <w:color w:val="auto"/>
              </w:rPr>
            </w:pPr>
          </w:p>
        </w:tc>
      </w:tr>
      <w:tr>
        <w:trPr>
          <w:trHeight w:val="210"/>
        </w:trPr>
        <w:tc>
          <w:tcPr>
            <w:tcW w:w="8900" w:type="dxa"/>
            <w:vAlign w:val="bottom"/>
          </w:tcPr>
          <w:p>
            <w:pPr>
              <w:ind w:left="360"/>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   2,949</w:t>
            </w:r>
          </w:p>
        </w:tc>
        <w:tc>
          <w:tcPr>
            <w:tcW w:w="4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   3,844</w:t>
            </w:r>
          </w:p>
        </w:tc>
      </w:tr>
      <w:tr>
        <w:trPr>
          <w:trHeight w:val="20"/>
        </w:trPr>
        <w:tc>
          <w:tcPr>
            <w:tcW w:w="8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720" w:firstLine="440"/>
        <w:spacing w:after="0" w:line="246" w:lineRule="auto"/>
        <w:rPr>
          <w:sz w:val="20"/>
          <w:szCs w:val="20"/>
          <w:color w:val="auto"/>
        </w:rPr>
      </w:pPr>
      <w:r>
        <w:rPr>
          <w:rFonts w:ascii="Arial" w:cs="Arial" w:eastAsia="Arial" w:hAnsi="Arial"/>
          <w:sz w:val="18"/>
          <w:szCs w:val="18"/>
          <w:color w:val="auto"/>
        </w:rPr>
        <w:t>During the year ended December 31, 2019, the Company repurchased 30,000 shares of common stock for $0.3 million. The repurchase was approved by the Board of Directors.</w:t>
      </w:r>
    </w:p>
    <w:p>
      <w:pPr>
        <w:spacing w:after="0" w:line="197" w:lineRule="exact"/>
        <w:rPr>
          <w:sz w:val="20"/>
          <w:szCs w:val="20"/>
          <w:color w:val="auto"/>
        </w:rPr>
      </w:pPr>
    </w:p>
    <w:p>
      <w:pPr>
        <w:jc w:val="both"/>
        <w:ind w:left="120" w:right="100" w:firstLine="440"/>
        <w:spacing w:after="0" w:line="261" w:lineRule="auto"/>
        <w:rPr>
          <w:sz w:val="20"/>
          <w:szCs w:val="20"/>
          <w:color w:val="auto"/>
        </w:rPr>
      </w:pPr>
      <w:r>
        <w:rPr>
          <w:rFonts w:ascii="Arial" w:cs="Arial" w:eastAsia="Arial" w:hAnsi="Arial"/>
          <w:sz w:val="17"/>
          <w:szCs w:val="17"/>
          <w:color w:val="auto"/>
        </w:rPr>
        <w:t>As of December 31, 2019 and 2020, the Company had reserved 28,377,389 and 32,754,479 shares, respectively, of common stock for the conversion of the outstanding Preferred Stock, exercise of outstanding stock options, the number of shares remaining available for grant under the Company’s 2018 Plan and the exercise of outstanding warrants to purchase shares of common stock (refer to Note 14).</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6"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4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83"/>
        </w:trPr>
        <w:tc>
          <w:tcPr>
            <w:tcW w:w="8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(20,116)</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(11,107)</w:t>
            </w:r>
          </w:p>
        </w:tc>
      </w:tr>
      <w:tr>
        <w:trPr>
          <w:trHeight w:val="203"/>
        </w:trPr>
        <w:tc>
          <w:tcPr>
            <w:tcW w:w="8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Accretion of preferred stock to redemption value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20"/>
        </w:trPr>
        <w:tc>
          <w:tcPr>
            <w:tcW w:w="8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42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(20,116)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(11,121)</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Weighted average common shares outstanding—basic and diluted</w:t>
            </w:r>
          </w:p>
        </w:tc>
        <w:tc>
          <w:tcPr>
            <w:tcW w:w="1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9"/>
              </w:rPr>
              <w:t>5,355,696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6,129,966</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stockholders—basic and 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(3.76)</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(1.81)</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17"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84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Warrants for the purchase of common stock</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88,057</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gridSpan w:val="2"/>
          </w:tcPr>
          <w:p>
            <w:pPr>
              <w:spacing w:after="0" w:line="202" w:lineRule="exact"/>
              <w:rPr>
                <w:sz w:val="20"/>
                <w:szCs w:val="20"/>
                <w:color w:val="auto"/>
              </w:rPr>
            </w:pPr>
            <w:r>
              <w:rPr>
                <w:rFonts w:ascii="Arial" w:cs="Arial" w:eastAsia="Arial" w:hAnsi="Arial"/>
                <w:sz w:val="18"/>
                <w:szCs w:val="18"/>
                <w:color w:val="auto"/>
              </w:rPr>
              <w:t>Warrants for the purchase of convertible preferred stock (as converted into common 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127,000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127,000</w:t>
            </w:r>
          </w:p>
        </w:tc>
        <w:tc>
          <w:tcPr>
            <w:tcW w:w="0" w:type="dxa"/>
            <w:vAlign w:val="bottom"/>
          </w:tcPr>
          <w:p>
            <w:pPr>
              <w:spacing w:after="0"/>
              <w:rPr>
                <w:sz w:val="1"/>
                <w:szCs w:val="1"/>
                <w:color w:val="auto"/>
              </w:rPr>
            </w:pPr>
          </w:p>
        </w:tc>
      </w:tr>
      <w:tr>
        <w:trPr>
          <w:trHeight w:val="203"/>
        </w:trPr>
        <w:tc>
          <w:tcPr>
            <w:tcW w:w="8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(as converted into common stock)</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3,746,640</w:t>
            </w:r>
          </w:p>
        </w:tc>
        <w:tc>
          <w:tcPr>
            <w:tcW w:w="0" w:type="dxa"/>
            <w:vAlign w:val="bottom"/>
          </w:tcPr>
          <w:p>
            <w:pPr>
              <w:spacing w:after="0"/>
              <w:rPr>
                <w:sz w:val="1"/>
                <w:szCs w:val="1"/>
                <w:color w:val="auto"/>
              </w:rPr>
            </w:pPr>
          </w:p>
        </w:tc>
      </w:tr>
      <w:tr>
        <w:trPr>
          <w:trHeight w:val="203"/>
        </w:trPr>
        <w:tc>
          <w:tcPr>
            <w:tcW w:w="8620" w:type="dxa"/>
            <w:vAlign w:val="bottom"/>
            <w:gridSpan w:val="2"/>
          </w:tcPr>
          <w:p>
            <w:pPr>
              <w:spacing w:after="0" w:line="202" w:lineRule="exact"/>
              <w:rPr>
                <w:sz w:val="20"/>
                <w:szCs w:val="20"/>
                <w:color w:val="auto"/>
              </w:rPr>
            </w:pPr>
            <w:r>
              <w:rPr>
                <w:rFonts w:ascii="Arial" w:cs="Arial" w:eastAsia="Arial" w:hAnsi="Arial"/>
                <w:sz w:val="18"/>
                <w:szCs w:val="18"/>
                <w:color w:val="auto"/>
              </w:rPr>
              <w:t>Convertible preferred stock (as converted into common stock)</w:t>
            </w:r>
          </w:p>
        </w:tc>
        <w:tc>
          <w:tcPr>
            <w:tcW w:w="114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18,069,487</w:t>
            </w:r>
          </w:p>
        </w:tc>
        <w:tc>
          <w:tcPr>
            <w:tcW w:w="12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18,069,487</w:t>
            </w:r>
          </w:p>
        </w:tc>
        <w:tc>
          <w:tcPr>
            <w:tcW w:w="0" w:type="dxa"/>
            <w:vAlign w:val="bottom"/>
          </w:tcPr>
          <w:p>
            <w:pPr>
              <w:spacing w:after="0"/>
              <w:rPr>
                <w:sz w:val="1"/>
                <w:szCs w:val="1"/>
                <w:color w:val="auto"/>
              </w:rPr>
            </w:pPr>
          </w:p>
        </w:tc>
      </w:tr>
      <w:tr>
        <w:trPr>
          <w:trHeight w:val="203"/>
        </w:trPr>
        <w:tc>
          <w:tcPr>
            <w:tcW w:w="8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Unvested restricted stock awards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504,047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223,839</w:t>
            </w: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Stock options to purchase common stock (as converted to common stock)</w:t>
            </w:r>
          </w:p>
        </w:tc>
        <w:tc>
          <w:tcPr>
            <w:tcW w:w="140" w:type="dxa"/>
            <w:vAlign w:val="bottom"/>
          </w:tcPr>
          <w:p>
            <w:pPr>
              <w:spacing w:after="0"/>
              <w:rPr>
                <w:sz w:val="17"/>
                <w:szCs w:val="17"/>
                <w:color w:val="auto"/>
              </w:rPr>
            </w:pPr>
          </w:p>
        </w:tc>
        <w:tc>
          <w:tcPr>
            <w:tcW w:w="114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5,550,064</w:t>
            </w:r>
          </w:p>
        </w:tc>
        <w:tc>
          <w:tcPr>
            <w:tcW w:w="12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5,569,601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24,275,598</w:t>
            </w:r>
          </w:p>
        </w:tc>
        <w:tc>
          <w:tcPr>
            <w:tcW w:w="12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27,824,624</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17.   Income Taxes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620" w:type="dxa"/>
            <w:vAlign w:val="bottom"/>
            <w:gridSpan w:val="2"/>
          </w:tcPr>
          <w:p>
            <w:pPr>
              <w:ind w:left="440"/>
              <w:spacing w:after="0"/>
              <w:rPr>
                <w:sz w:val="20"/>
                <w:szCs w:val="20"/>
                <w:color w:val="auto"/>
              </w:rPr>
            </w:pPr>
            <w:r>
              <w:rPr>
                <w:rFonts w:ascii="Arial" w:cs="Arial" w:eastAsia="Arial" w:hAnsi="Arial"/>
                <w:sz w:val="18"/>
                <w:szCs w:val="18"/>
                <w:color w:val="auto"/>
              </w:rPr>
              <w:t>The following table presents the components of loss before provision for income taxes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84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(21,338)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(21,033)</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gridSpan w:val="2"/>
          </w:tcPr>
          <w:p>
            <w:pPr>
              <w:spacing w:after="0" w:line="202" w:lineRule="exact"/>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1,772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(19,566)</w:t>
            </w:r>
          </w:p>
        </w:tc>
        <w:tc>
          <w:tcPr>
            <w:tcW w:w="1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(18,276)</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ind w:left="5320"/>
              <w:spacing w:after="0"/>
              <w:rPr>
                <w:sz w:val="20"/>
                <w:szCs w:val="20"/>
                <w:color w:val="auto"/>
              </w:rPr>
            </w:pPr>
            <w:r>
              <w:rPr>
                <w:rFonts w:ascii="Arial" w:cs="Arial" w:eastAsia="Arial" w:hAnsi="Arial"/>
                <w:sz w:val="18"/>
                <w:szCs w:val="18"/>
                <w:color w:val="auto"/>
              </w:rPr>
              <w:t>F-45</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components of the Company’s provision for (benefit from) income taxes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6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3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gridSpan w:val="3"/>
          </w:tcPr>
          <w:p>
            <w:pPr>
              <w:jc w:val="right"/>
              <w:ind w:right="110"/>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83"/>
        </w:trPr>
        <w:tc>
          <w:tcPr>
            <w:tcW w:w="83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Current</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Federal</w:t>
            </w:r>
          </w:p>
        </w:tc>
        <w:tc>
          <w:tcPr>
            <w:tcW w:w="70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State</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48</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3"/>
              </w:rPr>
              <w:t>561</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1,318</w:t>
            </w:r>
          </w:p>
        </w:tc>
      </w:tr>
      <w:tr>
        <w:trPr>
          <w:trHeight w:val="20"/>
        </w:trPr>
        <w:tc>
          <w:tcPr>
            <w:tcW w:w="8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320" w:type="dxa"/>
            <w:vAlign w:val="bottom"/>
          </w:tcPr>
          <w:p>
            <w:pPr>
              <w:ind w:left="720"/>
              <w:spacing w:after="0"/>
              <w:rPr>
                <w:sz w:val="20"/>
                <w:szCs w:val="20"/>
                <w:color w:val="auto"/>
              </w:rPr>
            </w:pPr>
            <w:r>
              <w:rPr>
                <w:rFonts w:ascii="Arial" w:cs="Arial" w:eastAsia="Arial" w:hAnsi="Arial"/>
                <w:sz w:val="18"/>
                <w:szCs w:val="18"/>
                <w:color w:val="auto"/>
              </w:rPr>
              <w:t>Total current provision for income taxes</w:t>
            </w:r>
          </w:p>
        </w:tc>
        <w:tc>
          <w:tcPr>
            <w:tcW w:w="7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561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1,366</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w:t>
            </w:r>
          </w:p>
        </w:tc>
        <w:tc>
          <w:tcPr>
            <w:tcW w:w="4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Federal</w:t>
            </w:r>
          </w:p>
        </w:tc>
        <w:tc>
          <w:tcPr>
            <w:tcW w:w="70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(5,104)</w:t>
            </w: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State</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55</w:t>
            </w:r>
          </w:p>
        </w:tc>
        <w:tc>
          <w:tcPr>
            <w:tcW w:w="140" w:type="dxa"/>
            <w:vAlign w:val="bottom"/>
          </w:tcPr>
          <w:p>
            <w:pPr>
              <w:spacing w:after="0"/>
              <w:rPr>
                <w:sz w:val="17"/>
                <w:szCs w:val="17"/>
                <w:color w:val="auto"/>
              </w:rPr>
            </w:pPr>
          </w:p>
        </w:tc>
        <w:tc>
          <w:tcPr>
            <w:tcW w:w="8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(3,243)</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(188)</w:t>
            </w:r>
          </w:p>
        </w:tc>
      </w:tr>
      <w:tr>
        <w:trPr>
          <w:trHeight w:val="20"/>
        </w:trPr>
        <w:tc>
          <w:tcPr>
            <w:tcW w:w="8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320" w:type="dxa"/>
            <w:vAlign w:val="bottom"/>
          </w:tcPr>
          <w:p>
            <w:pPr>
              <w:ind w:left="720"/>
              <w:spacing w:after="0"/>
              <w:rPr>
                <w:sz w:val="20"/>
                <w:szCs w:val="20"/>
                <w:color w:val="auto"/>
              </w:rPr>
            </w:pPr>
            <w:r>
              <w:rPr>
                <w:rFonts w:ascii="Arial" w:cs="Arial" w:eastAsia="Arial" w:hAnsi="Arial"/>
                <w:sz w:val="18"/>
                <w:szCs w:val="18"/>
                <w:color w:val="auto"/>
              </w:rPr>
              <w:t>Total deferred income tax provision (benefit)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(8,535)</w:t>
            </w:r>
          </w:p>
        </w:tc>
      </w:tr>
      <w:tr>
        <w:trPr>
          <w:trHeight w:val="27"/>
        </w:trPr>
        <w:tc>
          <w:tcPr>
            <w:tcW w:w="8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income tax provision (benefit)</w:t>
            </w:r>
          </w:p>
        </w:tc>
        <w:tc>
          <w:tcPr>
            <w:tcW w:w="70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3"/>
              </w:rPr>
              <w:t>550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(7,169)</w:t>
            </w:r>
          </w:p>
        </w:tc>
      </w:tr>
      <w:tr>
        <w:trPr>
          <w:trHeight w:val="20"/>
        </w:trPr>
        <w:tc>
          <w:tcPr>
            <w:tcW w:w="876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10060" w:type="dxa"/>
            <w:vAlign w:val="bottom"/>
            <w:gridSpan w:val="6"/>
          </w:tcPr>
          <w:p>
            <w:pPr>
              <w:ind w:left="44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8320" w:type="dxa"/>
            <w:vAlign w:val="bottom"/>
          </w:tcPr>
          <w:p>
            <w:pPr>
              <w:spacing w:after="0"/>
              <w:rPr>
                <w:sz w:val="24"/>
                <w:szCs w:val="24"/>
                <w:color w:val="auto"/>
              </w:rPr>
            </w:pPr>
          </w:p>
        </w:tc>
        <w:tc>
          <w:tcPr>
            <w:tcW w:w="270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3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gridSpan w:val="2"/>
          </w:tcPr>
          <w:p>
            <w:pPr>
              <w:jc w:val="right"/>
              <w:ind w:right="12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5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8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21.0%</w:t>
            </w: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8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5.3</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Permanent differences</w:t>
            </w:r>
          </w:p>
        </w:tc>
        <w:tc>
          <w:tcPr>
            <w:tcW w:w="8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Fair value of contingent consideration</w:t>
            </w:r>
          </w:p>
        </w:tc>
        <w:tc>
          <w:tcPr>
            <w:tcW w:w="8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w:t>
            </w: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Non-deductible transaction costs</w:t>
            </w:r>
          </w:p>
        </w:tc>
        <w:tc>
          <w:tcPr>
            <w:tcW w:w="8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Equity-based compensation</w:t>
            </w: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valuation allowance</w:t>
            </w:r>
          </w:p>
        </w:tc>
        <w:tc>
          <w:tcPr>
            <w:tcW w:w="8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(24.1)</w:t>
            </w:r>
          </w:p>
        </w:tc>
        <w:tc>
          <w:tcPr>
            <w:tcW w:w="3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r>
      <w:tr>
        <w:trPr>
          <w:trHeight w:val="27"/>
        </w:trPr>
        <w:tc>
          <w:tcPr>
            <w:tcW w:w="8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Effective income tax rate</w:t>
            </w:r>
          </w:p>
        </w:tc>
        <w:tc>
          <w:tcPr>
            <w:tcW w:w="1160" w:type="dxa"/>
            <w:vAlign w:val="bottom"/>
            <w:gridSpan w:val="4"/>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(3.0%)</w:t>
            </w: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39.3%</w:t>
            </w:r>
          </w:p>
        </w:tc>
      </w:tr>
      <w:tr>
        <w:trPr>
          <w:trHeight w:val="20"/>
        </w:trPr>
        <w:tc>
          <w:tcPr>
            <w:tcW w:w="8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During the year ended December 31, 2020 the Company recorded an income tax benefit of $7.2 million, which is primarily attributable to a non-recurring benefit of $ 8.4 million relating to the release of a portion of the Company’s valuation allowance. This release was due to taxable temporary differences recorded as part of the Simplee acquisition which are a source of income to realize certain pre-existing federal and state deferred tax assets.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deferred tax assets and liabilities consisted of the following components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5900" w:type="dxa"/>
            <w:vAlign w:val="bottom"/>
            <w:tcBorders>
              <w:bottom w:val="single" w:sz="8" w:color="CCEEFF"/>
            </w:tcBorders>
          </w:tcPr>
          <w:p>
            <w:pPr>
              <w:spacing w:after="0"/>
              <w:rPr>
                <w:sz w:val="13"/>
                <w:szCs w:val="13"/>
                <w:color w:val="auto"/>
              </w:rPr>
            </w:pPr>
          </w:p>
        </w:tc>
        <w:tc>
          <w:tcPr>
            <w:tcW w:w="28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83"/>
        </w:trPr>
        <w:tc>
          <w:tcPr>
            <w:tcW w:w="5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2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2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18,741</w:t>
            </w: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29,598</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Property and equipment</w:t>
            </w: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316</w:t>
            </w: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Intangible assets</w:t>
            </w: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446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temporary differences</w:t>
            </w: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1,299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1,584</w:t>
            </w:r>
          </w:p>
        </w:tc>
      </w:tr>
      <w:tr>
        <w:trPr>
          <w:trHeight w:val="20"/>
        </w:trPr>
        <w:tc>
          <w:tcPr>
            <w:tcW w:w="5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0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20,690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31,498</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 valuation allowance</w:t>
            </w: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(20,554)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(17,485)</w:t>
            </w:r>
          </w:p>
        </w:tc>
      </w:tr>
      <w:tr>
        <w:trPr>
          <w:trHeight w:val="20"/>
        </w:trPr>
        <w:tc>
          <w:tcPr>
            <w:tcW w:w="5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5900" w:type="dxa"/>
            <w:vAlign w:val="bottom"/>
          </w:tcPr>
          <w:p>
            <w:pPr>
              <w:spacing w:after="0"/>
              <w:rPr>
                <w:sz w:val="18"/>
                <w:szCs w:val="18"/>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14,013</w:t>
            </w:r>
          </w:p>
        </w:tc>
      </w:tr>
      <w:tr>
        <w:trPr>
          <w:trHeight w:val="202"/>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8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Intangible assets</w:t>
            </w: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(13,651)</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Goodwill</w:t>
            </w: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(626)</w:t>
            </w:r>
          </w:p>
        </w:tc>
      </w:tr>
      <w:tr>
        <w:trPr>
          <w:trHeight w:val="20"/>
        </w:trPr>
        <w:tc>
          <w:tcPr>
            <w:tcW w:w="5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0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(14,277)</w:t>
            </w:r>
          </w:p>
        </w:tc>
      </w:tr>
      <w:tr>
        <w:trPr>
          <w:trHeight w:val="27"/>
        </w:trPr>
        <w:tc>
          <w:tcPr>
            <w:tcW w:w="59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9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deferred tax liabilities</w:t>
            </w:r>
          </w:p>
        </w:tc>
        <w:tc>
          <w:tcPr>
            <w:tcW w:w="2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(295)</w:t>
            </w: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(264)</w:t>
            </w:r>
          </w:p>
        </w:tc>
      </w:tr>
      <w:tr>
        <w:trPr>
          <w:trHeight w:val="20"/>
        </w:trPr>
        <w:tc>
          <w:tcPr>
            <w:tcW w:w="5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the Company had federal and state net operating loss (“NOL”) carryforwards of $110.8 million and</w:t>
      </w:r>
    </w:p>
    <w:p>
      <w:pPr>
        <w:ind w:left="120"/>
        <w:spacing w:after="0" w:line="234" w:lineRule="auto"/>
        <w:rPr>
          <w:sz w:val="20"/>
          <w:szCs w:val="20"/>
          <w:color w:val="auto"/>
        </w:rPr>
      </w:pPr>
      <w:r>
        <w:rPr>
          <w:rFonts w:ascii="Arial" w:cs="Arial" w:eastAsia="Arial" w:hAnsi="Arial"/>
          <w:sz w:val="18"/>
          <w:szCs w:val="18"/>
          <w:color w:val="auto"/>
        </w:rPr>
        <w:t>$96.0 million, respectively, out of which $58.1 million of federal NOL carryforwards and $94.8M of state NOL carryforwards begin to expire</w:t>
      </w:r>
    </w:p>
    <w:p>
      <w:pPr>
        <w:ind w:left="120"/>
        <w:spacing w:after="0" w:line="235" w:lineRule="auto"/>
        <w:rPr>
          <w:sz w:val="20"/>
          <w:szCs w:val="20"/>
          <w:color w:val="auto"/>
        </w:rPr>
      </w:pPr>
      <w:r>
        <w:rPr>
          <w:rFonts w:ascii="Arial" w:cs="Arial" w:eastAsia="Arial" w:hAnsi="Arial"/>
          <w:sz w:val="18"/>
          <w:szCs w:val="18"/>
          <w:color w:val="auto"/>
        </w:rPr>
        <w:t>in 2030 and 2024, respectively. Additionally, $52.7 million of federal NOL carryforwards and $1.2 million of state NOL carryforwards have</w:t>
      </w:r>
    </w:p>
    <w:p>
      <w:pPr>
        <w:ind w:left="120"/>
        <w:spacing w:after="0" w:line="235" w:lineRule="auto"/>
        <w:rPr>
          <w:sz w:val="20"/>
          <w:szCs w:val="20"/>
          <w:color w:val="auto"/>
        </w:rPr>
      </w:pPr>
      <w:r>
        <w:rPr>
          <w:rFonts w:ascii="Arial" w:cs="Arial" w:eastAsia="Arial" w:hAnsi="Arial"/>
          <w:sz w:val="18"/>
          <w:szCs w:val="18"/>
          <w:color w:val="auto"/>
        </w:rPr>
        <w:t>indefinite lives. As of December 31, 2020 the Company generated foreign NOL carryforwards of $0.6 million which begin to expire in 2025.</w:t>
      </w:r>
    </w:p>
    <w:p>
      <w:pPr>
        <w:ind w:left="120"/>
        <w:spacing w:after="0"/>
        <w:rPr>
          <w:sz w:val="20"/>
          <w:szCs w:val="20"/>
          <w:color w:val="auto"/>
        </w:rPr>
      </w:pPr>
      <w:r>
        <w:rPr>
          <w:rFonts w:ascii="Arial" w:cs="Arial" w:eastAsia="Arial" w:hAnsi="Arial"/>
          <w:sz w:val="17"/>
          <w:szCs w:val="17"/>
          <w:color w:val="auto"/>
        </w:rPr>
        <w:t>The federal, state and foreign NOL carryforwards may be available to reduce future federal, state and foreign taxable income, respectively.</w:t>
      </w:r>
    </w:p>
    <w:p>
      <w:pPr>
        <w:spacing w:after="0" w:line="223"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Ownership changes, as defined in the Internal Revenue Code Section 382, and similar state provisions may limit the amount of federal and state NOL carryforwards that can be utilized annually to offset future federal and state taxable income. Generally, an ownership change occurs when the ownership percentage of 5% or greater stockholders increases by more than 50% over a three-year period. Accordingly, the purchase of the Company’s stock in amounts greater than specified levels could have limited the Company’s ability to utilize the federal and state NOL carryforwards for tax purposes. Although, the Company has not performed a Section 382 study, it may be limited in its ability to use its federal and state NOL carryforwards NOLs.</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In assessing the realizability of its deferred tax assets, the Company considered whether it was more likely than not that some portion or all of the deferred tax assets would not be realized. The realization of deferred tax assets depends upon the generation of future taxable income prior to the expiration of the NOL carryforward. The Company has evaluated the positive and negative evidence bearing upon the realizability and determined that it is more likely than not that the Company will not realize the benefits of the deferred tax assets, and as a result, a valuation allowance has been established against federal, state and certain foreign deferred tax assets as of December 31, 2019 and 2020.</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420" w:firstLine="440"/>
        <w:spacing w:after="0" w:line="238" w:lineRule="auto"/>
        <w:rPr>
          <w:sz w:val="20"/>
          <w:szCs w:val="20"/>
          <w:color w:val="auto"/>
        </w:rPr>
      </w:pPr>
      <w:r>
        <w:rPr>
          <w:rFonts w:ascii="Arial" w:cs="Arial" w:eastAsia="Arial" w:hAnsi="Arial"/>
          <w:sz w:val="18"/>
          <w:szCs w:val="18"/>
          <w:color w:val="auto"/>
        </w:rPr>
        <w:t>During the year ended December 31, 2019 the Company recorded an increase in the valuation allowance of $4.8 million. As of December 31, 2020, the Company recorded a net decrease in the valuation allowance of $3.1 million related primarily to a valuation allowance release with respect to the Simplee acquisition offset by a valuation allowance increase with respect to NOL carryforwards. Changes in the valuation allowance are summarized as follows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7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allowance at beginning of year</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(15,757)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(20,554)</w:t>
            </w:r>
          </w:p>
        </w:tc>
        <w:tc>
          <w:tcPr>
            <w:tcW w:w="120" w:type="dxa"/>
            <w:vAlign w:val="bottom"/>
            <w:shd w:val="clear" w:color="auto" w:fill="CCEEFF"/>
          </w:tcPr>
          <w:p>
            <w:pPr>
              <w:spacing w:after="0"/>
              <w:rPr>
                <w:sz w:val="17"/>
                <w:szCs w:val="17"/>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Change recorded to income tax (provision) benefit as part of operations</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(4,797)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(2,745)</w:t>
            </w: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recorded to income tax (provision) benefit due to acquisition of Simplee</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8,464</w:t>
            </w: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Current year (increase)/decrease established through goodwill due to acquisition of Simplee</w:t>
            </w:r>
          </w:p>
        </w:tc>
        <w:tc>
          <w:tcPr>
            <w:tcW w:w="16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(2,650)</w:t>
            </w:r>
          </w:p>
        </w:tc>
      </w:tr>
      <w:tr>
        <w:trPr>
          <w:trHeight w:val="27"/>
        </w:trPr>
        <w:tc>
          <w:tcPr>
            <w:tcW w:w="8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 at end of year</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(20,554)</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(17,485)</w:t>
            </w:r>
          </w:p>
        </w:tc>
      </w:tr>
      <w:tr>
        <w:trPr>
          <w:trHeight w:val="20"/>
        </w:trPr>
        <w:tc>
          <w:tcPr>
            <w:tcW w:w="8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300" w:firstLine="440"/>
        <w:spacing w:after="0"/>
        <w:rPr>
          <w:sz w:val="20"/>
          <w:szCs w:val="20"/>
          <w:color w:val="auto"/>
        </w:rPr>
      </w:pPr>
      <w:r>
        <w:rPr>
          <w:rFonts w:ascii="Arial" w:cs="Arial" w:eastAsia="Arial" w:hAnsi="Arial"/>
          <w:sz w:val="18"/>
          <w:szCs w:val="18"/>
          <w:color w:val="auto"/>
        </w:rPr>
        <w:t>The Company permanently reinvests the earnings, of its foreign subsidiaries and, therefore, does not provide for taxes that could result from the distribution of those earnings to the Company. As of December 31, 2020, the amount of unrecognized deferred taxes on these earnings would be immaterial.</w:t>
      </w:r>
    </w:p>
    <w:p>
      <w:pPr>
        <w:spacing w:after="0" w:line="20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As of December 31, 2019 and 2020, the Company had not recorded any amounts for unrecognized tax benefits and it had not accrued interest or penalties related to uncertain tax positions. The Company files income tax returns as prescribed by the tax laws of the jurisdiction in which it operates. In the normal course of business, the Company is subject to examination by federal, state and foreign jurisdictions, where applicable. The Company is open to future tax examination by the Internal Revenue Service from 2017 to the present; however, the Internal Revenue Service carryforward attributes that were generated prior to 2016 may still be adjusted upon examination by to the extent they will be used in a future period. The Company has recently been notified by the Internal Revenue Service that they plan to audit 2018.</w:t>
      </w:r>
    </w:p>
    <w:p>
      <w:pPr>
        <w:spacing w:after="0" w:line="329" w:lineRule="exact"/>
        <w:rPr>
          <w:sz w:val="20"/>
          <w:szCs w:val="20"/>
          <w:color w:val="auto"/>
        </w:rPr>
      </w:pPr>
    </w:p>
    <w:p>
      <w:pPr>
        <w:ind w:left="120" w:right="7620" w:hanging="4"/>
        <w:spacing w:after="0" w:line="372" w:lineRule="auto"/>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spacing w:after="0" w:line="1"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Company leases certain real estate for its primary facilities under operating leases that expire at various dates between one and five years. These leases contain renewal options, and require the Company to pay operating costs, including property taxes, insurance, and maintenance. The terms these lease agreements include free rent periods and annual rent increases. Accordingly, the Company recorded a deferred rent liability related to the free rent periods and periodic rent increases. Rent expense is recognized on a straight-line basis over the term of the lease.</w:t>
      </w:r>
    </w:p>
    <w:p>
      <w:pPr>
        <w:spacing w:after="0" w:line="20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January 2019, the Company entered into a lease agreement for 6,932 square feet office space in Deerfield, Illinois. The term of the lease commenced on January 29, 2019 and continues until February 28, 2025. The Company has the option to extend the lease for an additional five-year term at market-based rates. The base rent payments commenced in November 2019 and are subject to increases over the 68 month term of the lease. The Company is also obligated to pay its portion of building operating and tax expenses.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lease payments for noncancelable operating leases as of December 31, 2020, are as follows (in thousands):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30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1,308</w:t>
            </w:r>
          </w:p>
        </w:tc>
        <w:tc>
          <w:tcPr>
            <w:tcW w:w="6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1,364</w:t>
            </w:r>
          </w:p>
        </w:tc>
        <w:tc>
          <w:tcPr>
            <w:tcW w:w="60" w:type="dxa"/>
            <w:vAlign w:val="bottom"/>
          </w:tcPr>
          <w:p>
            <w:pPr>
              <w:spacing w:after="0"/>
              <w:rPr>
                <w:sz w:val="17"/>
                <w:szCs w:val="17"/>
                <w:color w:val="auto"/>
              </w:rPr>
            </w:pPr>
          </w:p>
        </w:tc>
      </w:tr>
      <w:tr>
        <w:trPr>
          <w:trHeight w:val="202"/>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1,355</w:t>
            </w:r>
          </w:p>
        </w:tc>
        <w:tc>
          <w:tcPr>
            <w:tcW w:w="6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426</w:t>
            </w: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7"/>
                <w:szCs w:val="17"/>
                <w:color w:val="auto"/>
              </w:rPr>
            </w:pPr>
          </w:p>
        </w:tc>
      </w:tr>
      <w:tr>
        <w:trPr>
          <w:trHeight w:val="210"/>
        </w:trPr>
        <w:tc>
          <w:tcPr>
            <w:tcW w:w="10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w:t>
            </w:r>
          </w:p>
        </w:tc>
        <w:tc>
          <w:tcPr>
            <w:tcW w:w="60" w:type="dxa"/>
            <w:vAlign w:val="bottom"/>
          </w:tcPr>
          <w:p>
            <w:pPr>
              <w:spacing w:after="0"/>
              <w:rPr>
                <w:sz w:val="18"/>
                <w:szCs w:val="18"/>
                <w:color w:val="auto"/>
              </w:rPr>
            </w:pPr>
          </w:p>
        </w:tc>
      </w:tr>
      <w:tr>
        <w:trPr>
          <w:trHeight w:val="20"/>
        </w:trPr>
        <w:tc>
          <w:tcPr>
            <w:tcW w:w="10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Rent expense for the years ended December 31, 2019 and 2020, was $2.2 million and $2.3 million, respectively.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Company is subject to various legal proceedings and claims, the outcomes of which are subject to significant uncertainty. The Company records an accrual for legal contingencies when it is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205"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As of December 31, 2020, the Company was not subject to any currently pending legal matters or claims that could have a material adverse effect on its financial position, results of operations, or cash flows.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6"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 party claims asserting infringement of certain intellectual property rights, data protection, damages caused to property or persons, or other liabilities relating to or arising from the Company’s payment platform or other contractual obligations.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currently aware of any indemnification claims and had not accrued any liabilities related to such obligations in its consolidated financial statements as of December 31, 2019 and 2020.</w:t>
      </w:r>
    </w:p>
    <w:p>
      <w:pPr>
        <w:spacing w:after="0" w:line="329" w:lineRule="exact"/>
        <w:rPr>
          <w:sz w:val="20"/>
          <w:szCs w:val="20"/>
          <w:color w:val="auto"/>
        </w:rPr>
      </w:pPr>
    </w:p>
    <w:p>
      <w:pPr>
        <w:ind w:left="660" w:hanging="544"/>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6" w:lineRule="exact"/>
        <w:rPr>
          <w:sz w:val="20"/>
          <w:szCs w:val="20"/>
          <w:color w:val="auto"/>
        </w:rPr>
      </w:pPr>
    </w:p>
    <w:p>
      <w:pPr>
        <w:ind w:left="120" w:right="140" w:firstLine="440"/>
        <w:spacing w:after="0" w:line="261" w:lineRule="auto"/>
        <w:rPr>
          <w:sz w:val="20"/>
          <w:szCs w:val="20"/>
          <w:color w:val="auto"/>
        </w:rPr>
      </w:pPr>
      <w:r>
        <w:rPr>
          <w:rFonts w:ascii="Arial" w:cs="Arial" w:eastAsia="Arial" w:hAnsi="Arial"/>
          <w:sz w:val="17"/>
          <w:szCs w:val="17"/>
          <w:color w:val="auto"/>
        </w:rPr>
        <w:t>The Company established a defined contribution savings plan under Section 401(k) of the Internal Revenue Code. This plan covers all employees who meet minimum age and service requirements and allows participants to defer a portion of their annual compensation on a pre-tax basis. Matching contributions to the plan may be made at the discretion of the Company’s board of directors. The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900"/>
        <w:spacing w:after="0" w:line="246" w:lineRule="auto"/>
        <w:rPr>
          <w:sz w:val="20"/>
          <w:szCs w:val="20"/>
          <w:color w:val="auto"/>
        </w:rPr>
      </w:pPr>
      <w:r>
        <w:rPr>
          <w:rFonts w:ascii="Arial" w:cs="Arial" w:eastAsia="Arial" w:hAnsi="Arial"/>
          <w:sz w:val="18"/>
          <w:szCs w:val="18"/>
          <w:color w:val="auto"/>
        </w:rPr>
        <w:t>Company made contributions of $0.4 million and $0.5 million to the plan during the years ended December 31, 2019 and 2020, respectively.</w:t>
      </w:r>
    </w:p>
    <w:p>
      <w:pPr>
        <w:spacing w:after="0" w:line="283" w:lineRule="exact"/>
        <w:rPr>
          <w:sz w:val="20"/>
          <w:szCs w:val="20"/>
          <w:color w:val="auto"/>
        </w:rPr>
      </w:pPr>
    </w:p>
    <w:p>
      <w:pPr>
        <w:ind w:left="560" w:hanging="444"/>
        <w:spacing w:after="0"/>
        <w:tabs>
          <w:tab w:leader="none" w:pos="5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6"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The Company has evaluated subsequent events through March 11, 2021, the date on which these consolidated financial statements were available for issuance.</w:t>
      </w:r>
    </w:p>
    <w:p>
      <w:pPr>
        <w:spacing w:after="0" w:line="19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On February 25, 2021, the Company sold 857,312 shares of Series F redeemable convertible preferred stock at a price of $69.986 per share for total gross proceeds of $60.0 million and net proceeds of $59.7 million. The terms of the Series F redeemable convertible preferred stock are generally consistent with the terms of the existing series of redeemable convertible preferred stock. The Series F redeemable convertible preferred stock has a liquidation price per share equal to the original issue price per share.</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connection with the sale of the Series F redeemable convertible preferred stock, the Company amended its certificate of incorporation to increase the shares authorized for issuance to 48,500,000 shares of Class A common stock, 3,023,465 shares of Class B common stock and 27,227,529 shares of Preferred Stock with a par value of $.0001 per share. The articles, as amended adjusted common stock reserved for future issuance upon the exercise of stock options under the 2018 Plan to a total of 10,666,788.</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Events Subsequent to Original Issuance of Consolidated Financial Statements (unaudited)</w:t>
      </w:r>
    </w:p>
    <w:p>
      <w:pPr>
        <w:spacing w:after="0" w:line="126" w:lineRule="exact"/>
        <w:rPr>
          <w:sz w:val="20"/>
          <w:szCs w:val="20"/>
          <w:color w:val="auto"/>
        </w:rPr>
      </w:pPr>
    </w:p>
    <w:p>
      <w:pPr>
        <w:jc w:val="both"/>
        <w:ind w:left="120" w:right="320" w:firstLine="440"/>
        <w:spacing w:after="0"/>
        <w:rPr>
          <w:sz w:val="20"/>
          <w:szCs w:val="20"/>
          <w:color w:val="auto"/>
        </w:rPr>
      </w:pPr>
      <w:r>
        <w:rPr>
          <w:rFonts w:ascii="Arial" w:cs="Arial" w:eastAsia="Arial" w:hAnsi="Arial"/>
          <w:sz w:val="18"/>
          <w:szCs w:val="18"/>
          <w:color w:val="auto"/>
        </w:rPr>
        <w:t>In April 2021, certain of the Company’s existing investors conducted a tender offer whereby certain shareholders and employees were offered an opportunity to tender their equity holdings to such investors. The total number of shares tendered were 551,890 at an average price of $61.20 per share.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80"/>
          </w:cols>
          <w:pgMar w:left="320" w:top="459" w:right="49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8"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7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183"/>
        </w:trPr>
        <w:tc>
          <w:tcPr>
            <w:tcW w:w="87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87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104,052</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146,313</w:t>
            </w:r>
          </w:p>
        </w:tc>
      </w:tr>
      <w:tr>
        <w:trPr>
          <w:trHeight w:val="203"/>
        </w:trPr>
        <w:tc>
          <w:tcPr>
            <w:tcW w:w="8700" w:type="dxa"/>
            <w:vAlign w:val="bottom"/>
          </w:tcPr>
          <w:p>
            <w:pPr>
              <w:ind w:left="360"/>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8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 net of allowance for doubtful accounts of $481 and $201, respectively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11,573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11,470</w:t>
            </w:r>
          </w:p>
        </w:tc>
      </w:tr>
      <w:tr>
        <w:trPr>
          <w:trHeight w:val="203"/>
        </w:trPr>
        <w:tc>
          <w:tcPr>
            <w:tcW w:w="8700" w:type="dxa"/>
            <w:vAlign w:val="bottom"/>
          </w:tcPr>
          <w:p>
            <w:pPr>
              <w:ind w:left="360"/>
              <w:spacing w:after="0" w:line="202" w:lineRule="exact"/>
              <w:rPr>
                <w:sz w:val="20"/>
                <w:szCs w:val="20"/>
                <w:color w:val="auto"/>
              </w:rPr>
            </w:pPr>
            <w:r>
              <w:rPr>
                <w:rFonts w:ascii="Arial" w:cs="Arial" w:eastAsia="Arial" w:hAnsi="Arial"/>
                <w:sz w:val="18"/>
                <w:szCs w:val="18"/>
                <w:color w:val="auto"/>
              </w:rPr>
              <w:t>Unbilled receivables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618</w:t>
            </w:r>
          </w:p>
        </w:tc>
      </w:tr>
      <w:tr>
        <w:trPr>
          <w:trHeight w:val="203"/>
        </w:trPr>
        <w:tc>
          <w:tcPr>
            <w:tcW w:w="8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Funds receivable from payment partners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22,481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9,139</w:t>
            </w:r>
          </w:p>
        </w:tc>
      </w:tr>
      <w:tr>
        <w:trPr>
          <w:trHeight w:val="209"/>
        </w:trPr>
        <w:tc>
          <w:tcPr>
            <w:tcW w:w="870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6,846</w:t>
            </w:r>
          </w:p>
        </w:tc>
        <w:tc>
          <w:tcPr>
            <w:tcW w:w="60" w:type="dxa"/>
            <w:vAlign w:val="bottom"/>
          </w:tcPr>
          <w:p>
            <w:pPr>
              <w:spacing w:after="0"/>
              <w:rPr>
                <w:sz w:val="18"/>
                <w:szCs w:val="18"/>
                <w:color w:val="auto"/>
              </w:rPr>
            </w:pPr>
          </w:p>
        </w:tc>
      </w:tr>
      <w:tr>
        <w:trPr>
          <w:trHeight w:val="203"/>
        </w:trPr>
        <w:tc>
          <w:tcPr>
            <w:tcW w:w="87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148,558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179,386</w:t>
            </w:r>
          </w:p>
        </w:tc>
      </w:tr>
      <w:tr>
        <w:trPr>
          <w:trHeight w:val="203"/>
        </w:trPr>
        <w:tc>
          <w:tcPr>
            <w:tcW w:w="87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5,101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6,084</w:t>
            </w:r>
          </w:p>
        </w:tc>
      </w:tr>
      <w:tr>
        <w:trPr>
          <w:trHeight w:val="203"/>
        </w:trPr>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68,211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66,578</w:t>
            </w:r>
          </w:p>
        </w:tc>
      </w:tr>
      <w:tr>
        <w:trPr>
          <w:trHeight w:val="203"/>
        </w:trPr>
        <w:tc>
          <w:tcPr>
            <w:tcW w:w="87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44,650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44,618</w:t>
            </w:r>
          </w:p>
        </w:tc>
      </w:tr>
      <w:tr>
        <w:trPr>
          <w:trHeight w:val="203"/>
        </w:trPr>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4,922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5,655</w:t>
            </w:r>
          </w:p>
        </w:tc>
        <w:tc>
          <w:tcPr>
            <w:tcW w:w="60" w:type="dxa"/>
            <w:vAlign w:val="bottom"/>
            <w:shd w:val="clear" w:color="auto" w:fill="CCEEFF"/>
          </w:tcPr>
          <w:p>
            <w:pPr>
              <w:spacing w:after="0"/>
              <w:rPr>
                <w:sz w:val="17"/>
                <w:szCs w:val="17"/>
                <w:color w:val="auto"/>
              </w:rPr>
            </w:pPr>
          </w:p>
        </w:tc>
      </w:tr>
      <w:tr>
        <w:trPr>
          <w:trHeight w:val="209"/>
        </w:trPr>
        <w:tc>
          <w:tcPr>
            <w:tcW w:w="870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271,442</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302,321</w:t>
            </w:r>
          </w:p>
        </w:tc>
      </w:tr>
      <w:tr>
        <w:trPr>
          <w:trHeight w:val="20"/>
        </w:trPr>
        <w:tc>
          <w:tcPr>
            <w:tcW w:w="8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8700" w:type="dxa"/>
            <w:vAlign w:val="bottom"/>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Liabilities, Convertible Preferred Stock, Redeemable Convertible</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5"/>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Preferred Stock and Stockholders’ Deficit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87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5,436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9,069</w:t>
            </w:r>
          </w:p>
        </w:tc>
      </w:tr>
      <w:tr>
        <w:trPr>
          <w:trHeight w:val="203"/>
        </w:trPr>
        <w:tc>
          <w:tcPr>
            <w:tcW w:w="8700" w:type="dxa"/>
            <w:vAlign w:val="bottom"/>
          </w:tcPr>
          <w:p>
            <w:pPr>
              <w:ind w:left="360"/>
              <w:spacing w:after="0" w:line="202" w:lineRule="exact"/>
              <w:rPr>
                <w:sz w:val="20"/>
                <w:szCs w:val="20"/>
                <w:color w:val="auto"/>
              </w:rPr>
            </w:pPr>
            <w:r>
              <w:rPr>
                <w:rFonts w:ascii="Arial" w:cs="Arial" w:eastAsia="Arial" w:hAnsi="Arial"/>
                <w:sz w:val="18"/>
                <w:szCs w:val="18"/>
                <w:color w:val="auto"/>
              </w:rPr>
              <w:t>Funds payable to customers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59,986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31,863</w:t>
            </w:r>
          </w:p>
        </w:tc>
      </w:tr>
      <w:tr>
        <w:trPr>
          <w:trHeight w:val="203"/>
        </w:trPr>
        <w:tc>
          <w:tcPr>
            <w:tcW w:w="8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14,991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12,604</w:t>
            </w:r>
          </w:p>
        </w:tc>
      </w:tr>
      <w:tr>
        <w:trPr>
          <w:trHeight w:val="203"/>
        </w:trPr>
        <w:tc>
          <w:tcPr>
            <w:tcW w:w="8700" w:type="dxa"/>
            <w:vAlign w:val="bottom"/>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884</w:t>
            </w:r>
          </w:p>
        </w:tc>
      </w:tr>
      <w:tr>
        <w:trPr>
          <w:trHeight w:val="203"/>
        </w:trPr>
        <w:tc>
          <w:tcPr>
            <w:tcW w:w="8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6,740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5,465</w:t>
            </w:r>
          </w:p>
        </w:tc>
        <w:tc>
          <w:tcPr>
            <w:tcW w:w="60" w:type="dxa"/>
            <w:vAlign w:val="bottom"/>
            <w:shd w:val="clear" w:color="auto" w:fill="CCEEFF"/>
          </w:tcPr>
          <w:p>
            <w:pPr>
              <w:spacing w:after="0"/>
              <w:rPr>
                <w:sz w:val="17"/>
                <w:szCs w:val="17"/>
                <w:color w:val="auto"/>
              </w:rPr>
            </w:pPr>
          </w:p>
        </w:tc>
      </w:tr>
      <w:tr>
        <w:trPr>
          <w:trHeight w:val="210"/>
        </w:trPr>
        <w:tc>
          <w:tcPr>
            <w:tcW w:w="870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88,380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59,885</w:t>
            </w:r>
          </w:p>
        </w:tc>
      </w:tr>
      <w:tr>
        <w:trPr>
          <w:trHeight w:val="203"/>
        </w:trPr>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483</w:t>
            </w:r>
          </w:p>
        </w:tc>
      </w:tr>
      <w:tr>
        <w:trPr>
          <w:trHeight w:val="203"/>
        </w:trPr>
        <w:tc>
          <w:tcPr>
            <w:tcW w:w="8700" w:type="dxa"/>
            <w:vAlign w:val="bottom"/>
          </w:tcPr>
          <w:p>
            <w:pPr>
              <w:spacing w:after="0" w:line="202" w:lineRule="exact"/>
              <w:rPr>
                <w:sz w:val="20"/>
                <w:szCs w:val="20"/>
                <w:color w:val="auto"/>
              </w:rPr>
            </w:pPr>
            <w:r>
              <w:rPr>
                <w:rFonts w:ascii="Arial" w:cs="Arial" w:eastAsia="Arial" w:hAnsi="Arial"/>
                <w:sz w:val="18"/>
                <w:szCs w:val="18"/>
                <w:color w:val="auto"/>
              </w:rPr>
              <w:t>Contingent consideration, net of current portion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5,760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1,932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2,886</w:t>
            </w:r>
          </w:p>
        </w:tc>
      </w:tr>
      <w:tr>
        <w:trPr>
          <w:trHeight w:val="203"/>
        </w:trPr>
        <w:tc>
          <w:tcPr>
            <w:tcW w:w="870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24,352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24,402</w:t>
            </w:r>
          </w:p>
        </w:tc>
      </w:tr>
      <w:tr>
        <w:trPr>
          <w:trHeight w:val="203"/>
        </w:trPr>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2,129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2,065</w:t>
            </w:r>
          </w:p>
        </w:tc>
        <w:tc>
          <w:tcPr>
            <w:tcW w:w="60" w:type="dxa"/>
            <w:vAlign w:val="bottom"/>
            <w:shd w:val="clear" w:color="auto" w:fill="CCEEFF"/>
          </w:tcPr>
          <w:p>
            <w:pPr>
              <w:spacing w:after="0"/>
              <w:rPr>
                <w:sz w:val="17"/>
                <w:szCs w:val="17"/>
                <w:color w:val="auto"/>
              </w:rPr>
            </w:pPr>
          </w:p>
        </w:tc>
      </w:tr>
      <w:tr>
        <w:trPr>
          <w:trHeight w:val="216"/>
        </w:trPr>
        <w:tc>
          <w:tcPr>
            <w:tcW w:w="8700" w:type="dxa"/>
            <w:vAlign w:val="bottom"/>
          </w:tcPr>
          <w:p>
            <w:pPr>
              <w:ind w:left="10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123,034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89,721</w:t>
            </w:r>
          </w:p>
        </w:tc>
      </w:tr>
      <w:tr>
        <w:trPr>
          <w:trHeight w:val="203"/>
        </w:trPr>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18)</w:t>
            </w: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8700" w:type="dxa"/>
            <w:vAlign w:val="bottom"/>
          </w:tcPr>
          <w:p>
            <w:pPr>
              <w:spacing w:after="0" w:line="201" w:lineRule="exact"/>
              <w:rPr>
                <w:sz w:val="20"/>
                <w:szCs w:val="20"/>
                <w:color w:val="auto"/>
              </w:rPr>
            </w:pPr>
            <w:r>
              <w:rPr>
                <w:rFonts w:ascii="Arial" w:cs="Arial" w:eastAsia="Arial" w:hAnsi="Arial"/>
                <w:sz w:val="18"/>
                <w:szCs w:val="18"/>
                <w:color w:val="auto"/>
              </w:rPr>
              <w:t>Convertible preferred stock (Series A, B, B1, B1-NV, C and D), $0.0001 par value; 20,971,798 shares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00" w:type="dxa"/>
            <w:vAlign w:val="bottom"/>
          </w:tcPr>
          <w:p>
            <w:pPr>
              <w:ind w:left="180"/>
              <w:spacing w:after="0" w:line="202" w:lineRule="exact"/>
              <w:rPr>
                <w:sz w:val="20"/>
                <w:szCs w:val="20"/>
                <w:color w:val="auto"/>
              </w:rPr>
            </w:pPr>
            <w:r>
              <w:rPr>
                <w:rFonts w:ascii="Arial" w:cs="Arial" w:eastAsia="Arial" w:hAnsi="Arial"/>
                <w:sz w:val="18"/>
                <w:szCs w:val="18"/>
                <w:color w:val="auto"/>
              </w:rPr>
              <w:t>authorized at December 31, 2020 and March 31, 2021; 18,069,487 shares issued and outstanding at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00" w:type="dxa"/>
            <w:vAlign w:val="bottom"/>
          </w:tcPr>
          <w:p>
            <w:pPr>
              <w:ind w:left="180"/>
              <w:spacing w:after="0" w:line="203" w:lineRule="exact"/>
              <w:rPr>
                <w:sz w:val="20"/>
                <w:szCs w:val="20"/>
                <w:color w:val="auto"/>
              </w:rPr>
            </w:pPr>
            <w:r>
              <w:rPr>
                <w:rFonts w:ascii="Arial" w:cs="Arial" w:eastAsia="Arial" w:hAnsi="Arial"/>
                <w:sz w:val="18"/>
                <w:szCs w:val="18"/>
                <w:color w:val="auto"/>
              </w:rPr>
              <w:t>December 31, 2020 and March 31, 2021; liquidation preference of $110,716 as of March 31, 2021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110,401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w w:val="98"/>
              </w:rPr>
              <w:t>110,401</w:t>
            </w:r>
          </w:p>
        </w:tc>
      </w:tr>
      <w:tr>
        <w:trPr>
          <w:trHeight w:val="202"/>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Redeemable convertible preferred stock (Series E-1, E-2, F-1 and F-2), $0.0001 par value; 5,341,044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shares authorized at December 31, 2020 and 6,255,731 shares authorized at March 31, 2021; 3,746,640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shares issued and outstanding at December 31, 2020 and 4,603,952 shares issued and outstanding at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7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March 31, 2021; liquidation preference of $210,000 at March 31, 2021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119,769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8"/>
              </w:rPr>
              <w:t>179,509</w:t>
            </w:r>
          </w:p>
        </w:tc>
      </w:tr>
      <w:tr>
        <w:trPr>
          <w:trHeight w:val="372"/>
        </w:trPr>
        <w:tc>
          <w:tcPr>
            <w:tcW w:w="8700" w:type="dxa"/>
            <w:vAlign w:val="bottom"/>
          </w:tcPr>
          <w:p>
            <w:pPr>
              <w:ind w:left="5320"/>
              <w:spacing w:after="0"/>
              <w:rPr>
                <w:sz w:val="20"/>
                <w:szCs w:val="20"/>
                <w:color w:val="auto"/>
              </w:rPr>
            </w:pPr>
            <w:r>
              <w:rPr>
                <w:rFonts w:ascii="Arial" w:cs="Arial" w:eastAsia="Arial" w:hAnsi="Arial"/>
                <w:sz w:val="18"/>
                <w:szCs w:val="18"/>
                <w:color w:val="auto"/>
              </w:rPr>
              <w:t>F-51</w:t>
            </w: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8"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68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6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183"/>
        </w:trPr>
        <w:tc>
          <w:tcPr>
            <w:tcW w:w="8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Stockholders’ deficit:</w:t>
            </w: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2"/>
        </w:trPr>
        <w:tc>
          <w:tcPr>
            <w:tcW w:w="8680" w:type="dxa"/>
            <w:vAlign w:val="bottom"/>
          </w:tcPr>
          <w:p>
            <w:pPr>
              <w:ind w:left="360"/>
              <w:spacing w:after="0" w:line="201" w:lineRule="exact"/>
              <w:rPr>
                <w:sz w:val="20"/>
                <w:szCs w:val="20"/>
                <w:color w:val="auto"/>
              </w:rPr>
            </w:pPr>
            <w:r>
              <w:rPr>
                <w:rFonts w:ascii="Arial" w:cs="Arial" w:eastAsia="Arial" w:hAnsi="Arial"/>
                <w:sz w:val="18"/>
                <w:szCs w:val="18"/>
                <w:color w:val="auto"/>
              </w:rPr>
              <w:t>Common stock, $0.0001 par value; 48,966,090 shares authorized, 7,413,624 shares issued and</w:t>
            </w: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680" w:type="dxa"/>
            <w:vAlign w:val="bottom"/>
          </w:tcPr>
          <w:p>
            <w:pPr>
              <w:ind w:left="540"/>
              <w:spacing w:after="0" w:line="202" w:lineRule="exact"/>
              <w:rPr>
                <w:sz w:val="20"/>
                <w:szCs w:val="20"/>
                <w:color w:val="auto"/>
              </w:rPr>
            </w:pPr>
            <w:r>
              <w:rPr>
                <w:rFonts w:ascii="Arial" w:cs="Arial" w:eastAsia="Arial" w:hAnsi="Arial"/>
                <w:sz w:val="18"/>
                <w:szCs w:val="18"/>
                <w:color w:val="auto"/>
              </w:rPr>
              <w:t>6,641,050 shares outstanding as of December 31, 2020; 51,523,465 shares authorized,</w:t>
            </w: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680" w:type="dxa"/>
            <w:vAlign w:val="bottom"/>
          </w:tcPr>
          <w:p>
            <w:pPr>
              <w:ind w:left="540"/>
              <w:spacing w:after="0" w:line="203" w:lineRule="exact"/>
              <w:rPr>
                <w:sz w:val="20"/>
                <w:szCs w:val="20"/>
                <w:color w:val="auto"/>
              </w:rPr>
            </w:pPr>
            <w:r>
              <w:rPr>
                <w:rFonts w:ascii="Arial" w:cs="Arial" w:eastAsia="Arial" w:hAnsi="Arial"/>
                <w:sz w:val="18"/>
                <w:szCs w:val="18"/>
                <w:color w:val="auto"/>
              </w:rPr>
              <w:t>8,465,883 shares issued and 7,693,414 shares outstanding as of March 31, 2021</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440" w:type="dxa"/>
            <w:vAlign w:val="bottom"/>
          </w:tcPr>
          <w:p>
            <w:pPr>
              <w:spacing w:after="0"/>
              <w:rPr>
                <w:sz w:val="17"/>
                <w:szCs w:val="17"/>
                <w:color w:val="auto"/>
              </w:rPr>
            </w:pPr>
          </w:p>
        </w:tc>
        <w:tc>
          <w:tcPr>
            <w:tcW w:w="9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w:t>
            </w:r>
          </w:p>
        </w:tc>
      </w:tr>
      <w:tr>
        <w:trPr>
          <w:trHeight w:val="203"/>
        </w:trPr>
        <w:tc>
          <w:tcPr>
            <w:tcW w:w="8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Treasury Stock, 772,574 shares as of December 31, 2020 and March 31, 2021, held at cost</w:t>
            </w:r>
          </w:p>
        </w:tc>
        <w:tc>
          <w:tcPr>
            <w:tcW w:w="13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(748)</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(748)</w:t>
            </w: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Additional paid-in capital</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16,971</w:t>
            </w:r>
          </w:p>
        </w:tc>
        <w:tc>
          <w:tcPr>
            <w:tcW w:w="44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29,736</w:t>
            </w: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13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(214)</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125</w:t>
            </w: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Accumulated deficit</w:t>
            </w:r>
          </w:p>
        </w:tc>
        <w:tc>
          <w:tcPr>
            <w:tcW w:w="13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(97,772)</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(106,424)</w:t>
            </w:r>
          </w:p>
        </w:tc>
      </w:tr>
      <w:tr>
        <w:trPr>
          <w:trHeight w:val="27"/>
        </w:trPr>
        <w:tc>
          <w:tcPr>
            <w:tcW w:w="86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68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stockholders’ deficit</w:t>
            </w:r>
          </w:p>
        </w:tc>
        <w:tc>
          <w:tcPr>
            <w:tcW w:w="13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(81,762)</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(77,310)</w:t>
            </w:r>
          </w:p>
        </w:tc>
      </w:tr>
      <w:tr>
        <w:trPr>
          <w:trHeight w:val="209"/>
        </w:trPr>
        <w:tc>
          <w:tcPr>
            <w:tcW w:w="8680" w:type="dxa"/>
            <w:vAlign w:val="bottom"/>
          </w:tcPr>
          <w:p>
            <w:pPr>
              <w:ind w:left="1080"/>
              <w:spacing w:after="0"/>
              <w:rPr>
                <w:sz w:val="20"/>
                <w:szCs w:val="20"/>
                <w:color w:val="auto"/>
              </w:rPr>
            </w:pPr>
            <w:r>
              <w:rPr>
                <w:rFonts w:ascii="Arial" w:cs="Arial" w:eastAsia="Arial" w:hAnsi="Arial"/>
                <w:sz w:val="18"/>
                <w:szCs w:val="18"/>
                <w:color w:val="auto"/>
              </w:rPr>
              <w:t>Total liabilities, convertible preferred stock, redeemable convertible preferred stock and</w:t>
            </w:r>
          </w:p>
        </w:tc>
        <w:tc>
          <w:tcPr>
            <w:tcW w:w="9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680" w:type="dxa"/>
            <w:vAlign w:val="bottom"/>
          </w:tcPr>
          <w:p>
            <w:pPr>
              <w:ind w:left="1260"/>
              <w:spacing w:after="0" w:line="203" w:lineRule="exact"/>
              <w:rPr>
                <w:sz w:val="20"/>
                <w:szCs w:val="20"/>
                <w:color w:val="auto"/>
              </w:rPr>
            </w:pPr>
            <w:r>
              <w:rPr>
                <w:rFonts w:ascii="Arial" w:cs="Arial" w:eastAsia="Arial" w:hAnsi="Arial"/>
                <w:sz w:val="18"/>
                <w:szCs w:val="18"/>
                <w:color w:val="auto"/>
              </w:rPr>
              <w:t>stockholders’ deficit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  271,442</w:t>
            </w:r>
          </w:p>
        </w:tc>
        <w:tc>
          <w:tcPr>
            <w:tcW w:w="440" w:type="dxa"/>
            <w:vAlign w:val="bottom"/>
          </w:tcPr>
          <w:p>
            <w:pPr>
              <w:spacing w:after="0"/>
              <w:rPr>
                <w:sz w:val="17"/>
                <w:szCs w:val="17"/>
                <w:color w:val="auto"/>
              </w:rPr>
            </w:pPr>
          </w:p>
        </w:tc>
        <w:tc>
          <w:tcPr>
            <w:tcW w:w="9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$ 302,321</w:t>
            </w:r>
          </w:p>
        </w:tc>
      </w:tr>
      <w:tr>
        <w:trPr>
          <w:trHeight w:val="20"/>
        </w:trPr>
        <w:tc>
          <w:tcPr>
            <w:tcW w:w="8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w:t>
      </w: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8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84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196"/>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32,709</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44,991</w:t>
            </w:r>
          </w:p>
        </w:tc>
        <w:tc>
          <w:tcPr>
            <w:tcW w:w="120" w:type="dxa"/>
            <w:vAlign w:val="bottom"/>
            <w:shd w:val="clear" w:color="auto" w:fill="CCEEFF"/>
          </w:tcPr>
          <w:p>
            <w:pPr>
              <w:spacing w:after="0"/>
              <w:rPr>
                <w:sz w:val="17"/>
                <w:szCs w:val="17"/>
                <w:color w:val="auto"/>
              </w:rPr>
            </w:pPr>
          </w:p>
        </w:tc>
      </w:tr>
      <w:tr>
        <w:trPr>
          <w:trHeight w:val="203"/>
        </w:trPr>
        <w:tc>
          <w:tcPr>
            <w:tcW w:w="8420" w:type="dxa"/>
            <w:vAlign w:val="bottom"/>
          </w:tcPr>
          <w:p>
            <w:pPr>
              <w:spacing w:after="0" w:line="202" w:lineRule="exact"/>
              <w:rPr>
                <w:sz w:val="20"/>
                <w:szCs w:val="20"/>
                <w:color w:val="auto"/>
              </w:rPr>
            </w:pPr>
            <w:r>
              <w:rPr>
                <w:rFonts w:ascii="Arial" w:cs="Arial" w:eastAsia="Arial" w:hAnsi="Arial"/>
                <w:sz w:val="18"/>
                <w:szCs w:val="18"/>
                <w:color w:val="auto"/>
              </w:rPr>
              <w:t>Costs and operating expenses: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Payment processing services costs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11,609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16,091</w:t>
            </w: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Technology and development</w:t>
            </w:r>
          </w:p>
        </w:tc>
        <w:tc>
          <w:tcPr>
            <w:tcW w:w="1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5,348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7,522</w:t>
            </w:r>
          </w:p>
        </w:tc>
      </w:tr>
      <w:tr>
        <w:trPr>
          <w:trHeight w:val="203"/>
        </w:trPr>
        <w:tc>
          <w:tcPr>
            <w:tcW w:w="8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Selling and marketing</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8,577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11,931</w:t>
            </w:r>
          </w:p>
        </w:tc>
      </w:tr>
      <w:tr>
        <w:trPr>
          <w:trHeight w:val="209"/>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10,265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15,914</w:t>
            </w:r>
          </w:p>
        </w:tc>
        <w:tc>
          <w:tcPr>
            <w:tcW w:w="120" w:type="dxa"/>
            <w:vAlign w:val="bottom"/>
          </w:tcPr>
          <w:p>
            <w:pPr>
              <w:spacing w:after="0"/>
              <w:rPr>
                <w:sz w:val="18"/>
                <w:szCs w:val="18"/>
                <w:color w:val="auto"/>
              </w:rPr>
            </w:pP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costs and operating expenses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35,799</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51,458</w:t>
            </w:r>
          </w:p>
        </w:tc>
        <w:tc>
          <w:tcPr>
            <w:tcW w:w="120" w:type="dxa"/>
            <w:vAlign w:val="bottom"/>
            <w:shd w:val="clear" w:color="auto" w:fill="CCEEFF"/>
          </w:tcPr>
          <w:p>
            <w:pPr>
              <w:spacing w:after="0"/>
              <w:rPr>
                <w:sz w:val="17"/>
                <w:szCs w:val="17"/>
                <w:color w:val="auto"/>
              </w:rPr>
            </w:pPr>
          </w:p>
        </w:tc>
      </w:tr>
      <w:tr>
        <w:trPr>
          <w:trHeight w:val="217"/>
        </w:trPr>
        <w:tc>
          <w:tcPr>
            <w:tcW w:w="84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(6,467)</w:t>
            </w: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(597)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(621)</w:t>
            </w:r>
          </w:p>
        </w:tc>
      </w:tr>
      <w:tr>
        <w:trPr>
          <w:trHeight w:val="203"/>
        </w:trPr>
        <w:tc>
          <w:tcPr>
            <w:tcW w:w="8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(263)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(954)</w:t>
            </w: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(411)</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expenses, net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(891)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(1,986)</w:t>
            </w:r>
          </w:p>
        </w:tc>
      </w:tr>
      <w:tr>
        <w:trPr>
          <w:trHeight w:val="20"/>
        </w:trPr>
        <w:tc>
          <w:tcPr>
            <w:tcW w:w="8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4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(3,981)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(8,453)</w:t>
            </w: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(Benefit from) provision for income taxes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(7,681)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199</w:t>
            </w:r>
          </w:p>
        </w:tc>
      </w:tr>
      <w:tr>
        <w:trPr>
          <w:trHeight w:val="20"/>
        </w:trPr>
        <w:tc>
          <w:tcPr>
            <w:tcW w:w="8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(8,652)</w:t>
            </w: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339</w:t>
            </w:r>
          </w:p>
        </w:tc>
      </w:tr>
      <w:tr>
        <w:trPr>
          <w:trHeight w:val="20"/>
        </w:trPr>
        <w:tc>
          <w:tcPr>
            <w:tcW w:w="8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4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3,600</w:t>
            </w: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(8,313)</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attributable to common stockholders - basic and 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781</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(8,657)</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20" w:type="dxa"/>
            <w:vAlign w:val="bottom"/>
          </w:tcPr>
          <w:p>
            <w:pPr>
              <w:spacing w:after="0" w:line="196" w:lineRule="exact"/>
              <w:rPr>
                <w:sz w:val="20"/>
                <w:szCs w:val="20"/>
                <w:color w:val="auto"/>
              </w:rPr>
            </w:pPr>
            <w:r>
              <w:rPr>
                <w:rFonts w:ascii="Arial" w:cs="Arial" w:eastAsia="Arial" w:hAnsi="Arial"/>
                <w:sz w:val="18"/>
                <w:szCs w:val="18"/>
                <w:color w:val="auto"/>
              </w:rPr>
              <w:t>Net income (loss) per share attributable to common stockholders - basic</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0.13</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(1.23)</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 attributable to common stockholders - 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(1.23)</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20" w:type="dxa"/>
            <w:vAlign w:val="bottom"/>
          </w:tcPr>
          <w:p>
            <w:pPr>
              <w:spacing w:after="0" w:line="196" w:lineRule="exact"/>
              <w:rPr>
                <w:sz w:val="20"/>
                <w:szCs w:val="20"/>
                <w:color w:val="auto"/>
              </w:rPr>
            </w:pPr>
            <w:r>
              <w:rPr>
                <w:rFonts w:ascii="Arial" w:cs="Arial" w:eastAsia="Arial" w:hAnsi="Arial"/>
                <w:sz w:val="18"/>
                <w:szCs w:val="18"/>
                <w:color w:val="auto"/>
              </w:rPr>
              <w:t>Weighted average common shares outstanding - basic</w:t>
            </w:r>
          </w:p>
        </w:tc>
        <w:tc>
          <w:tcPr>
            <w:tcW w:w="100" w:type="dxa"/>
            <w:vAlign w:val="bottom"/>
          </w:tcPr>
          <w:p>
            <w:pPr>
              <w:spacing w:after="0"/>
              <w:rPr>
                <w:sz w:val="17"/>
                <w:szCs w:val="17"/>
                <w:color w:val="auto"/>
              </w:rPr>
            </w:pPr>
          </w:p>
        </w:tc>
        <w:tc>
          <w:tcPr>
            <w:tcW w:w="116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w w:val="99"/>
              </w:rPr>
              <w:t>5,837,773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7,033,359</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 - diluted</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w w:val="99"/>
              </w:rPr>
              <w:t>9,083,024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9"/>
              </w:rPr>
              <w:t>7,033,359</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FLYWIRE CORPORATION</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UNAUDITED CONDENSED STATEMENTS OF CONVERTIBLE PREFERRED STOCK, REDEEMABLE CONVERTIBLE PREFERRED STOCK AND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STOCKHOLDERS’ DEFICIT</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388"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6"/>
              </w:rPr>
              <w:t>Accumu</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Borders>
              <w:right w:val="single" w:sz="8" w:color="auto"/>
            </w:tcBorders>
            <w:gridSpan w:val="6"/>
            <w:vMerge w:val="restart"/>
          </w:tcPr>
          <w:p>
            <w:pPr>
              <w:jc w:val="center"/>
              <w:ind w:right="140"/>
              <w:spacing w:after="0"/>
              <w:rPr>
                <w:sz w:val="20"/>
                <w:szCs w:val="20"/>
                <w:color w:val="auto"/>
              </w:rPr>
            </w:pPr>
            <w:r>
              <w:rPr>
                <w:rFonts w:ascii="Arial" w:cs="Arial" w:eastAsia="Arial" w:hAnsi="Arial"/>
                <w:sz w:val="11"/>
                <w:szCs w:val="11"/>
                <w:b w:val="1"/>
                <w:bCs w:val="1"/>
                <w:color w:val="auto"/>
                <w:w w:val="95"/>
              </w:rPr>
              <w:t>Redeemable</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rPr>
              <w:t>lated</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Borders>
              <w:right w:val="single" w:sz="8" w:color="auto"/>
            </w:tcBorders>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120" w:type="dxa"/>
            <w:vAlign w:val="bottom"/>
          </w:tcPr>
          <w:p>
            <w:pPr>
              <w:spacing w:after="0"/>
              <w:rPr>
                <w:sz w:val="3"/>
                <w:szCs w:val="3"/>
                <w:color w:val="auto"/>
              </w:rPr>
            </w:pPr>
          </w:p>
        </w:tc>
        <w:tc>
          <w:tcPr>
            <w:tcW w:w="1620" w:type="dxa"/>
            <w:vAlign w:val="bottom"/>
            <w:gridSpan w:val="5"/>
            <w:vMerge w:val="restart"/>
          </w:tcPr>
          <w:p>
            <w:pPr>
              <w:jc w:val="center"/>
              <w:ind w:right="140"/>
              <w:spacing w:after="0" w:line="122" w:lineRule="exact"/>
              <w:rPr>
                <w:sz w:val="20"/>
                <w:szCs w:val="20"/>
                <w:color w:val="auto"/>
              </w:rPr>
            </w:pPr>
            <w:r>
              <w:rPr>
                <w:rFonts w:ascii="Arial" w:cs="Arial" w:eastAsia="Arial" w:hAnsi="Arial"/>
                <w:sz w:val="11"/>
                <w:szCs w:val="11"/>
                <w:b w:val="1"/>
                <w:bCs w:val="1"/>
                <w:color w:val="auto"/>
                <w:w w:val="99"/>
              </w:rPr>
              <w:t>Convertible</w:t>
            </w:r>
          </w:p>
        </w:tc>
        <w:tc>
          <w:tcPr>
            <w:tcW w:w="1520" w:type="dxa"/>
            <w:vAlign w:val="bottom"/>
            <w:tcBorders>
              <w:right w:val="single" w:sz="8" w:color="auto"/>
            </w:tcBorders>
            <w:gridSpan w:val="6"/>
            <w:vMerge w:val="restart"/>
          </w:tcPr>
          <w:p>
            <w:pPr>
              <w:jc w:val="center"/>
              <w:ind w:right="140"/>
              <w:spacing w:after="0" w:line="122" w:lineRule="exact"/>
              <w:rPr>
                <w:sz w:val="20"/>
                <w:szCs w:val="20"/>
                <w:color w:val="auto"/>
              </w:rPr>
            </w:pPr>
            <w:r>
              <w:rPr>
                <w:rFonts w:ascii="Arial" w:cs="Arial" w:eastAsia="Arial" w:hAnsi="Arial"/>
                <w:sz w:val="11"/>
                <w:szCs w:val="11"/>
                <w:b w:val="1"/>
                <w:bCs w:val="1"/>
                <w:color w:val="auto"/>
                <w:w w:val="95"/>
              </w:rPr>
              <w:t>Convertible</w:t>
            </w: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1620" w:type="dxa"/>
            <w:vAlign w:val="bottom"/>
            <w:gridSpan w:val="5"/>
            <w:vMerge w:val="continue"/>
          </w:tcPr>
          <w:p>
            <w:pPr>
              <w:spacing w:after="0"/>
              <w:rPr>
                <w:sz w:val="7"/>
                <w:szCs w:val="7"/>
                <w:color w:val="auto"/>
              </w:rPr>
            </w:pPr>
          </w:p>
        </w:tc>
        <w:tc>
          <w:tcPr>
            <w:tcW w:w="1520" w:type="dxa"/>
            <w:vAlign w:val="bottom"/>
            <w:tcBorders>
              <w:right w:val="single" w:sz="8" w:color="auto"/>
            </w:tcBorders>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gridSpan w:val="3"/>
            <w:vMerge w:val="restart"/>
          </w:tcPr>
          <w:p>
            <w:pPr>
              <w:jc w:val="center"/>
              <w:ind w:right="140"/>
              <w:spacing w:after="0" w:line="122" w:lineRule="exact"/>
              <w:rPr>
                <w:sz w:val="20"/>
                <w:szCs w:val="20"/>
                <w:color w:val="auto"/>
              </w:rPr>
            </w:pPr>
            <w:r>
              <w:rPr>
                <w:rFonts w:ascii="Arial" w:cs="Arial" w:eastAsia="Arial" w:hAnsi="Arial"/>
                <w:sz w:val="11"/>
                <w:szCs w:val="11"/>
                <w:b w:val="1"/>
                <w:bCs w:val="1"/>
                <w:color w:val="auto"/>
                <w:w w:val="96"/>
              </w:rPr>
              <w:t>Compre</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41"/>
        </w:trPr>
        <w:tc>
          <w:tcPr>
            <w:tcW w:w="2120" w:type="dxa"/>
            <w:vAlign w:val="bottom"/>
          </w:tcPr>
          <w:p>
            <w:pPr>
              <w:spacing w:after="0"/>
              <w:rPr>
                <w:sz w:val="3"/>
                <w:szCs w:val="3"/>
                <w:color w:val="auto"/>
              </w:rPr>
            </w:pPr>
          </w:p>
        </w:tc>
        <w:tc>
          <w:tcPr>
            <w:tcW w:w="1460" w:type="dxa"/>
            <w:vAlign w:val="bottom"/>
            <w:gridSpan w:val="4"/>
            <w:vMerge w:val="restart"/>
          </w:tcPr>
          <w:p>
            <w:pPr>
              <w:jc w:val="center"/>
              <w:spacing w:after="0" w:line="117" w:lineRule="exact"/>
              <w:rPr>
                <w:sz w:val="20"/>
                <w:szCs w:val="20"/>
                <w:color w:val="auto"/>
              </w:rPr>
            </w:pPr>
            <w:r>
              <w:rPr>
                <w:rFonts w:ascii="Arial" w:cs="Arial" w:eastAsia="Arial" w:hAnsi="Arial"/>
                <w:sz w:val="11"/>
                <w:szCs w:val="11"/>
                <w:b w:val="1"/>
                <w:bCs w:val="1"/>
                <w:color w:val="auto"/>
                <w:w w:val="97"/>
              </w:rPr>
              <w:t>Preferred Stock</w:t>
            </w:r>
          </w:p>
        </w:tc>
        <w:tc>
          <w:tcPr>
            <w:tcW w:w="160" w:type="dxa"/>
            <w:vAlign w:val="bottom"/>
          </w:tcPr>
          <w:p>
            <w:pPr>
              <w:spacing w:after="0"/>
              <w:rPr>
                <w:sz w:val="3"/>
                <w:szCs w:val="3"/>
                <w:color w:val="auto"/>
              </w:rPr>
            </w:pPr>
          </w:p>
        </w:tc>
        <w:tc>
          <w:tcPr>
            <w:tcW w:w="1380" w:type="dxa"/>
            <w:vAlign w:val="bottom"/>
            <w:gridSpan w:val="5"/>
            <w:vMerge w:val="restart"/>
          </w:tcPr>
          <w:p>
            <w:pPr>
              <w:jc w:val="center"/>
              <w:spacing w:after="0" w:line="117" w:lineRule="exact"/>
              <w:rPr>
                <w:sz w:val="20"/>
                <w:szCs w:val="20"/>
                <w:color w:val="auto"/>
              </w:rPr>
            </w:pPr>
            <w:r>
              <w:rPr>
                <w:rFonts w:ascii="Arial" w:cs="Arial" w:eastAsia="Arial" w:hAnsi="Arial"/>
                <w:sz w:val="11"/>
                <w:szCs w:val="11"/>
                <w:b w:val="1"/>
                <w:bCs w:val="1"/>
                <w:color w:val="auto"/>
              </w:rPr>
              <w:t>Preferred Stock</w:t>
            </w:r>
          </w:p>
        </w:tc>
        <w:tc>
          <w:tcPr>
            <w:tcW w:w="14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gridSpan w:val="4"/>
            <w:vMerge w:val="restart"/>
          </w:tcPr>
          <w:p>
            <w:pPr>
              <w:jc w:val="right"/>
              <w:ind w:right="47"/>
              <w:spacing w:after="0" w:line="117" w:lineRule="exact"/>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5"/>
            <w:vMerge w:val="restart"/>
          </w:tcPr>
          <w:p>
            <w:pPr>
              <w:jc w:val="right"/>
              <w:ind w:right="157"/>
              <w:spacing w:after="0" w:line="117" w:lineRule="exact"/>
              <w:rPr>
                <w:sz w:val="20"/>
                <w:szCs w:val="20"/>
                <w:color w:val="auto"/>
              </w:rPr>
            </w:pPr>
            <w:r>
              <w:rPr>
                <w:rFonts w:ascii="Arial" w:cs="Arial" w:eastAsia="Arial" w:hAnsi="Arial"/>
                <w:sz w:val="11"/>
                <w:szCs w:val="11"/>
                <w:b w:val="1"/>
                <w:bCs w:val="1"/>
                <w:color w:val="auto"/>
              </w:rPr>
              <w:t>Treasury Stock</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120" w:type="dxa"/>
            <w:vAlign w:val="bottom"/>
          </w:tcPr>
          <w:p>
            <w:pPr>
              <w:spacing w:after="0"/>
              <w:rPr>
                <w:sz w:val="8"/>
                <w:szCs w:val="8"/>
                <w:color w:val="auto"/>
              </w:rPr>
            </w:pPr>
          </w:p>
        </w:tc>
        <w:tc>
          <w:tcPr>
            <w:tcW w:w="1460" w:type="dxa"/>
            <w:vAlign w:val="bottom"/>
            <w:tcBorders>
              <w:bottom w:val="single" w:sz="8" w:color="auto"/>
            </w:tcBorders>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Borders>
              <w:bottom w:val="single" w:sz="8" w:color="auto"/>
            </w:tcBorders>
            <w:gridSpan w:val="5"/>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auto"/>
            </w:tcBorders>
            <w:gridSpan w:val="4"/>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Borders>
              <w:bottom w:val="single" w:sz="8" w:color="auto"/>
            </w:tcBorders>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3"/>
          </w:tcPr>
          <w:p>
            <w:pPr>
              <w:jc w:val="center"/>
              <w:ind w:right="140"/>
              <w:spacing w:after="0" w:line="90" w:lineRule="exact"/>
              <w:rPr>
                <w:sz w:val="20"/>
                <w:szCs w:val="20"/>
                <w:color w:val="auto"/>
              </w:rPr>
            </w:pPr>
            <w:r>
              <w:rPr>
                <w:rFonts w:ascii="Arial" w:cs="Arial" w:eastAsia="Arial" w:hAnsi="Arial"/>
                <w:sz w:val="10"/>
                <w:szCs w:val="10"/>
                <w:b w:val="1"/>
                <w:bCs w:val="1"/>
                <w:color w:val="auto"/>
              </w:rPr>
              <w:t>Additional</w:t>
            </w:r>
          </w:p>
        </w:tc>
        <w:tc>
          <w:tcPr>
            <w:tcW w:w="660" w:type="dxa"/>
            <w:vAlign w:val="bottom"/>
            <w:gridSpan w:val="3"/>
          </w:tcPr>
          <w:p>
            <w:pPr>
              <w:jc w:val="center"/>
              <w:ind w:right="140"/>
              <w:spacing w:after="0" w:line="90" w:lineRule="exact"/>
              <w:rPr>
                <w:sz w:val="20"/>
                <w:szCs w:val="20"/>
                <w:color w:val="auto"/>
              </w:rPr>
            </w:pPr>
            <w:r>
              <w:rPr>
                <w:rFonts w:ascii="Arial" w:cs="Arial" w:eastAsia="Arial" w:hAnsi="Arial"/>
                <w:sz w:val="10"/>
                <w:szCs w:val="10"/>
                <w:b w:val="1"/>
                <w:bCs w:val="1"/>
                <w:color w:val="auto"/>
              </w:rPr>
              <w:t>hensive</w:t>
            </w:r>
          </w:p>
        </w:tc>
        <w:tc>
          <w:tcPr>
            <w:tcW w:w="100" w:type="dxa"/>
            <w:vAlign w:val="bottom"/>
          </w:tcPr>
          <w:p>
            <w:pPr>
              <w:spacing w:after="0"/>
              <w:rPr>
                <w:sz w:val="8"/>
                <w:szCs w:val="8"/>
                <w:color w:val="auto"/>
              </w:rPr>
            </w:pPr>
          </w:p>
        </w:tc>
        <w:tc>
          <w:tcPr>
            <w:tcW w:w="660" w:type="dxa"/>
            <w:vAlign w:val="bottom"/>
            <w:gridSpan w:val="2"/>
          </w:tcPr>
          <w:p>
            <w:pPr>
              <w:jc w:val="center"/>
              <w:ind w:right="200"/>
              <w:spacing w:after="0" w:line="90" w:lineRule="exact"/>
              <w:rPr>
                <w:sz w:val="20"/>
                <w:szCs w:val="20"/>
                <w:color w:val="auto"/>
              </w:rPr>
            </w:pPr>
            <w:r>
              <w:rPr>
                <w:rFonts w:ascii="Arial" w:cs="Arial" w:eastAsia="Arial" w:hAnsi="Arial"/>
                <w:sz w:val="10"/>
                <w:szCs w:val="10"/>
                <w:b w:val="1"/>
                <w:bCs w:val="1"/>
                <w:color w:val="auto"/>
              </w:rPr>
              <w:t>Accumu</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center"/>
              <w:ind w:right="200"/>
              <w:spacing w:after="0" w:line="90" w:lineRule="exact"/>
              <w:rPr>
                <w:sz w:val="20"/>
                <w:szCs w:val="20"/>
                <w:color w:val="auto"/>
              </w:rPr>
            </w:pPr>
            <w:r>
              <w:rPr>
                <w:rFonts w:ascii="Arial" w:cs="Arial" w:eastAsia="Arial" w:hAnsi="Arial"/>
                <w:sz w:val="10"/>
                <w:szCs w:val="10"/>
                <w:b w:val="1"/>
                <w:bCs w:val="1"/>
                <w:color w:val="auto"/>
              </w:rPr>
              <w:t>Stock</w:t>
            </w:r>
          </w:p>
        </w:tc>
        <w:tc>
          <w:tcPr>
            <w:tcW w:w="0" w:type="dxa"/>
            <w:vAlign w:val="bottom"/>
          </w:tcPr>
          <w:p>
            <w:pPr>
              <w:spacing w:after="0"/>
              <w:rPr>
                <w:sz w:val="1"/>
                <w:szCs w:val="1"/>
                <w:color w:val="auto"/>
              </w:rPr>
            </w:pPr>
          </w:p>
        </w:tc>
      </w:tr>
      <w:tr>
        <w:trPr>
          <w:trHeight w:val="127"/>
        </w:trPr>
        <w:tc>
          <w:tcPr>
            <w:tcW w:w="2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Paid-In</w:t>
            </w:r>
          </w:p>
        </w:tc>
        <w:tc>
          <w:tcPr>
            <w:tcW w:w="66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lated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holders’</w:t>
            </w:r>
          </w:p>
        </w:tc>
        <w:tc>
          <w:tcPr>
            <w:tcW w:w="0" w:type="dxa"/>
            <w:vAlign w:val="bottom"/>
          </w:tcPr>
          <w:p>
            <w:pPr>
              <w:spacing w:after="0"/>
              <w:rPr>
                <w:sz w:val="1"/>
                <w:szCs w:val="1"/>
                <w:color w:val="auto"/>
              </w:rPr>
            </w:pPr>
          </w:p>
        </w:tc>
      </w:tr>
      <w:tr>
        <w:trPr>
          <w:trHeight w:val="137"/>
        </w:trPr>
        <w:tc>
          <w:tcPr>
            <w:tcW w:w="2120" w:type="dxa"/>
            <w:vAlign w:val="bottom"/>
          </w:tcPr>
          <w:p>
            <w:pPr>
              <w:spacing w:after="0"/>
              <w:rPr>
                <w:sz w:val="11"/>
                <w:szCs w:val="11"/>
                <w:color w:val="auto"/>
              </w:rPr>
            </w:pP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Amount</w:t>
            </w: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w w:val="96"/>
              </w:rPr>
              <w:t>Amount</w:t>
            </w:r>
          </w:p>
        </w:tc>
        <w:tc>
          <w:tcPr>
            <w:tcW w:w="20" w:type="dxa"/>
            <w:vAlign w:val="bottom"/>
          </w:tcPr>
          <w:p>
            <w:pPr>
              <w:spacing w:after="0"/>
              <w:rPr>
                <w:sz w:val="11"/>
                <w:szCs w:val="1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6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1"/>
                <w:szCs w:val="11"/>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(Loss)</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Deficit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28"/>
        </w:trPr>
        <w:tc>
          <w:tcPr>
            <w:tcW w:w="21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at January 1, 2020</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18,069,487</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rPr>
              <w:t>$ 110,401</w:t>
            </w: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6,831,382</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(772,574)</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(748)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12,032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(86,665)</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(75,278)</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line="129" w:lineRule="exact"/>
              <w:rPr>
                <w:sz w:val="20"/>
                <w:szCs w:val="20"/>
                <w:color w:val="auto"/>
              </w:rPr>
            </w:pPr>
            <w:r>
              <w:rPr>
                <w:rFonts w:ascii="Arial" w:cs="Arial" w:eastAsia="Arial" w:hAnsi="Arial"/>
                <w:sz w:val="13"/>
                <w:szCs w:val="13"/>
                <w:color w:val="auto"/>
              </w:rPr>
              <w:t>Issuance of common stock upon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tcPr>
          <w:p>
            <w:pPr>
              <w:ind w:left="120"/>
              <w:spacing w:after="0" w:line="141" w:lineRule="exact"/>
              <w:rPr>
                <w:sz w:val="20"/>
                <w:szCs w:val="20"/>
                <w:color w:val="auto"/>
              </w:rPr>
            </w:pPr>
            <w:r>
              <w:rPr>
                <w:rFonts w:ascii="Arial" w:cs="Arial" w:eastAsia="Arial" w:hAnsi="Arial"/>
                <w:sz w:val="13"/>
                <w:szCs w:val="13"/>
                <w:color w:val="auto"/>
              </w:rPr>
              <w:t>exercise of stock options</w:t>
            </w:r>
          </w:p>
        </w:tc>
        <w:tc>
          <w:tcPr>
            <w:tcW w:w="8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448,327</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504</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Issuance of Series E redeemable</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convertible preferred stock, net of</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issuance costs of $245</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3,746,640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119,755</w:t>
            </w: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line="129" w:lineRule="exact"/>
              <w:rPr>
                <w:sz w:val="20"/>
                <w:szCs w:val="20"/>
                <w:color w:val="auto"/>
              </w:rPr>
            </w:pPr>
            <w:r>
              <w:rPr>
                <w:rFonts w:ascii="Arial" w:cs="Arial" w:eastAsia="Arial" w:hAnsi="Arial"/>
                <w:sz w:val="13"/>
                <w:szCs w:val="13"/>
                <w:color w:val="auto"/>
              </w:rPr>
              <w:t>Accretion of redeemable convertible</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tcPr>
          <w:p>
            <w:pPr>
              <w:ind w:left="120"/>
              <w:spacing w:after="0" w:line="141" w:lineRule="exact"/>
              <w:rPr>
                <w:sz w:val="20"/>
                <w:szCs w:val="20"/>
                <w:color w:val="auto"/>
              </w:rPr>
            </w:pPr>
            <w:r>
              <w:rPr>
                <w:rFonts w:ascii="Arial" w:cs="Arial" w:eastAsia="Arial" w:hAnsi="Arial"/>
                <w:sz w:val="13"/>
                <w:szCs w:val="13"/>
                <w:color w:val="auto"/>
              </w:rPr>
              <w:t>preferred stock</w:t>
            </w:r>
          </w:p>
        </w:tc>
        <w:tc>
          <w:tcPr>
            <w:tcW w:w="8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40"/>
              <w:spacing w:after="0" w:line="141"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Forfeiture of unvested restricted</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stock awards</w:t>
            </w:r>
          </w:p>
        </w:tc>
        <w:tc>
          <w:tcPr>
            <w:tcW w:w="8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(2,364)</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line="129" w:lineRule="exact"/>
              <w:rPr>
                <w:sz w:val="20"/>
                <w:szCs w:val="20"/>
                <w:color w:val="auto"/>
              </w:rPr>
            </w:pPr>
            <w:r>
              <w:rPr>
                <w:rFonts w:ascii="Arial" w:cs="Arial" w:eastAsia="Arial" w:hAnsi="Arial"/>
                <w:sz w:val="13"/>
                <w:szCs w:val="13"/>
                <w:color w:val="auto"/>
              </w:rPr>
              <w:t>Foreign currency translation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tcPr>
          <w:p>
            <w:pPr>
              <w:ind w:left="120"/>
              <w:spacing w:after="0" w:line="141" w:lineRule="exact"/>
              <w:rPr>
                <w:sz w:val="20"/>
                <w:szCs w:val="20"/>
                <w:color w:val="auto"/>
              </w:rPr>
            </w:pPr>
            <w:r>
              <w:rPr>
                <w:rFonts w:ascii="Arial" w:cs="Arial" w:eastAsia="Arial" w:hAnsi="Arial"/>
                <w:sz w:val="13"/>
                <w:szCs w:val="13"/>
                <w:color w:val="auto"/>
              </w:rPr>
              <w:t>adjustment</w:t>
            </w:r>
          </w:p>
        </w:tc>
        <w:tc>
          <w:tcPr>
            <w:tcW w:w="8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835</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835</w:t>
            </w: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3,700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3,700</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Balances at March 31, 2020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18,069,487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6"/>
              </w:rPr>
              <w:t>$ 110,401</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3,746,640</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119,757</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7,277,345</w:t>
            </w:r>
          </w:p>
        </w:tc>
        <w:tc>
          <w:tcPr>
            <w:tcW w:w="360" w:type="dxa"/>
            <w:vAlign w:val="bottom"/>
            <w:gridSpan w:val="2"/>
            <w:shd w:val="clear" w:color="auto" w:fill="CCEEFF"/>
          </w:tcPr>
          <w:p>
            <w:pPr>
              <w:jc w:val="right"/>
              <w:ind w:right="18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(772,574)</w:t>
            </w:r>
          </w:p>
        </w:tc>
        <w:tc>
          <w:tcPr>
            <w:tcW w:w="200" w:type="dxa"/>
            <w:vAlign w:val="bottom"/>
            <w:gridSpan w:val="2"/>
            <w:shd w:val="clear" w:color="auto" w:fill="CCEEFF"/>
          </w:tcPr>
          <w:p>
            <w:pPr>
              <w:jc w:val="right"/>
              <w:ind w:right="2"/>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(748)</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13,369</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(82,965)</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(70,341)</w:t>
            </w:r>
          </w:p>
        </w:tc>
        <w:tc>
          <w:tcPr>
            <w:tcW w:w="0" w:type="dxa"/>
            <w:vAlign w:val="bottom"/>
          </w:tcPr>
          <w:p>
            <w:pPr>
              <w:spacing w:after="0"/>
              <w:rPr>
                <w:sz w:val="1"/>
                <w:szCs w:val="1"/>
                <w:color w:val="auto"/>
              </w:rPr>
            </w:pPr>
          </w:p>
        </w:tc>
      </w:tr>
      <w:tr>
        <w:trPr>
          <w:trHeight w:val="329"/>
        </w:trPr>
        <w:tc>
          <w:tcPr>
            <w:tcW w:w="2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top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6"/>
              </w:rPr>
              <w:t>Accumu</w:t>
            </w: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Borders>
              <w:right w:val="single" w:sz="8" w:color="auto"/>
            </w:tcBorders>
            <w:gridSpan w:val="6"/>
            <w:vMerge w:val="restart"/>
          </w:tcPr>
          <w:p>
            <w:pPr>
              <w:jc w:val="center"/>
              <w:ind w:right="140"/>
              <w:spacing w:after="0"/>
              <w:rPr>
                <w:sz w:val="20"/>
                <w:szCs w:val="20"/>
                <w:color w:val="auto"/>
              </w:rPr>
            </w:pPr>
            <w:r>
              <w:rPr>
                <w:rFonts w:ascii="Arial" w:cs="Arial" w:eastAsia="Arial" w:hAnsi="Arial"/>
                <w:sz w:val="11"/>
                <w:szCs w:val="11"/>
                <w:b w:val="1"/>
                <w:bCs w:val="1"/>
                <w:color w:val="auto"/>
                <w:w w:val="95"/>
              </w:rPr>
              <w:t>Redeemable</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rPr>
              <w:t>lated</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Borders>
              <w:right w:val="single" w:sz="8" w:color="auto"/>
            </w:tcBorders>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120" w:type="dxa"/>
            <w:vAlign w:val="bottom"/>
          </w:tcPr>
          <w:p>
            <w:pPr>
              <w:spacing w:after="0"/>
              <w:rPr>
                <w:sz w:val="3"/>
                <w:szCs w:val="3"/>
                <w:color w:val="auto"/>
              </w:rPr>
            </w:pPr>
          </w:p>
        </w:tc>
        <w:tc>
          <w:tcPr>
            <w:tcW w:w="1620" w:type="dxa"/>
            <w:vAlign w:val="bottom"/>
            <w:gridSpan w:val="5"/>
            <w:vMerge w:val="restart"/>
          </w:tcPr>
          <w:p>
            <w:pPr>
              <w:jc w:val="center"/>
              <w:ind w:right="140"/>
              <w:spacing w:after="0" w:line="122" w:lineRule="exact"/>
              <w:rPr>
                <w:sz w:val="20"/>
                <w:szCs w:val="20"/>
                <w:color w:val="auto"/>
              </w:rPr>
            </w:pPr>
            <w:r>
              <w:rPr>
                <w:rFonts w:ascii="Arial" w:cs="Arial" w:eastAsia="Arial" w:hAnsi="Arial"/>
                <w:sz w:val="11"/>
                <w:szCs w:val="11"/>
                <w:b w:val="1"/>
                <w:bCs w:val="1"/>
                <w:color w:val="auto"/>
                <w:w w:val="99"/>
              </w:rPr>
              <w:t>Convertible</w:t>
            </w:r>
          </w:p>
        </w:tc>
        <w:tc>
          <w:tcPr>
            <w:tcW w:w="1520" w:type="dxa"/>
            <w:vAlign w:val="bottom"/>
            <w:tcBorders>
              <w:right w:val="single" w:sz="8" w:color="auto"/>
            </w:tcBorders>
            <w:gridSpan w:val="6"/>
            <w:vMerge w:val="restart"/>
          </w:tcPr>
          <w:p>
            <w:pPr>
              <w:jc w:val="center"/>
              <w:ind w:right="140"/>
              <w:spacing w:after="0" w:line="122" w:lineRule="exact"/>
              <w:rPr>
                <w:sz w:val="20"/>
                <w:szCs w:val="20"/>
                <w:color w:val="auto"/>
              </w:rPr>
            </w:pPr>
            <w:r>
              <w:rPr>
                <w:rFonts w:ascii="Arial" w:cs="Arial" w:eastAsia="Arial" w:hAnsi="Arial"/>
                <w:sz w:val="11"/>
                <w:szCs w:val="11"/>
                <w:b w:val="1"/>
                <w:bCs w:val="1"/>
                <w:color w:val="auto"/>
                <w:w w:val="95"/>
              </w:rPr>
              <w:t>Convertible</w:t>
            </w: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1620" w:type="dxa"/>
            <w:vAlign w:val="bottom"/>
            <w:gridSpan w:val="5"/>
            <w:vMerge w:val="continue"/>
          </w:tcPr>
          <w:p>
            <w:pPr>
              <w:spacing w:after="0"/>
              <w:rPr>
                <w:sz w:val="7"/>
                <w:szCs w:val="7"/>
                <w:color w:val="auto"/>
              </w:rPr>
            </w:pPr>
          </w:p>
        </w:tc>
        <w:tc>
          <w:tcPr>
            <w:tcW w:w="1520" w:type="dxa"/>
            <w:vAlign w:val="bottom"/>
            <w:tcBorders>
              <w:right w:val="single" w:sz="8" w:color="auto"/>
            </w:tcBorders>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gridSpan w:val="3"/>
            <w:vMerge w:val="restart"/>
          </w:tcPr>
          <w:p>
            <w:pPr>
              <w:jc w:val="center"/>
              <w:ind w:right="140"/>
              <w:spacing w:after="0" w:line="122" w:lineRule="exact"/>
              <w:rPr>
                <w:sz w:val="20"/>
                <w:szCs w:val="20"/>
                <w:color w:val="auto"/>
              </w:rPr>
            </w:pPr>
            <w:r>
              <w:rPr>
                <w:rFonts w:ascii="Arial" w:cs="Arial" w:eastAsia="Arial" w:hAnsi="Arial"/>
                <w:sz w:val="11"/>
                <w:szCs w:val="11"/>
                <w:b w:val="1"/>
                <w:bCs w:val="1"/>
                <w:color w:val="auto"/>
                <w:w w:val="96"/>
              </w:rPr>
              <w:t>Compre</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40"/>
        </w:trPr>
        <w:tc>
          <w:tcPr>
            <w:tcW w:w="2120" w:type="dxa"/>
            <w:vAlign w:val="bottom"/>
          </w:tcPr>
          <w:p>
            <w:pPr>
              <w:spacing w:after="0"/>
              <w:rPr>
                <w:sz w:val="3"/>
                <w:szCs w:val="3"/>
                <w:color w:val="auto"/>
              </w:rPr>
            </w:pPr>
          </w:p>
        </w:tc>
        <w:tc>
          <w:tcPr>
            <w:tcW w:w="1460" w:type="dxa"/>
            <w:vAlign w:val="bottom"/>
            <w:gridSpan w:val="4"/>
            <w:vMerge w:val="restart"/>
          </w:tcPr>
          <w:p>
            <w:pPr>
              <w:jc w:val="center"/>
              <w:spacing w:after="0" w:line="117" w:lineRule="exact"/>
              <w:rPr>
                <w:sz w:val="20"/>
                <w:szCs w:val="20"/>
                <w:color w:val="auto"/>
              </w:rPr>
            </w:pPr>
            <w:r>
              <w:rPr>
                <w:rFonts w:ascii="Arial" w:cs="Arial" w:eastAsia="Arial" w:hAnsi="Arial"/>
                <w:sz w:val="11"/>
                <w:szCs w:val="11"/>
                <w:b w:val="1"/>
                <w:bCs w:val="1"/>
                <w:color w:val="auto"/>
                <w:w w:val="97"/>
              </w:rPr>
              <w:t>Preferred Stock</w:t>
            </w:r>
          </w:p>
        </w:tc>
        <w:tc>
          <w:tcPr>
            <w:tcW w:w="160" w:type="dxa"/>
            <w:vAlign w:val="bottom"/>
          </w:tcPr>
          <w:p>
            <w:pPr>
              <w:spacing w:after="0"/>
              <w:rPr>
                <w:sz w:val="3"/>
                <w:szCs w:val="3"/>
                <w:color w:val="auto"/>
              </w:rPr>
            </w:pPr>
          </w:p>
        </w:tc>
        <w:tc>
          <w:tcPr>
            <w:tcW w:w="1380" w:type="dxa"/>
            <w:vAlign w:val="bottom"/>
            <w:gridSpan w:val="5"/>
            <w:vMerge w:val="restart"/>
          </w:tcPr>
          <w:p>
            <w:pPr>
              <w:jc w:val="center"/>
              <w:spacing w:after="0" w:line="117" w:lineRule="exact"/>
              <w:rPr>
                <w:sz w:val="20"/>
                <w:szCs w:val="20"/>
                <w:color w:val="auto"/>
              </w:rPr>
            </w:pPr>
            <w:r>
              <w:rPr>
                <w:rFonts w:ascii="Arial" w:cs="Arial" w:eastAsia="Arial" w:hAnsi="Arial"/>
                <w:sz w:val="11"/>
                <w:szCs w:val="11"/>
                <w:b w:val="1"/>
                <w:bCs w:val="1"/>
                <w:color w:val="auto"/>
              </w:rPr>
              <w:t>Preferred Stock</w:t>
            </w:r>
          </w:p>
        </w:tc>
        <w:tc>
          <w:tcPr>
            <w:tcW w:w="14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gridSpan w:val="4"/>
            <w:vMerge w:val="restart"/>
          </w:tcPr>
          <w:p>
            <w:pPr>
              <w:jc w:val="right"/>
              <w:ind w:right="47"/>
              <w:spacing w:after="0" w:line="117" w:lineRule="exact"/>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5"/>
            <w:vMerge w:val="restart"/>
          </w:tcPr>
          <w:p>
            <w:pPr>
              <w:jc w:val="right"/>
              <w:ind w:right="157"/>
              <w:spacing w:after="0" w:line="117" w:lineRule="exact"/>
              <w:rPr>
                <w:sz w:val="20"/>
                <w:szCs w:val="20"/>
                <w:color w:val="auto"/>
              </w:rPr>
            </w:pPr>
            <w:r>
              <w:rPr>
                <w:rFonts w:ascii="Arial" w:cs="Arial" w:eastAsia="Arial" w:hAnsi="Arial"/>
                <w:sz w:val="11"/>
                <w:szCs w:val="11"/>
                <w:b w:val="1"/>
                <w:bCs w:val="1"/>
                <w:color w:val="auto"/>
              </w:rPr>
              <w:t>Treasury Stock</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120" w:type="dxa"/>
            <w:vAlign w:val="bottom"/>
          </w:tcPr>
          <w:p>
            <w:pPr>
              <w:spacing w:after="0"/>
              <w:rPr>
                <w:sz w:val="8"/>
                <w:szCs w:val="8"/>
                <w:color w:val="auto"/>
              </w:rPr>
            </w:pPr>
          </w:p>
        </w:tc>
        <w:tc>
          <w:tcPr>
            <w:tcW w:w="1460" w:type="dxa"/>
            <w:vAlign w:val="bottom"/>
            <w:tcBorders>
              <w:bottom w:val="single" w:sz="8" w:color="auto"/>
            </w:tcBorders>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Borders>
              <w:bottom w:val="single" w:sz="8" w:color="auto"/>
            </w:tcBorders>
            <w:gridSpan w:val="5"/>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auto"/>
            </w:tcBorders>
            <w:gridSpan w:val="4"/>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Borders>
              <w:bottom w:val="single" w:sz="8" w:color="auto"/>
            </w:tcBorders>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3"/>
          </w:tcPr>
          <w:p>
            <w:pPr>
              <w:jc w:val="center"/>
              <w:ind w:right="140"/>
              <w:spacing w:after="0" w:line="90" w:lineRule="exact"/>
              <w:rPr>
                <w:sz w:val="20"/>
                <w:szCs w:val="20"/>
                <w:color w:val="auto"/>
              </w:rPr>
            </w:pPr>
            <w:r>
              <w:rPr>
                <w:rFonts w:ascii="Arial" w:cs="Arial" w:eastAsia="Arial" w:hAnsi="Arial"/>
                <w:sz w:val="10"/>
                <w:szCs w:val="10"/>
                <w:b w:val="1"/>
                <w:bCs w:val="1"/>
                <w:color w:val="auto"/>
              </w:rPr>
              <w:t>Additional</w:t>
            </w:r>
          </w:p>
        </w:tc>
        <w:tc>
          <w:tcPr>
            <w:tcW w:w="660" w:type="dxa"/>
            <w:vAlign w:val="bottom"/>
            <w:gridSpan w:val="3"/>
          </w:tcPr>
          <w:p>
            <w:pPr>
              <w:jc w:val="center"/>
              <w:ind w:right="140"/>
              <w:spacing w:after="0" w:line="90" w:lineRule="exact"/>
              <w:rPr>
                <w:sz w:val="20"/>
                <w:szCs w:val="20"/>
                <w:color w:val="auto"/>
              </w:rPr>
            </w:pPr>
            <w:r>
              <w:rPr>
                <w:rFonts w:ascii="Arial" w:cs="Arial" w:eastAsia="Arial" w:hAnsi="Arial"/>
                <w:sz w:val="10"/>
                <w:szCs w:val="10"/>
                <w:b w:val="1"/>
                <w:bCs w:val="1"/>
                <w:color w:val="auto"/>
              </w:rPr>
              <w:t>hensive</w:t>
            </w:r>
          </w:p>
        </w:tc>
        <w:tc>
          <w:tcPr>
            <w:tcW w:w="100" w:type="dxa"/>
            <w:vAlign w:val="bottom"/>
          </w:tcPr>
          <w:p>
            <w:pPr>
              <w:spacing w:after="0"/>
              <w:rPr>
                <w:sz w:val="8"/>
                <w:szCs w:val="8"/>
                <w:color w:val="auto"/>
              </w:rPr>
            </w:pPr>
          </w:p>
        </w:tc>
        <w:tc>
          <w:tcPr>
            <w:tcW w:w="660" w:type="dxa"/>
            <w:vAlign w:val="bottom"/>
            <w:gridSpan w:val="2"/>
          </w:tcPr>
          <w:p>
            <w:pPr>
              <w:jc w:val="center"/>
              <w:ind w:right="200"/>
              <w:spacing w:after="0" w:line="90" w:lineRule="exact"/>
              <w:rPr>
                <w:sz w:val="20"/>
                <w:szCs w:val="20"/>
                <w:color w:val="auto"/>
              </w:rPr>
            </w:pPr>
            <w:r>
              <w:rPr>
                <w:rFonts w:ascii="Arial" w:cs="Arial" w:eastAsia="Arial" w:hAnsi="Arial"/>
                <w:sz w:val="10"/>
                <w:szCs w:val="10"/>
                <w:b w:val="1"/>
                <w:bCs w:val="1"/>
                <w:color w:val="auto"/>
              </w:rPr>
              <w:t>Accumu</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center"/>
              <w:ind w:right="200"/>
              <w:spacing w:after="0" w:line="90" w:lineRule="exact"/>
              <w:rPr>
                <w:sz w:val="20"/>
                <w:szCs w:val="20"/>
                <w:color w:val="auto"/>
              </w:rPr>
            </w:pPr>
            <w:r>
              <w:rPr>
                <w:rFonts w:ascii="Arial" w:cs="Arial" w:eastAsia="Arial" w:hAnsi="Arial"/>
                <w:sz w:val="10"/>
                <w:szCs w:val="10"/>
                <w:b w:val="1"/>
                <w:bCs w:val="1"/>
                <w:color w:val="auto"/>
              </w:rPr>
              <w:t>Stock</w:t>
            </w:r>
          </w:p>
        </w:tc>
        <w:tc>
          <w:tcPr>
            <w:tcW w:w="0" w:type="dxa"/>
            <w:vAlign w:val="bottom"/>
          </w:tcPr>
          <w:p>
            <w:pPr>
              <w:spacing w:after="0"/>
              <w:rPr>
                <w:sz w:val="1"/>
                <w:szCs w:val="1"/>
                <w:color w:val="auto"/>
              </w:rPr>
            </w:pPr>
          </w:p>
        </w:tc>
      </w:tr>
      <w:tr>
        <w:trPr>
          <w:trHeight w:val="127"/>
        </w:trPr>
        <w:tc>
          <w:tcPr>
            <w:tcW w:w="2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Paid-In</w:t>
            </w:r>
          </w:p>
        </w:tc>
        <w:tc>
          <w:tcPr>
            <w:tcW w:w="66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lated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holders’</w:t>
            </w:r>
          </w:p>
        </w:tc>
        <w:tc>
          <w:tcPr>
            <w:tcW w:w="0" w:type="dxa"/>
            <w:vAlign w:val="bottom"/>
          </w:tcPr>
          <w:p>
            <w:pPr>
              <w:spacing w:after="0"/>
              <w:rPr>
                <w:sz w:val="1"/>
                <w:szCs w:val="1"/>
                <w:color w:val="auto"/>
              </w:rPr>
            </w:pPr>
          </w:p>
        </w:tc>
      </w:tr>
      <w:tr>
        <w:trPr>
          <w:trHeight w:val="137"/>
        </w:trPr>
        <w:tc>
          <w:tcPr>
            <w:tcW w:w="2120" w:type="dxa"/>
            <w:vAlign w:val="bottom"/>
          </w:tcPr>
          <w:p>
            <w:pPr>
              <w:spacing w:after="0"/>
              <w:rPr>
                <w:sz w:val="11"/>
                <w:szCs w:val="11"/>
                <w:color w:val="auto"/>
              </w:rPr>
            </w:pP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Amount</w:t>
            </w: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w w:val="96"/>
              </w:rPr>
              <w:t>Amount</w:t>
            </w:r>
          </w:p>
        </w:tc>
        <w:tc>
          <w:tcPr>
            <w:tcW w:w="20" w:type="dxa"/>
            <w:vAlign w:val="bottom"/>
          </w:tcPr>
          <w:p>
            <w:pPr>
              <w:spacing w:after="0"/>
              <w:rPr>
                <w:sz w:val="11"/>
                <w:szCs w:val="1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6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1"/>
                <w:szCs w:val="11"/>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(Loss)</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Deficit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28"/>
        </w:trPr>
        <w:tc>
          <w:tcPr>
            <w:tcW w:w="21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at January 1, 2021</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18,069,487</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rPr>
              <w:t>$ 110,401</w:t>
            </w: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3,746,640</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119,769</w:t>
            </w: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7,413,624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(772,574)</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(748)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16,971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(214)</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(97,772)</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(81,762)</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line="129" w:lineRule="exact"/>
              <w:rPr>
                <w:sz w:val="20"/>
                <w:szCs w:val="20"/>
                <w:color w:val="auto"/>
              </w:rPr>
            </w:pPr>
            <w:r>
              <w:rPr>
                <w:rFonts w:ascii="Arial" w:cs="Arial" w:eastAsia="Arial" w:hAnsi="Arial"/>
                <w:sz w:val="13"/>
                <w:szCs w:val="13"/>
                <w:color w:val="auto"/>
              </w:rPr>
              <w:t>Issuance of common stock upon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tcPr>
          <w:p>
            <w:pPr>
              <w:ind w:left="120"/>
              <w:spacing w:after="0" w:line="141" w:lineRule="exact"/>
              <w:rPr>
                <w:sz w:val="20"/>
                <w:szCs w:val="20"/>
                <w:color w:val="auto"/>
              </w:rPr>
            </w:pPr>
            <w:r>
              <w:rPr>
                <w:rFonts w:ascii="Arial" w:cs="Arial" w:eastAsia="Arial" w:hAnsi="Arial"/>
                <w:sz w:val="13"/>
                <w:szCs w:val="13"/>
                <w:color w:val="auto"/>
              </w:rPr>
              <w:t>exercise of stock options</w:t>
            </w:r>
          </w:p>
        </w:tc>
        <w:tc>
          <w:tcPr>
            <w:tcW w:w="8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1,001,858</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2,406</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2,406</w:t>
            </w: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Issuance of Series F-1 redeemable</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convertible preferred stock, net of</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issuance costs of $265</w:t>
            </w:r>
          </w:p>
        </w:tc>
        <w:tc>
          <w:tcPr>
            <w:tcW w:w="8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857,312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59,735</w:t>
            </w: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Arial" w:cs="Arial" w:eastAsia="Arial" w:hAnsi="Arial"/>
                <w:sz w:val="13"/>
                <w:szCs w:val="13"/>
                <w:color w:val="auto"/>
              </w:rPr>
              <w:t>Exercise of common stock warrants</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50,506</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Accretion of redeemable convertible</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preferred stock</w:t>
            </w:r>
          </w:p>
        </w:tc>
        <w:tc>
          <w:tcPr>
            <w:tcW w:w="8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29"/>
        </w:trPr>
        <w:tc>
          <w:tcPr>
            <w:tcW w:w="2120" w:type="dxa"/>
            <w:vAlign w:val="bottom"/>
          </w:tcPr>
          <w:p>
            <w:pPr>
              <w:spacing w:after="0" w:line="129" w:lineRule="exact"/>
              <w:rPr>
                <w:sz w:val="20"/>
                <w:szCs w:val="20"/>
                <w:color w:val="auto"/>
              </w:rPr>
            </w:pPr>
            <w:r>
              <w:rPr>
                <w:rFonts w:ascii="Arial" w:cs="Arial" w:eastAsia="Arial" w:hAnsi="Arial"/>
                <w:sz w:val="13"/>
                <w:szCs w:val="13"/>
                <w:color w:val="auto"/>
              </w:rPr>
              <w:t>Foreign currency translation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tcPr>
          <w:p>
            <w:pPr>
              <w:ind w:left="120"/>
              <w:spacing w:after="0" w:line="141" w:lineRule="exact"/>
              <w:rPr>
                <w:sz w:val="20"/>
                <w:szCs w:val="20"/>
                <w:color w:val="auto"/>
              </w:rPr>
            </w:pPr>
            <w:r>
              <w:rPr>
                <w:rFonts w:ascii="Arial" w:cs="Arial" w:eastAsia="Arial" w:hAnsi="Arial"/>
                <w:sz w:val="13"/>
                <w:szCs w:val="13"/>
                <w:color w:val="auto"/>
              </w:rPr>
              <w:t>adjustment</w:t>
            </w:r>
          </w:p>
        </w:tc>
        <w:tc>
          <w:tcPr>
            <w:tcW w:w="8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339</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10,364</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10,364</w:t>
            </w: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(8,652)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(8,652)</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Balances at March 31, 2021</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18,069,487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6"/>
              </w:rPr>
              <w:t>$ 110,401</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4,603,952</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179,509</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8,465,988</w:t>
            </w:r>
          </w:p>
        </w:tc>
        <w:tc>
          <w:tcPr>
            <w:tcW w:w="360" w:type="dxa"/>
            <w:vAlign w:val="bottom"/>
            <w:gridSpan w:val="2"/>
            <w:shd w:val="clear" w:color="auto" w:fill="CCEEFF"/>
          </w:tcPr>
          <w:p>
            <w:pPr>
              <w:jc w:val="right"/>
              <w:ind w:right="18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(772,574)</w:t>
            </w:r>
          </w:p>
        </w:tc>
        <w:tc>
          <w:tcPr>
            <w:tcW w:w="200" w:type="dxa"/>
            <w:vAlign w:val="bottom"/>
            <w:gridSpan w:val="2"/>
            <w:shd w:val="clear" w:color="auto" w:fill="CCEEFF"/>
          </w:tcPr>
          <w:p>
            <w:pPr>
              <w:jc w:val="right"/>
              <w:ind w:right="2"/>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(748)</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29,736</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(106,424)</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(77,310)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 OF CASH FLOWS</w:t>
      </w: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83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183"/>
        </w:trPr>
        <w:tc>
          <w:tcPr>
            <w:tcW w:w="83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3,700</w:t>
            </w:r>
          </w:p>
        </w:tc>
        <w:tc>
          <w:tcPr>
            <w:tcW w:w="60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(8,652)</w:t>
            </w: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(loss) to net cash used in operating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1,516</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2,131</w:t>
            </w: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835</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10,364</w:t>
            </w: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deferred contract costs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w:t>
            </w: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263</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954</w:t>
            </w: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(300)</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w:t>
            </w: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 provision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(8,555)</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w:t>
            </w: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Bad debt expense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Non-cash interest expense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82</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w:t>
            </w: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149</w:t>
            </w: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Changes in operating assets and liabilities, net of acquisition: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00" w:type="dxa"/>
            <w:vAlign w:val="bottom"/>
          </w:tcPr>
          <w:p>
            <w:pPr>
              <w:ind w:left="720"/>
              <w:spacing w:after="0" w:line="202" w:lineRule="exact"/>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(2,062)</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03"/>
        </w:trPr>
        <w:tc>
          <w:tcPr>
            <w:tcW w:w="83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Unbilled receivables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1,011</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1,080</w:t>
            </w:r>
          </w:p>
        </w:tc>
      </w:tr>
      <w:tr>
        <w:trPr>
          <w:trHeight w:val="203"/>
        </w:trPr>
        <w:tc>
          <w:tcPr>
            <w:tcW w:w="8300" w:type="dxa"/>
            <w:vAlign w:val="bottom"/>
          </w:tcPr>
          <w:p>
            <w:pPr>
              <w:ind w:left="720"/>
              <w:spacing w:after="0" w:line="202" w:lineRule="exact"/>
              <w:rPr>
                <w:sz w:val="20"/>
                <w:szCs w:val="20"/>
                <w:color w:val="auto"/>
              </w:rPr>
            </w:pPr>
            <w:r>
              <w:rPr>
                <w:rFonts w:ascii="Arial" w:cs="Arial" w:eastAsia="Arial" w:hAnsi="Arial"/>
                <w:sz w:val="18"/>
                <w:szCs w:val="18"/>
                <w:color w:val="auto"/>
              </w:rPr>
              <w:t>Funds receivable from payment partners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10,120</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13,342</w:t>
            </w:r>
          </w:p>
        </w:tc>
      </w:tr>
      <w:tr>
        <w:trPr>
          <w:trHeight w:val="203"/>
        </w:trPr>
        <w:tc>
          <w:tcPr>
            <w:tcW w:w="83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(1,174)</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(1,680)</w:t>
            </w:r>
          </w:p>
        </w:tc>
      </w:tr>
      <w:tr>
        <w:trPr>
          <w:trHeight w:val="203"/>
        </w:trPr>
        <w:tc>
          <w:tcPr>
            <w:tcW w:w="8300" w:type="dxa"/>
            <w:vAlign w:val="bottom"/>
          </w:tcPr>
          <w:p>
            <w:pPr>
              <w:ind w:left="720"/>
              <w:spacing w:after="0" w:line="202" w:lineRule="exact"/>
              <w:rPr>
                <w:sz w:val="20"/>
                <w:szCs w:val="20"/>
                <w:color w:val="auto"/>
              </w:rPr>
            </w:pPr>
            <w:r>
              <w:rPr>
                <w:rFonts w:ascii="Arial" w:cs="Arial" w:eastAsia="Arial" w:hAnsi="Arial"/>
                <w:sz w:val="18"/>
                <w:szCs w:val="18"/>
                <w:color w:val="auto"/>
              </w:rPr>
              <w:t>Funds payable to customers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(51,212)</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(28,123)</w:t>
            </w:r>
          </w:p>
        </w:tc>
      </w:tr>
      <w:tr>
        <w:trPr>
          <w:trHeight w:val="203"/>
        </w:trPr>
        <w:tc>
          <w:tcPr>
            <w:tcW w:w="83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 accrued expenses and other current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(922)</w:t>
            </w:r>
          </w:p>
        </w:tc>
      </w:tr>
      <w:tr>
        <w:trPr>
          <w:trHeight w:val="203"/>
        </w:trPr>
        <w:tc>
          <w:tcPr>
            <w:tcW w:w="8300" w:type="dxa"/>
            <w:vAlign w:val="bottom"/>
          </w:tcPr>
          <w:p>
            <w:pPr>
              <w:ind w:left="720"/>
              <w:spacing w:after="0" w:line="202" w:lineRule="exact"/>
              <w:rPr>
                <w:sz w:val="20"/>
                <w:szCs w:val="20"/>
                <w:color w:val="auto"/>
              </w:rPr>
            </w:pPr>
            <w:r>
              <w:rPr>
                <w:rFonts w:ascii="Arial" w:cs="Arial" w:eastAsia="Arial" w:hAnsi="Arial"/>
                <w:sz w:val="18"/>
                <w:szCs w:val="18"/>
                <w:color w:val="auto"/>
              </w:rPr>
              <w:t>Contingent consideration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(693)</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(3,212)</w:t>
            </w:r>
          </w:p>
        </w:tc>
      </w:tr>
      <w:tr>
        <w:trPr>
          <w:trHeight w:val="203"/>
        </w:trPr>
        <w:tc>
          <w:tcPr>
            <w:tcW w:w="83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w:t>
            </w:r>
          </w:p>
        </w:tc>
      </w:tr>
      <w:tr>
        <w:trPr>
          <w:trHeight w:val="203"/>
        </w:trPr>
        <w:tc>
          <w:tcPr>
            <w:tcW w:w="8300" w:type="dxa"/>
            <w:vAlign w:val="bottom"/>
          </w:tcPr>
          <w:p>
            <w:pPr>
              <w:ind w:left="720"/>
              <w:spacing w:after="0" w:line="202" w:lineRule="exact"/>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(511)</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(257)</w:t>
            </w:r>
          </w:p>
        </w:tc>
      </w:tr>
      <w:tr>
        <w:trPr>
          <w:trHeight w:val="27"/>
        </w:trPr>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(47,136)</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(14,792)</w:t>
            </w:r>
          </w:p>
        </w:tc>
      </w:tr>
      <w:tr>
        <w:trPr>
          <w:trHeight w:val="210"/>
        </w:trPr>
        <w:tc>
          <w:tcPr>
            <w:tcW w:w="8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(533)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(1,473)</w:t>
            </w: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(79,401)</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(79,934)</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(1,473)</w:t>
            </w:r>
          </w:p>
        </w:tc>
      </w:tr>
      <w:tr>
        <w:trPr>
          <w:trHeight w:val="209"/>
        </w:trPr>
        <w:tc>
          <w:tcPr>
            <w:tcW w:w="8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long-term debt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(2,083)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Payment of deferred offering costs related to initial public offering</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(163)</w:t>
            </w: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119,755</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59,735</w:t>
            </w: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Contingent consideration paid for acquisitions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(1,307)</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(3,800)</w:t>
            </w: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504</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2,406</w:t>
            </w:r>
          </w:p>
        </w:tc>
        <w:tc>
          <w:tcPr>
            <w:tcW w:w="120" w:type="dxa"/>
            <w:vAlign w:val="bottom"/>
            <w:shd w:val="clear" w:color="auto" w:fill="CCEEFF"/>
          </w:tcPr>
          <w:p>
            <w:pPr>
              <w:spacing w:after="0"/>
              <w:rPr>
                <w:sz w:val="17"/>
                <w:szCs w:val="17"/>
                <w:color w:val="auto"/>
              </w:rPr>
            </w:pPr>
          </w:p>
        </w:tc>
      </w:tr>
      <w:tr>
        <w:trPr>
          <w:trHeight w:val="217"/>
        </w:trPr>
        <w:tc>
          <w:tcPr>
            <w:tcW w:w="8300" w:type="dxa"/>
            <w:vAlign w:val="bottom"/>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116,869</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58,178</w:t>
            </w:r>
          </w:p>
        </w:tc>
        <w:tc>
          <w:tcPr>
            <w:tcW w:w="120" w:type="dxa"/>
            <w:vAlign w:val="bottom"/>
          </w:tcPr>
          <w:p>
            <w:pPr>
              <w:spacing w:after="0"/>
              <w:rPr>
                <w:sz w:val="18"/>
                <w:szCs w:val="18"/>
                <w:color w:val="auto"/>
              </w:rPr>
            </w:pP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rates changes on cash and cash equivalents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(337)</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348</w:t>
            </w:r>
          </w:p>
        </w:tc>
      </w:tr>
      <w:tr>
        <w:trPr>
          <w:trHeight w:val="210"/>
        </w:trPr>
        <w:tc>
          <w:tcPr>
            <w:tcW w:w="8300" w:type="dxa"/>
            <w:vAlign w:val="bottom"/>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(10,538)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42,261</w:t>
            </w:r>
          </w:p>
        </w:tc>
        <w:tc>
          <w:tcPr>
            <w:tcW w:w="120" w:type="dxa"/>
            <w:vAlign w:val="bottom"/>
          </w:tcPr>
          <w:p>
            <w:pPr>
              <w:spacing w:after="0"/>
              <w:rPr>
                <w:sz w:val="18"/>
                <w:szCs w:val="18"/>
                <w:color w:val="auto"/>
              </w:rPr>
            </w:pP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cash equivalents and restricted cash, beginning of period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86,027</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109,052</w:t>
            </w:r>
          </w:p>
        </w:tc>
      </w:tr>
      <w:tr>
        <w:trPr>
          <w:trHeight w:val="209"/>
        </w:trPr>
        <w:tc>
          <w:tcPr>
            <w:tcW w:w="83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75,489</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151,313</w:t>
            </w:r>
          </w:p>
        </w:tc>
        <w:tc>
          <w:tcPr>
            <w:tcW w:w="12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 OF CASH FLOWS</w:t>
      </w: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786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183"/>
        </w:trPr>
        <w:tc>
          <w:tcPr>
            <w:tcW w:w="78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Supplemental disclosures of cash flow and noncash information</w:t>
            </w: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 interest</w:t>
            </w: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527</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531</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Purchase of property and equipment in accounts payable</w:t>
            </w: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w:t>
            </w:r>
          </w:p>
        </w:tc>
      </w:tr>
      <w:tr>
        <w:trPr>
          <w:trHeight w:val="202"/>
        </w:trPr>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offering costs related to initial public offering included in accounts payable, accrued</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8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expenses and other current liabilities</w:t>
            </w:r>
          </w:p>
        </w:tc>
        <w:tc>
          <w:tcPr>
            <w:tcW w:w="6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2,149</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b w:val="1"/>
                <w:bCs w:val="1"/>
                <w:color w:val="auto"/>
              </w:rPr>
              <w:t>Reconciliation of cash, cash equivalents and restricted cash</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75,489</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146,313</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5,000</w:t>
            </w:r>
          </w:p>
        </w:tc>
      </w:tr>
      <w:tr>
        <w:trPr>
          <w:trHeight w:val="27"/>
        </w:trPr>
        <w:tc>
          <w:tcPr>
            <w:tcW w:w="7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8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Cash, cash equivalents and restricted cash</w:t>
            </w: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75,489</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151,313</w:t>
            </w:r>
          </w:p>
        </w:tc>
      </w:tr>
      <w:tr>
        <w:trPr>
          <w:trHeight w:val="20"/>
        </w:trPr>
        <w:tc>
          <w:tcPr>
            <w:tcW w:w="7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660" w:hanging="544"/>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234"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Flywire Corporation (the “Company”) was incorporated under the laws of the State of Delaware in July 2009 as peerTransfer Corporation. In 2016 the Company changed its name to Flywire Corporation. The Company is headquartered in Boston, Massachusetts and has a global footprint in 11 countries across 5 continents.</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Company provides a secure global payments platform, offering its clients an innovative and streamlined process to receive reconciled domestic and international payments in a more cost effective and efficient manner. The Company’s solutions are built on three core elements: (i) a payments platform; (ii) a proprietary global payment network; and (iii) vertical-specific software backed by its deep industry expertise.</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Company is subject to risks and uncertainties similar to other companies of similar size in the technology platform and digital payments industry, including, but not limited to, development by competitors of new technological innovations, compliance with government regulations, ability to attract, retain and engage both clients and their customers and partners, and the need to obtain additional financing to fund operations. Potential risks and uncertainties also include, without limitation, uncertainties regarding the duration and magnitude of the impact of the COVID-19 pandemic on the Company’s business, the business of its clients and the economy in general.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26" w:lineRule="exact"/>
        <w:rPr>
          <w:sz w:val="20"/>
          <w:szCs w:val="20"/>
          <w:color w:val="auto"/>
        </w:rPr>
      </w:pPr>
    </w:p>
    <w:p>
      <w:pPr>
        <w:jc w:val="both"/>
        <w:ind w:left="120" w:right="80" w:firstLine="440"/>
        <w:spacing w:after="0" w:line="248" w:lineRule="auto"/>
        <w:rPr>
          <w:sz w:val="20"/>
          <w:szCs w:val="20"/>
          <w:color w:val="auto"/>
        </w:rPr>
      </w:pPr>
      <w:r>
        <w:rPr>
          <w:rFonts w:ascii="Arial" w:cs="Arial" w:eastAsia="Arial" w:hAnsi="Arial"/>
          <w:sz w:val="17"/>
          <w:szCs w:val="17"/>
          <w:color w:val="auto"/>
        </w:rPr>
        <w:t>On March 11, 2020, the World Health Organization (“WHO”) declared the outbreak of a novel coronavirus (“COVID-19”) as a global pandemic, which continues to spread throughout the world. The Company’s primary sources of revenue are related to international tuition payments and domestic healthcare payments for elective procedures. These areas have been adversely impacted by the pandemic.</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Colleges, universities, private primary schools and language schools are still deciding on their re-opening plans; international travel has been reduced to stop the in-flow of COVID-19; and hospitals have cut back on elective procedures to ensure there are available resources to treat waves of COVID-19 cases.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In response to the COVID-19 pandemic, the Company executed a reduction in force in May of 2020, cut corporate bonus programs, eliminated corporate travel and reduced professional service and other fees. Further, the Company implemented remote working capabilities and measures focused on the safety of employees. The Company continues to monitor the rapidly evolving conditions and circumstances as well as guidance from international and domestic authorities, including public health authorities. The Company does not currently foresee the need to take additional actions, however it continues to evaluate the ongoing impact of COVID-19 as facts and circumstances change.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left="120" w:right="480" w:firstLine="440"/>
        <w:spacing w:after="0" w:line="238"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(“GAAP”) regarding interim financial reporting and include the accounts of the Company and its wholly owned subsidiaries. Certain information and note disclosures normally included in the consolidated financial statements prepared in accordance with GAAP have been condensed or omitted. Therefore, these condensed</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00"/>
          </w:cols>
          <w:pgMar w:left="320" w:top="459" w:right="4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320"/>
        <w:spacing w:after="0"/>
        <w:rPr>
          <w:sz w:val="20"/>
          <w:szCs w:val="20"/>
          <w:color w:val="auto"/>
        </w:rPr>
      </w:pPr>
      <w:r>
        <w:rPr>
          <w:rFonts w:ascii="Arial" w:cs="Arial" w:eastAsia="Arial" w:hAnsi="Arial"/>
          <w:sz w:val="18"/>
          <w:szCs w:val="18"/>
          <w:color w:val="auto"/>
        </w:rPr>
        <w:t>consolidated financial statements should be read in conjunction with the consolidated financial statements and notes included in the Company’s audited consolidated financial statements for the year ended December 31, 2020. Intercompany accounts and transactions have been eliminated upon consolidation.</w:t>
      </w:r>
    </w:p>
    <w:p>
      <w:pPr>
        <w:spacing w:after="0" w:line="20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The accompanying condensed consolidated balance sheet as of March 31, 2021, the condensed consolidated statements of operations and comprehensive loss for the three months ended March 31, 2020 and 2021, the condensed consolidated statements of convertible preferred stock, redeemable convertible preferred stock and stockholders’ deficit for the three months ended March 31, 2020 and 2021 and the condensed consolidated statements of cash flows for the three months ended March 31, 2020 and 2021, are unaudited.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as of March 31, 2021, and the results of its operations and its cash flows for the three months ended March 31, 2020 and 2021. The financial data and other information disclosed in these notes related to the three months ended March 31, 2020 and 2021 and as of March 31, 2021, are also unaudited. The accompanying consolidated balance sheet as of December 31, 2020 was derived from the Company’s audited consolidated financial statements for the year ended December 31, 2020. The results for the three months ended March 31, 2021, are not necessarily indicative of results to be expected for the year ended December 31, 2021, any other interim periods or any future year or period.</w:t>
      </w:r>
    </w:p>
    <w:p>
      <w:pPr>
        <w:spacing w:after="0" w:line="330" w:lineRule="exact"/>
        <w:rPr>
          <w:sz w:val="20"/>
          <w:szCs w:val="20"/>
          <w:color w:val="auto"/>
        </w:rPr>
      </w:pPr>
    </w:p>
    <w:p>
      <w:pPr>
        <w:ind w:left="660" w:hanging="544"/>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Customers</w:t>
      </w:r>
    </w:p>
    <w:p>
      <w:pPr>
        <w:spacing w:after="0" w:line="12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consists principally of cash, cash equivalents, accounts receivable and funds receivable from payment partners. The Company maintains its cash and cash equivalents with financial institutions that management believes are of high credit quality. To manage credit risk related to accounts receivable, the Company evaluates credit worthiness of its customers and maintains allowances, to the extent necessary, for potential credit losses based upon the aging of its accounts receivable balances and known collection issues. The Company has not experienced any material credit losses for the three months ended March 31, 2020 and 2021.</w:t>
      </w:r>
    </w:p>
    <w:p>
      <w:pPr>
        <w:spacing w:after="0" w:line="205" w:lineRule="exact"/>
        <w:rPr>
          <w:sz w:val="20"/>
          <w:szCs w:val="20"/>
          <w:color w:val="auto"/>
        </w:rPr>
      </w:pPr>
    </w:p>
    <w:p>
      <w:pPr>
        <w:jc w:val="both"/>
        <w:ind w:left="120" w:right="300" w:firstLine="440"/>
        <w:spacing w:after="0"/>
        <w:rPr>
          <w:sz w:val="20"/>
          <w:szCs w:val="20"/>
          <w:color w:val="auto"/>
        </w:rPr>
      </w:pPr>
      <w:r>
        <w:rPr>
          <w:rFonts w:ascii="Arial" w:cs="Arial" w:eastAsia="Arial" w:hAnsi="Arial"/>
          <w:sz w:val="18"/>
          <w:szCs w:val="18"/>
          <w:color w:val="auto"/>
        </w:rPr>
        <w:t>The Company has corporate deposit balances with financial institutions which exceed the Federal Deposit Insurance Corporation (“FDIC”) insurance limit of $250,000. As part of the cash management process, the Company performs periodic reviews of the financial institution credit standing.</w:t>
      </w:r>
    </w:p>
    <w:p>
      <w:pPr>
        <w:spacing w:after="0" w:line="20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Accounts receivable are derived from revenue earned from customers located in the U.S. and internationally. Significant customers are those that represent 10% or more of accounts receivable, net as set forth in the following table:</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540" w:type="dxa"/>
            <w:vAlign w:val="bottom"/>
          </w:tcPr>
          <w:p>
            <w:pPr>
              <w:spacing w:after="0"/>
              <w:rPr>
                <w:sz w:val="18"/>
                <w:szCs w:val="18"/>
                <w:color w:val="auto"/>
              </w:rPr>
            </w:pPr>
          </w:p>
        </w:tc>
        <w:tc>
          <w:tcPr>
            <w:tcW w:w="24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rPr>
              <w:t>December 31,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March 31,</w:t>
            </w:r>
          </w:p>
        </w:tc>
      </w:tr>
      <w:tr>
        <w:trPr>
          <w:trHeight w:val="225"/>
        </w:trPr>
        <w:tc>
          <w:tcPr>
            <w:tcW w:w="75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r>
      <w:tr>
        <w:trPr>
          <w:trHeight w:val="196"/>
        </w:trPr>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Customer A</w:t>
            </w:r>
          </w:p>
        </w:tc>
        <w:tc>
          <w:tcPr>
            <w:tcW w:w="2420" w:type="dxa"/>
            <w:vAlign w:val="bottom"/>
            <w:gridSpan w:val="2"/>
            <w:shd w:val="clear" w:color="auto" w:fill="CCEEFF"/>
          </w:tcPr>
          <w:p>
            <w:pPr>
              <w:jc w:val="right"/>
              <w:ind w:right="1080"/>
              <w:spacing w:after="0" w:line="196" w:lineRule="exact"/>
              <w:rPr>
                <w:sz w:val="20"/>
                <w:szCs w:val="20"/>
                <w:color w:val="auto"/>
              </w:rPr>
            </w:pPr>
            <w:r>
              <w:rPr>
                <w:rFonts w:ascii="Arial" w:cs="Arial" w:eastAsia="Arial" w:hAnsi="Arial"/>
                <w:sz w:val="18"/>
                <w:szCs w:val="18"/>
                <w:color w:val="auto"/>
              </w:rPr>
              <w:t>19%</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28%</w:t>
            </w:r>
          </w:p>
        </w:tc>
      </w:tr>
      <w:tr>
        <w:trPr>
          <w:trHeight w:val="217"/>
        </w:trPr>
        <w:tc>
          <w:tcPr>
            <w:tcW w:w="7540" w:type="dxa"/>
            <w:vAlign w:val="bottom"/>
          </w:tcPr>
          <w:p>
            <w:pPr>
              <w:spacing w:after="0"/>
              <w:rPr>
                <w:sz w:val="20"/>
                <w:szCs w:val="20"/>
                <w:color w:val="auto"/>
              </w:rPr>
            </w:pPr>
            <w:r>
              <w:rPr>
                <w:rFonts w:ascii="Arial" w:cs="Arial" w:eastAsia="Arial" w:hAnsi="Arial"/>
                <w:sz w:val="18"/>
                <w:szCs w:val="18"/>
                <w:color w:val="auto"/>
              </w:rPr>
              <w:t>Customer B</w:t>
            </w:r>
          </w:p>
        </w:tc>
        <w:tc>
          <w:tcPr>
            <w:tcW w:w="2420" w:type="dxa"/>
            <w:vAlign w:val="bottom"/>
            <w:gridSpan w:val="2"/>
          </w:tcPr>
          <w:p>
            <w:pPr>
              <w:jc w:val="right"/>
              <w:ind w:right="108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660" w:hanging="544"/>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Less than 10% of total accounts receivable.</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Funds receivable from payment partners consist primarily of cash held by the Company’s global payment processing partners that has not yet remitted to the Company. Significant partners are those that represent 10% or more of funds receivable from payment partners as set forth in the following table: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520" w:type="dxa"/>
            <w:vAlign w:val="bottom"/>
          </w:tcPr>
          <w:p>
            <w:pPr>
              <w:spacing w:after="0"/>
              <w:rPr>
                <w:sz w:val="17"/>
                <w:szCs w:val="17"/>
                <w:color w:val="auto"/>
              </w:rPr>
            </w:pPr>
          </w:p>
        </w:tc>
        <w:tc>
          <w:tcPr>
            <w:tcW w:w="244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9"/>
              </w:rPr>
              <w:t>December 31,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March 31,</w:t>
            </w:r>
          </w:p>
        </w:tc>
      </w:tr>
      <w:tr>
        <w:trPr>
          <w:trHeight w:val="225"/>
        </w:trPr>
        <w:tc>
          <w:tcPr>
            <w:tcW w:w="75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Partner A</w:t>
            </w:r>
          </w:p>
        </w:tc>
        <w:tc>
          <w:tcPr>
            <w:tcW w:w="2440" w:type="dxa"/>
            <w:vAlign w:val="bottom"/>
            <w:gridSpan w:val="2"/>
            <w:shd w:val="clear" w:color="auto" w:fill="CCEEFF"/>
          </w:tcPr>
          <w:p>
            <w:pPr>
              <w:jc w:val="right"/>
              <w:ind w:right="1100"/>
              <w:spacing w:after="0" w:line="196" w:lineRule="exact"/>
              <w:rPr>
                <w:sz w:val="20"/>
                <w:szCs w:val="20"/>
                <w:color w:val="auto"/>
              </w:rPr>
            </w:pPr>
            <w:r>
              <w:rPr>
                <w:rFonts w:ascii="Arial" w:cs="Arial" w:eastAsia="Arial" w:hAnsi="Arial"/>
                <w:sz w:val="18"/>
                <w:szCs w:val="18"/>
                <w:color w:val="auto"/>
              </w:rPr>
              <w:t>24%</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14%</w:t>
            </w: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Partner B</w:t>
            </w:r>
          </w:p>
        </w:tc>
        <w:tc>
          <w:tcPr>
            <w:tcW w:w="2440" w:type="dxa"/>
            <w:vAlign w:val="bottom"/>
            <w:gridSpan w:val="2"/>
          </w:tcPr>
          <w:p>
            <w:pPr>
              <w:jc w:val="right"/>
              <w:ind w:right="1100"/>
              <w:spacing w:after="0" w:line="202" w:lineRule="exact"/>
              <w:rPr>
                <w:sz w:val="20"/>
                <w:szCs w:val="20"/>
                <w:color w:val="auto"/>
              </w:rPr>
            </w:pPr>
            <w:r>
              <w:rPr>
                <w:rFonts w:ascii="Arial" w:cs="Arial" w:eastAsia="Arial" w:hAnsi="Arial"/>
                <w:sz w:val="18"/>
                <w:szCs w:val="18"/>
                <w:color w:val="auto"/>
              </w:rPr>
              <w:t>12%</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w:t>
            </w: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Partner C</w:t>
            </w:r>
          </w:p>
        </w:tc>
        <w:tc>
          <w:tcPr>
            <w:tcW w:w="2440" w:type="dxa"/>
            <w:vAlign w:val="bottom"/>
            <w:gridSpan w:val="2"/>
            <w:shd w:val="clear" w:color="auto" w:fill="CCEEFF"/>
          </w:tcPr>
          <w:p>
            <w:pPr>
              <w:jc w:val="right"/>
              <w:ind w:right="1100"/>
              <w:spacing w:after="0" w:line="202" w:lineRule="exact"/>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17"/>
        </w:trPr>
        <w:tc>
          <w:tcPr>
            <w:tcW w:w="7520" w:type="dxa"/>
            <w:vAlign w:val="bottom"/>
          </w:tcPr>
          <w:p>
            <w:pPr>
              <w:spacing w:after="0"/>
              <w:rPr>
                <w:sz w:val="20"/>
                <w:szCs w:val="20"/>
                <w:color w:val="auto"/>
              </w:rPr>
            </w:pPr>
            <w:r>
              <w:rPr>
                <w:rFonts w:ascii="Arial" w:cs="Arial" w:eastAsia="Arial" w:hAnsi="Arial"/>
                <w:sz w:val="18"/>
                <w:szCs w:val="18"/>
                <w:color w:val="auto"/>
              </w:rPr>
              <w:t>Partner D</w:t>
            </w:r>
          </w:p>
        </w:tc>
        <w:tc>
          <w:tcPr>
            <w:tcW w:w="244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660" w:hanging="544"/>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Less than 10% of total balance.</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three months ended March 31, 2020 and 2021, no customers accounted for 10% or more of revenue.</w:t>
      </w:r>
    </w:p>
    <w:p>
      <w:pPr>
        <w:spacing w:after="0" w:line="212"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During the three months ended March 31, 2020, revenue from customers located outside of the United States in the aggregate accounted for 24.5% of the Company’s total revenue, with the United Kingdom accounting for 11.0%. No other countries accounted for 10% or more of total revenue for the three months ended March 31, 2020.</w:t>
      </w:r>
    </w:p>
    <w:p>
      <w:pPr>
        <w:spacing w:after="0" w:line="203"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During the three months ended March 31, 2021, revenue from customers located outside of the United States in the aggregate accounted for 25.4% of the Company’s total revenue, with Canada accounting for 12.3% and the United Kingdom accounting for 11.0%. No other countries accounted for 10% or more of total revenue for the three months ended March 31, 2021.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Company capitalizes certain legal, accounting and other third-party fees that are directly associated with in-process equity financings as deferred offering costs until such financings are consummated. After consummation of the equity financing, these costs are recorded in stockholder’s deficit as a reduction of the additional paid-in capital generated as a result of the offering. Should the planned equity financing be abandoned, the deferred offering costs will be expensed immediately as a charge to operating expenses in the consolidated statements of operations and comprehensive loss. As of December 31, 2020 and March 31, 2021, the Company had $0 and $2.3 million, respectively, of deferred offering costs recorded in other assets in the consolidated balance sheets. As of March 31, 2021, the Company had $2.1 million of deferred offering costs that are unpaid, of which $0.4 million was recorded in accounts payable and $1.7 million was recorded in accrued expenses and other current liabilities.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Developed for Internal Use</w:t>
      </w:r>
    </w:p>
    <w:p>
      <w:pPr>
        <w:spacing w:after="0" w:line="126"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The Company capitalizes costs related to internal-use software during the application development stage including third-party consulting costs and compensation expenses related to employees who devote time to the development of the projects. The Company records software development costs in property and equipment. Costs incurred in the preliminary stages of development activities and post implementation activities are expensed in the period incurred and they are included in technology and development expense in the consolidated statements of operations and comprehensive loss. The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Company also capitalizes costs related to specific upgrades and enhancements when it is probable the expenditures will result in additional functionality. Once the additional functionality is available for general use, capitalization ceases and the asset begins being amortized. The Company capitalized $1.8 million and $1.4 million in costs related to internal use software as of December 31, 2020 and March 31, 2021, respectively. The Company capitalized $0.4 million in costs related to internal use software during the three months ended March 31, 2020. Software developed for internal use is amortized straight-line over its estimated useful life of five years.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26"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Advertising costs are expensed as incurred and are included in selling and marketing expenses in the consolidated statements of operations and comprehensive loss. Advertising expenses were $0.3 million and $0.5 million for the three months ended March 31, 2020 and 2021,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26" w:lineRule="exact"/>
        <w:rPr>
          <w:sz w:val="20"/>
          <w:szCs w:val="20"/>
          <w:color w:val="auto"/>
        </w:rPr>
      </w:pPr>
    </w:p>
    <w:p>
      <w:pPr>
        <w:ind w:left="120" w:right="20" w:firstLine="440"/>
        <w:spacing w:after="0" w:line="234" w:lineRule="auto"/>
        <w:rPr>
          <w:sz w:val="20"/>
          <w:szCs w:val="20"/>
          <w:color w:val="auto"/>
        </w:rPr>
      </w:pPr>
      <w:r>
        <w:rPr>
          <w:rFonts w:ascii="Arial" w:cs="Arial" w:eastAsia="Arial" w:hAnsi="Arial"/>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w:t>
      </w:r>
    </w:p>
    <w:p>
      <w:pPr>
        <w:spacing w:after="0" w:line="2" w:lineRule="exact"/>
        <w:rPr>
          <w:sz w:val="20"/>
          <w:szCs w:val="20"/>
          <w:color w:val="auto"/>
        </w:rPr>
      </w:pPr>
    </w:p>
    <w:p>
      <w:pPr>
        <w:ind w:left="120" w:right="760"/>
        <w:spacing w:after="0" w:line="274" w:lineRule="auto"/>
        <w:rPr>
          <w:sz w:val="20"/>
          <w:szCs w:val="20"/>
          <w:color w:val="auto"/>
        </w:rPr>
      </w:pPr>
      <w:r>
        <w:rPr>
          <w:rFonts w:ascii="Arial" w:cs="Arial" w:eastAsia="Arial" w:hAnsi="Arial"/>
          <w:sz w:val="17"/>
          <w:szCs w:val="17"/>
          <w:color w:val="auto"/>
        </w:rPr>
        <w:t>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75"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income attributable to common stockholders for the three months ended March 31, 2020 and a net loss for the three months ended March 31 2021. For the three months ended March 31, 2021, net loss per share attributable to common stockholders was the same as diluted net loss per share attributable to common stockholders.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26"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8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 (“ASU 2016-02”</w:t>
      </w:r>
      <w:r>
        <w:rPr>
          <w:rFonts w:ascii="Arial" w:cs="Arial" w:eastAsia="Arial" w:hAnsi="Arial"/>
          <w:sz w:val="18"/>
          <w:szCs w:val="18"/>
          <w:color w:val="auto"/>
        </w:rPr>
        <w:t xml:space="preserve"> or “the new lease standard”). The new lease standard sets out the principles for the recognition, measurement, presentation and disclosure of leases for both parties to a contract (i.e., lessees and lessors). The standard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or on a straight-line basis over the term of the lease. In addition, a lessee is required to record (i) a right-of-use asset and a lease liability on its balance sheet for all leases with accounting lease terms of more than 12 months regardless of whether it is an operating or financing lease and (ii) lease expense for operating leases and amortization and interest expense for financing leases. Leases with a term of 12 months or less may be accounted for similar to prior guidance for operating leases. In July 2018, the FASB issued ASU No. 2018-11, which added an optional transition method under the new lease standard that allows companies to adopt the standard as of the beginning of the year of adoption as opposed to the earliest comparative period presented. In November 2019, the FASB issued guidance delaying the effective date for all entities, except for public business entities. For public entities, this guidance was effective for annual periods beginning after December 15, 2018, including interim periods within those fiscal years. For nonpublic entities, this guidance is effective for annual periods beginning after December 15, 2020. In May 2020, FASB issued ASU No. 2020-05 delaying the effective date of the new lease standard for nonpublic companies to fiscal years beginning after December 15, 2021 and interim periods within those fiscal years beginning after December 15, 2022. The Company expects to adopt this guidance effective January 1, 2022 and it is currently evaluating the impact on its consolidated financial statements and related disclosures.</w:t>
      </w:r>
    </w:p>
    <w:p>
      <w:pPr>
        <w:spacing w:after="0" w:line="184"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 xml:space="preserve">In May 2019, the FASB issued ASU No.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which introduces a new accounting model for recognizing credit losses on most financial instruments based on an estimate of current expected credit losses. ASU 2019-05 is effective for annual periods beginning after December 15, 2019. In April 2020, the FASB extended the adoption period allowing companies to adopt this ASU for annual periods beginning after December 15, 2021. The Company is currently evaluating the impact on its consolidated financial statements.</w:t>
      </w:r>
    </w:p>
    <w:p>
      <w:pPr>
        <w:spacing w:after="0" w:line="185"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simplifies the accounting for income taxes by removing certain exceptions for intra period tax allocations and deferred tax liabilities for equity method investments and adds guidance on whether a step -up in tax basis of goodwill relates to a business combination or a separate transaction. This ASU is effective for fiscal years beginning after December 15, 2020 for public companies and for fiscal years beginning after December 15, 2021 for nonpublic companies, with early adoption permitted. The Company expects to adopt this guidance effective January 1, 2022 and it is currently evaluating the impact on its consolidated financial statements and related disclosures.</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00"/>
          </w:cols>
          <w:pgMar w:left="320" w:top="459" w:right="4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1"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Contracts in Entity’s Own Equity (Subtopic 815-40) (“ASU 2020-06”</w:t>
      </w:r>
      <w:r>
        <w:rPr>
          <w:rFonts w:ascii="Arial" w:cs="Arial" w:eastAsia="Arial" w:hAnsi="Arial"/>
          <w:sz w:val="18"/>
          <w:szCs w:val="18"/>
          <w:color w:val="auto"/>
        </w:rPr>
        <w:t>), which reduces the number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models for convertible debt instruments and convertible preferred stock as well as amends the derivatives scope exception for contracts in an entity’s own equity. The standard is effective for the Company on January 1, 2024, with early adoption permitted. The Company is currently evaluating the potential impact that this standard may have on its consolidated financial statements and related disclosures.</w:t>
      </w:r>
    </w:p>
    <w:p>
      <w:pPr>
        <w:spacing w:after="0" w:line="329" w:lineRule="exact"/>
        <w:rPr>
          <w:sz w:val="20"/>
          <w:szCs w:val="20"/>
          <w:color w:val="auto"/>
        </w:rPr>
      </w:pPr>
    </w:p>
    <w:p>
      <w:pPr>
        <w:ind w:left="660" w:hanging="544"/>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Recognition</w:t>
      </w:r>
    </w:p>
    <w:p>
      <w:pPr>
        <w:spacing w:after="0" w:line="126"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The following tables present revenue disaggregated by geographical area and major solutions. The categorization of revenue by geographical location is determined based on location of where the Client resides.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90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02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0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Primary geographical markets</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United States (“U.S.”)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24,687</w:t>
            </w:r>
          </w:p>
        </w:tc>
        <w:tc>
          <w:tcPr>
            <w:tcW w:w="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33,574</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3,211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5,516</w:t>
            </w:r>
          </w:p>
        </w:tc>
        <w:tc>
          <w:tcPr>
            <w:tcW w:w="0" w:type="dxa"/>
            <w:vAlign w:val="bottom"/>
          </w:tcPr>
          <w:p>
            <w:pPr>
              <w:spacing w:after="0"/>
              <w:rPr>
                <w:sz w:val="1"/>
                <w:szCs w:val="1"/>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United Kingdom (“U.K.”)</w:t>
            </w:r>
          </w:p>
        </w:tc>
        <w:tc>
          <w:tcPr>
            <w:tcW w:w="16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3,588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Countries</w:t>
            </w:r>
            <w:r>
              <w:rPr>
                <w:rFonts w:ascii="Arial" w:cs="Arial" w:eastAsia="Arial" w:hAnsi="Arial"/>
                <w:sz w:val="15"/>
                <w:szCs w:val="15"/>
                <w:color w:val="auto"/>
              </w:rPr>
              <w:t>1</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1,223</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32,709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44,991</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Major solutions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Transactions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25,217</w:t>
            </w:r>
          </w:p>
        </w:tc>
        <w:tc>
          <w:tcPr>
            <w:tcW w:w="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32,434</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Platform and usage-based fees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7,492</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12,557</w:t>
            </w:r>
          </w:p>
        </w:tc>
        <w:tc>
          <w:tcPr>
            <w:tcW w:w="0" w:type="dxa"/>
            <w:vAlign w:val="bottom"/>
          </w:tcPr>
          <w:p>
            <w:pPr>
              <w:spacing w:after="0"/>
              <w:rPr>
                <w:sz w:val="1"/>
                <w:szCs w:val="1"/>
                <w:color w:val="auto"/>
              </w:rPr>
            </w:pPr>
          </w:p>
        </w:tc>
      </w:tr>
      <w:tr>
        <w:trPr>
          <w:trHeight w:val="210"/>
        </w:trPr>
        <w:tc>
          <w:tcPr>
            <w:tcW w:w="9020" w:type="dxa"/>
            <w:vAlign w:val="bottom"/>
          </w:tcPr>
          <w:p>
            <w:pPr>
              <w:ind w:left="36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32,709</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660" w:hanging="544"/>
        <w:spacing w:after="0"/>
        <w:tabs>
          <w:tab w:leader="none" w:pos="660" w:val="left"/>
        </w:tabs>
        <w:numPr>
          <w:ilvl w:val="0"/>
          <w:numId w:val="162"/>
        </w:numPr>
        <w:rPr>
          <w:rFonts w:ascii="Arial" w:cs="Arial" w:eastAsia="Arial" w:hAnsi="Arial"/>
          <w:sz w:val="15"/>
          <w:szCs w:val="15"/>
          <w:color w:val="auto"/>
        </w:rPr>
      </w:pPr>
      <w:r>
        <w:rPr>
          <w:rFonts w:ascii="Arial" w:cs="Arial" w:eastAsia="Arial" w:hAnsi="Arial"/>
          <w:sz w:val="18"/>
          <w:szCs w:val="18"/>
          <w:color w:val="auto"/>
        </w:rPr>
        <w:t>No single country included in the other countries category generated 10% or more of total revenue.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 from Contracts with Customers</w:t>
      </w:r>
    </w:p>
    <w:p>
      <w:pPr>
        <w:spacing w:after="0" w:line="126"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The following table provides information about accounts receivable, unbilled receivables and deferred revenue from contracts with customers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5920" w:type="dxa"/>
            <w:vAlign w:val="bottom"/>
          </w:tcPr>
          <w:p>
            <w:pPr>
              <w:spacing w:after="0"/>
              <w:rPr>
                <w:sz w:val="15"/>
                <w:szCs w:val="15"/>
                <w:color w:val="auto"/>
              </w:rPr>
            </w:pPr>
          </w:p>
        </w:tc>
        <w:tc>
          <w:tcPr>
            <w:tcW w:w="378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5"/>
                <w:szCs w:val="15"/>
                <w:color w:val="auto"/>
              </w:rPr>
            </w:pPr>
          </w:p>
        </w:tc>
        <w:tc>
          <w:tcPr>
            <w:tcW w:w="680" w:type="dxa"/>
            <w:vAlign w:val="bottom"/>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r>
      <w:tr>
        <w:trPr>
          <w:trHeight w:val="196"/>
        </w:trPr>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Accounts receivable, net of allowances</w:t>
            </w:r>
          </w:p>
        </w:tc>
        <w:tc>
          <w:tcPr>
            <w:tcW w:w="28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11,573</w:t>
            </w:r>
          </w:p>
        </w:tc>
        <w:tc>
          <w:tcPr>
            <w:tcW w:w="5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$ 11,470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Unbilled receivables</w:t>
            </w:r>
          </w:p>
        </w:tc>
        <w:tc>
          <w:tcPr>
            <w:tcW w:w="436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1,698</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618</w:t>
            </w: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revenue—current</w:t>
            </w:r>
          </w:p>
        </w:tc>
        <w:tc>
          <w:tcPr>
            <w:tcW w:w="436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1,227</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884</w:t>
            </w:r>
          </w:p>
        </w:tc>
      </w:tr>
      <w:tr>
        <w:trPr>
          <w:trHeight w:val="217"/>
        </w:trPr>
        <w:tc>
          <w:tcPr>
            <w:tcW w:w="5920" w:type="dxa"/>
            <w:vAlign w:val="bottom"/>
          </w:tcPr>
          <w:p>
            <w:pPr>
              <w:spacing w:after="0"/>
              <w:rPr>
                <w:sz w:val="20"/>
                <w:szCs w:val="20"/>
                <w:color w:val="auto"/>
              </w:rPr>
            </w:pPr>
            <w:r>
              <w:rPr>
                <w:rFonts w:ascii="Arial" w:cs="Arial" w:eastAsia="Arial" w:hAnsi="Arial"/>
                <w:sz w:val="18"/>
                <w:szCs w:val="18"/>
                <w:color w:val="auto"/>
              </w:rPr>
              <w:t>Deferred revenue—non-current</w:t>
            </w:r>
          </w:p>
        </w:tc>
        <w:tc>
          <w:tcPr>
            <w:tcW w:w="4360" w:type="dxa"/>
            <w:vAlign w:val="bottom"/>
            <w:gridSpan w:val="3"/>
          </w:tcPr>
          <w:p>
            <w:pPr>
              <w:jc w:val="right"/>
              <w:ind w:right="580"/>
              <w:spacing w:after="0"/>
              <w:rPr>
                <w:sz w:val="20"/>
                <w:szCs w:val="20"/>
                <w:color w:val="auto"/>
              </w:rPr>
            </w:pPr>
            <w:r>
              <w:rPr>
                <w:rFonts w:ascii="Arial" w:cs="Arial" w:eastAsia="Arial" w:hAnsi="Arial"/>
                <w:sz w:val="18"/>
                <w:szCs w:val="18"/>
                <w:color w:val="auto"/>
              </w:rPr>
              <w:t>108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bl>
    <w:p>
      <w:pPr>
        <w:spacing w:after="0" w:line="201"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For the three months ended March 31, 2020 and 2021, the Company recognized $0.5 million and $0.6 million of revenue from amounts that were included in deferred revenue as of December 31, 2019 and 2020.</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660" w:hanging="544"/>
        <w:spacing w:after="0"/>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Changes in the allowance for doubtful accounts for the three months ended March 31, 2020 and the three months ended March 31, 2021 were as follows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900" w:type="dxa"/>
            <w:vAlign w:val="bottom"/>
          </w:tcPr>
          <w:p>
            <w:pPr>
              <w:spacing w:after="0"/>
              <w:rPr>
                <w:sz w:val="14"/>
                <w:szCs w:val="1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Three</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Three</w:t>
            </w:r>
          </w:p>
        </w:tc>
      </w:tr>
      <w:tr>
        <w:trPr>
          <w:trHeight w:val="162"/>
        </w:trPr>
        <w:tc>
          <w:tcPr>
            <w:tcW w:w="8900" w:type="dxa"/>
            <w:vAlign w:val="bottom"/>
          </w:tcPr>
          <w:p>
            <w:pPr>
              <w:spacing w:after="0"/>
              <w:rPr>
                <w:sz w:val="14"/>
                <w:szCs w:val="1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Months</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Months</w:t>
            </w:r>
          </w:p>
        </w:tc>
      </w:tr>
      <w:tr>
        <w:trPr>
          <w:trHeight w:val="162"/>
        </w:trPr>
        <w:tc>
          <w:tcPr>
            <w:tcW w:w="8900" w:type="dxa"/>
            <w:vAlign w:val="bottom"/>
          </w:tcPr>
          <w:p>
            <w:pPr>
              <w:spacing w:after="0"/>
              <w:rPr>
                <w:sz w:val="14"/>
                <w:szCs w:val="1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Ended</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w:t>
            </w:r>
          </w:p>
        </w:tc>
      </w:tr>
      <w:tr>
        <w:trPr>
          <w:trHeight w:val="162"/>
        </w:trPr>
        <w:tc>
          <w:tcPr>
            <w:tcW w:w="890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March 31,</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9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 at the beginning of the period</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(298)</w:t>
            </w: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Write-offs, net of recoveries</w:t>
            </w: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386</w:t>
            </w:r>
          </w:p>
        </w:tc>
      </w:tr>
      <w:tr>
        <w:trPr>
          <w:trHeight w:val="20"/>
        </w:trPr>
        <w:tc>
          <w:tcPr>
            <w:tcW w:w="8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900" w:type="dxa"/>
            <w:vAlign w:val="bottom"/>
          </w:tcPr>
          <w:p>
            <w:pPr>
              <w:spacing w:after="0"/>
              <w:rPr>
                <w:sz w:val="20"/>
                <w:szCs w:val="20"/>
                <w:color w:val="auto"/>
              </w:rPr>
            </w:pPr>
            <w:r>
              <w:rPr>
                <w:rFonts w:ascii="Arial" w:cs="Arial" w:eastAsia="Arial" w:hAnsi="Arial"/>
                <w:sz w:val="18"/>
                <w:szCs w:val="18"/>
                <w:color w:val="auto"/>
              </w:rPr>
              <w:t>Allowance for doubtful accounts at the end of the period</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(298)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r>
      <w:tr>
        <w:trPr>
          <w:trHeight w:val="20"/>
        </w:trPr>
        <w:tc>
          <w:tcPr>
            <w:tcW w:w="8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6"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rPr>
              <w:t>Fair Value Measurements as of December 31, 2020 Using:</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53"/>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14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line="202" w:lineRule="exact"/>
              <w:rPr>
                <w:sz w:val="20"/>
                <w:szCs w:val="20"/>
                <w:color w:val="auto"/>
              </w:rPr>
            </w:pPr>
            <w:r>
              <w:rPr>
                <w:rFonts w:ascii="Arial" w:cs="Arial" w:eastAsia="Arial" w:hAnsi="Arial"/>
                <w:sz w:val="18"/>
                <w:szCs w:val="18"/>
                <w:color w:val="auto"/>
              </w:rPr>
              <w:t>Foreign exchange contracts</w:t>
            </w:r>
          </w:p>
        </w:tc>
        <w:tc>
          <w:tcPr>
            <w:tcW w:w="1420" w:type="dxa"/>
            <w:vAlign w:val="bottom"/>
          </w:tcPr>
          <w:p>
            <w:pPr>
              <w:spacing w:after="0"/>
              <w:rPr>
                <w:sz w:val="18"/>
                <w:szCs w:val="18"/>
                <w:color w:val="auto"/>
              </w:rPr>
            </w:pPr>
          </w:p>
        </w:tc>
        <w:tc>
          <w:tcPr>
            <w:tcW w:w="740" w:type="dxa"/>
            <w:vAlign w:val="bottom"/>
            <w:tcBorders>
              <w:bottom w:val="single" w:sz="8" w:color="auto"/>
            </w:tcBorders>
          </w:tcPr>
          <w:p>
            <w:pPr>
              <w:jc w:val="right"/>
              <w:ind w:right="557"/>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760" w:type="dxa"/>
            <w:vAlign w:val="bottom"/>
            <w:tcBorders>
              <w:bottom w:val="single" w:sz="8" w:color="auto"/>
            </w:tcBorders>
          </w:tcPr>
          <w:p>
            <w:pPr>
              <w:jc w:val="right"/>
              <w:ind w:right="577"/>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557"/>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77"/>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54</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1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2160" w:type="dxa"/>
            <w:vAlign w:val="bottom"/>
            <w:gridSpan w:val="2"/>
            <w:shd w:val="clear" w:color="auto" w:fill="CCEEFF"/>
          </w:tcPr>
          <w:p>
            <w:pPr>
              <w:jc w:val="right"/>
              <w:ind w:right="557"/>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77"/>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1,932</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0"/>
        </w:trPr>
        <w:tc>
          <w:tcPr>
            <w:tcW w:w="390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14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12,500</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57"/>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77"/>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14,432</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14,432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rPr>
              <w:t>Fair Value Measurements as of March 31, 2021 Using:</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53"/>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14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line="202" w:lineRule="exact"/>
              <w:rPr>
                <w:sz w:val="20"/>
                <w:szCs w:val="20"/>
                <w:color w:val="auto"/>
              </w:rPr>
            </w:pPr>
            <w:r>
              <w:rPr>
                <w:rFonts w:ascii="Arial" w:cs="Arial" w:eastAsia="Arial" w:hAnsi="Arial"/>
                <w:sz w:val="18"/>
                <w:szCs w:val="18"/>
                <w:color w:val="auto"/>
              </w:rPr>
              <w:t>Foreign exchange contracts</w:t>
            </w:r>
          </w:p>
        </w:tc>
        <w:tc>
          <w:tcPr>
            <w:tcW w:w="1420" w:type="dxa"/>
            <w:vAlign w:val="bottom"/>
          </w:tcPr>
          <w:p>
            <w:pPr>
              <w:spacing w:after="0"/>
              <w:rPr>
                <w:sz w:val="18"/>
                <w:szCs w:val="18"/>
                <w:color w:val="auto"/>
              </w:rPr>
            </w:pPr>
          </w:p>
        </w:tc>
        <w:tc>
          <w:tcPr>
            <w:tcW w:w="740" w:type="dxa"/>
            <w:vAlign w:val="bottom"/>
            <w:tcBorders>
              <w:bottom w:val="single" w:sz="8" w:color="auto"/>
            </w:tcBorders>
          </w:tcPr>
          <w:p>
            <w:pPr>
              <w:jc w:val="right"/>
              <w:ind w:right="557"/>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760" w:type="dxa"/>
            <w:vAlign w:val="bottom"/>
            <w:tcBorders>
              <w:bottom w:val="single" w:sz="8" w:color="auto"/>
            </w:tcBorders>
          </w:tcPr>
          <w:p>
            <w:pPr>
              <w:jc w:val="right"/>
              <w:ind w:right="577"/>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557"/>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77"/>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7</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1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2160" w:type="dxa"/>
            <w:vAlign w:val="bottom"/>
            <w:gridSpan w:val="2"/>
            <w:shd w:val="clear" w:color="auto" w:fill="CCEEFF"/>
          </w:tcPr>
          <w:p>
            <w:pPr>
              <w:jc w:val="right"/>
              <w:ind w:right="557"/>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77"/>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2,886</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09"/>
        </w:trPr>
        <w:tc>
          <w:tcPr>
            <w:tcW w:w="390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14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5,465</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557"/>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77"/>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8,351</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8,351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three months ended March 31, 2020 and 2021, there were no transfers between Level 1, Level 2 or Level 3.</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26"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The preferred stock warrant liability in the table above consists of the fair value of warrants to purchase convertible preferred stock (refer to Note 13). The fair value of the preferred stock warrant liability was determined using significant inputs not observable in the market, which represent a Level 3 measurement within the fair value hierarchy.</w:t>
      </w:r>
    </w:p>
    <w:p>
      <w:pPr>
        <w:spacing w:after="0" w:line="203"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The table below summarizes the weighted average of the most significant inputs used to fair value the preferred stock warrant liability during the three months ended March 31, 2020 and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19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rPr>
              <w:t>Three Months</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7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Ended</w:t>
            </w:r>
          </w:p>
        </w:tc>
      </w:tr>
      <w:tr>
        <w:trPr>
          <w:trHeight w:val="162"/>
        </w:trPr>
        <w:tc>
          <w:tcPr>
            <w:tcW w:w="7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7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r>
      <w:tr>
        <w:trPr>
          <w:trHeight w:val="196"/>
        </w:trPr>
        <w:tc>
          <w:tcPr>
            <w:tcW w:w="7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preferred stock</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16.37</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26.88</w:t>
            </w:r>
          </w:p>
        </w:tc>
        <w:tc>
          <w:tcPr>
            <w:tcW w:w="220" w:type="dxa"/>
            <w:vAlign w:val="bottom"/>
            <w:shd w:val="clear" w:color="auto" w:fill="CCEEFF"/>
          </w:tcPr>
          <w:p>
            <w:pPr>
              <w:spacing w:after="0"/>
              <w:rPr>
                <w:sz w:val="17"/>
                <w:szCs w:val="17"/>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20" w:type="dxa"/>
            <w:vAlign w:val="bottom"/>
          </w:tcPr>
          <w:p>
            <w:pPr>
              <w:spacing w:after="0"/>
              <w:rPr>
                <w:sz w:val="17"/>
                <w:szCs w:val="17"/>
                <w:color w:val="auto"/>
              </w:rPr>
            </w:pPr>
          </w:p>
        </w:tc>
        <w:tc>
          <w:tcPr>
            <w:tcW w:w="180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0.55%</w:t>
            </w:r>
          </w:p>
        </w:tc>
        <w:tc>
          <w:tcPr>
            <w:tcW w:w="1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1.40%</w:t>
            </w: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45.0%</w:t>
            </w: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20" w:type="dxa"/>
            <w:vAlign w:val="bottom"/>
          </w:tcPr>
          <w:p>
            <w:pPr>
              <w:spacing w:after="0"/>
              <w:rPr>
                <w:sz w:val="17"/>
                <w:szCs w:val="17"/>
                <w:color w:val="auto"/>
              </w:rPr>
            </w:pPr>
          </w:p>
        </w:tc>
        <w:tc>
          <w:tcPr>
            <w:tcW w:w="180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contractual term</w:t>
            </w:r>
          </w:p>
        </w:tc>
        <w:tc>
          <w:tcPr>
            <w:tcW w:w="1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980"/>
              <w:spacing w:after="0" w:line="202" w:lineRule="exact"/>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unobservable inputs incorporated into the valuation of contingent consideration: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848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r>
      <w:tr>
        <w:trPr>
          <w:trHeight w:val="162"/>
        </w:trPr>
        <w:tc>
          <w:tcPr>
            <w:tcW w:w="848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March 31,</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4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12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8.15%</w:t>
            </w: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Probability of successful achievement *</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9"/>
              </w:rPr>
              <w:t>80% - 99%</w:t>
            </w:r>
          </w:p>
        </w:tc>
        <w:tc>
          <w:tcPr>
            <w:tcW w:w="1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0% - 100%</w:t>
            </w:r>
          </w:p>
        </w:tc>
      </w:tr>
      <w:tr>
        <w:trPr>
          <w:trHeight w:val="202"/>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Performance period</w:t>
            </w:r>
          </w:p>
        </w:tc>
        <w:tc>
          <w:tcPr>
            <w:tcW w:w="132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rPr>
              <w:t>2 years</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1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440" w:hanging="324"/>
        <w:spacing w:after="0"/>
        <w:tabs>
          <w:tab w:leader="none" w:pos="4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Probability of successful achievement was set at different targets based on the Company’s best estimates on achieving them.</w:t>
      </w:r>
    </w:p>
    <w:p>
      <w:pPr>
        <w:spacing w:after="0" w:line="212"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Increases or decreases in any of the probabilities of success in which revenue targets are expected to be achieved would result in a higher or lower fair value measurement, respectively. Increases or decreases in the discount rate would result in a lower or higher fair value measurement, respectively.</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changes in the carrying value of the contingent consideration for the three months ended</w:t>
      </w:r>
    </w:p>
    <w:p>
      <w:pPr>
        <w:ind w:left="120"/>
        <w:spacing w:after="0"/>
        <w:rPr>
          <w:sz w:val="20"/>
          <w:szCs w:val="20"/>
          <w:color w:val="auto"/>
        </w:rPr>
      </w:pPr>
      <w:r>
        <w:rPr>
          <w:rFonts w:ascii="Arial" w:cs="Arial" w:eastAsia="Arial" w:hAnsi="Arial"/>
          <w:sz w:val="18"/>
          <w:szCs w:val="18"/>
          <w:color w:val="auto"/>
        </w:rPr>
        <w:t>March 31, 2020 and 2021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4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March 31, 2020</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March 31, 2021</w:t>
            </w: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2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w:t>
            </w:r>
          </w:p>
        </w:tc>
        <w:tc>
          <w:tcPr>
            <w:tcW w:w="5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7,100</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w:t>
            </w:r>
          </w:p>
        </w:tc>
        <w:tc>
          <w:tcPr>
            <w:tcW w:w="2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(300)</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Contingent consideration paid</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(2,000)</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(7,012)</w:t>
            </w:r>
          </w:p>
        </w:tc>
      </w:tr>
      <w:tr>
        <w:trPr>
          <w:trHeight w:val="27"/>
        </w:trPr>
        <w:tc>
          <w:tcPr>
            <w:tcW w:w="4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2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6,800</w:t>
            </w:r>
          </w:p>
        </w:tc>
        <w:tc>
          <w:tcPr>
            <w:tcW w:w="5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5,465</w:t>
            </w:r>
          </w:p>
        </w:tc>
      </w:tr>
      <w:tr>
        <w:trPr>
          <w:trHeight w:val="20"/>
        </w:trPr>
        <w:tc>
          <w:tcPr>
            <w:tcW w:w="46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7" w:lineRule="exact"/>
        <w:rPr>
          <w:sz w:val="20"/>
          <w:szCs w:val="20"/>
          <w:color w:val="auto"/>
        </w:rPr>
      </w:pPr>
    </w:p>
    <w:p>
      <w:pPr>
        <w:jc w:val="both"/>
        <w:ind w:left="540" w:right="100" w:hanging="424"/>
        <w:spacing w:after="0" w:line="249" w:lineRule="auto"/>
        <w:tabs>
          <w:tab w:leader="none" w:pos="54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 Amounts of $0.7 million paid in excess of fair value initially recorded in purchase accounting were classified as operating cash flows in the Consolidated Statements of Cash Flows during the three months ended March 31, 2020. Amounts of $3.2 million paid in excess of the fair value initially recorded in purchase accounting were classified as operating cash flows in the Consolidated Statements of Cash Flows during the three months ended March 31, 2021.</w:t>
      </w:r>
    </w:p>
    <w:p>
      <w:pPr>
        <w:spacing w:after="0" w:line="322" w:lineRule="exact"/>
        <w:rPr>
          <w:sz w:val="20"/>
          <w:szCs w:val="20"/>
          <w:color w:val="auto"/>
        </w:rPr>
      </w:pPr>
    </w:p>
    <w:p>
      <w:pPr>
        <w:ind w:left="660" w:hanging="544"/>
        <w:spacing w:after="0"/>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December 31, 2020 and March 31, 2021, respectively, the Company had 3,647 and 2,544 open foreign exchange contracts. As of December 31, 2020 and March 31, 2021, the Company had foreign currency forward contracts outstanding with a notional amount of $11.8 million and $11.5 million, respectively.</w:t>
      </w:r>
    </w:p>
    <w:p>
      <w:pPr>
        <w:spacing w:after="0" w:line="208" w:lineRule="exact"/>
        <w:rPr>
          <w:sz w:val="20"/>
          <w:szCs w:val="20"/>
          <w:color w:val="auto"/>
        </w:rPr>
      </w:pPr>
    </w:p>
    <w:p>
      <w:pPr>
        <w:ind w:left="120" w:right="300" w:firstLine="440"/>
        <w:spacing w:after="0" w:line="248" w:lineRule="auto"/>
        <w:rPr>
          <w:sz w:val="20"/>
          <w:szCs w:val="20"/>
          <w:color w:val="auto"/>
        </w:rPr>
      </w:pPr>
      <w:r>
        <w:rPr>
          <w:rFonts w:ascii="Arial" w:cs="Arial" w:eastAsia="Arial" w:hAnsi="Arial"/>
          <w:sz w:val="17"/>
          <w:szCs w:val="17"/>
          <w:color w:val="auto"/>
        </w:rPr>
        <w:t>The Company records all derivative instruments in the consolidated balance sheets at their fair values. As of December 31, 2020, the Company recorded a liability of less than $0.1 million and as of March 31, 2021, the Company recorded an asset of less than</w:t>
      </w:r>
    </w:p>
    <w:p>
      <w:pPr>
        <w:spacing w:after="0" w:line="1"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$0.1 million related to outstanding foreign exchange contracts. The Company recognized a gain of less than $0.1 million during both the three months ended March 31, 2020 and 2021, which was included as a component of general and administrative expense within the consolidated statements of operations and comprehensive loss.</w:t>
      </w:r>
    </w:p>
    <w:p>
      <w:pPr>
        <w:spacing w:after="0" w:line="329" w:lineRule="exact"/>
        <w:rPr>
          <w:sz w:val="20"/>
          <w:szCs w:val="20"/>
          <w:color w:val="auto"/>
        </w:rPr>
      </w:pPr>
    </w:p>
    <w:p>
      <w:pPr>
        <w:ind w:left="660" w:hanging="544"/>
        <w:spacing w:after="0"/>
        <w:tabs>
          <w:tab w:leader="none" w:pos="6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7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employee compensation and related taxes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9,371</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5,479</w:t>
            </w:r>
          </w:p>
        </w:tc>
        <w:tc>
          <w:tcPr>
            <w:tcW w:w="60" w:type="dxa"/>
            <w:vAlign w:val="bottom"/>
            <w:shd w:val="clear" w:color="auto" w:fill="CCEEFF"/>
          </w:tcPr>
          <w:p>
            <w:pPr>
              <w:spacing w:after="0"/>
              <w:rPr>
                <w:sz w:val="17"/>
                <w:szCs w:val="17"/>
                <w:color w:val="auto"/>
              </w:rPr>
            </w:pPr>
          </w:p>
        </w:tc>
      </w:tr>
      <w:tr>
        <w:trPr>
          <w:trHeight w:val="203"/>
        </w:trPr>
        <w:tc>
          <w:tcPr>
            <w:tcW w:w="8760" w:type="dxa"/>
            <w:vAlign w:val="bottom"/>
          </w:tcPr>
          <w:p>
            <w:pPr>
              <w:spacing w:after="0" w:line="202" w:lineRule="exact"/>
              <w:rPr>
                <w:sz w:val="20"/>
                <w:szCs w:val="20"/>
                <w:color w:val="auto"/>
              </w:rPr>
            </w:pPr>
            <w:r>
              <w:rPr>
                <w:rFonts w:ascii="Arial" w:cs="Arial" w:eastAsia="Arial" w:hAnsi="Arial"/>
                <w:sz w:val="18"/>
                <w:szCs w:val="18"/>
                <w:color w:val="auto"/>
              </w:rPr>
              <w:t>Accrued vendor liabilities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2,542</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1,510</w:t>
            </w:r>
          </w:p>
        </w:tc>
      </w:tr>
      <w:tr>
        <w:trPr>
          <w:trHeight w:val="203"/>
        </w:trPr>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income taxes payable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1,027</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1,154</w:t>
            </w:r>
          </w:p>
        </w:tc>
      </w:tr>
      <w:tr>
        <w:trPr>
          <w:trHeight w:val="203"/>
        </w:trPr>
        <w:tc>
          <w:tcPr>
            <w:tcW w:w="8760" w:type="dxa"/>
            <w:vAlign w:val="bottom"/>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937</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2,353</w:t>
            </w:r>
          </w:p>
        </w:tc>
      </w:tr>
      <w:tr>
        <w:trPr>
          <w:trHeight w:val="203"/>
        </w:trPr>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expenses and current liabilities</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1,114</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2,108</w:t>
            </w:r>
          </w:p>
        </w:tc>
        <w:tc>
          <w:tcPr>
            <w:tcW w:w="60" w:type="dxa"/>
            <w:vAlign w:val="bottom"/>
            <w:shd w:val="clear" w:color="auto" w:fill="CCEEFF"/>
          </w:tcPr>
          <w:p>
            <w:pPr>
              <w:spacing w:after="0"/>
              <w:rPr>
                <w:sz w:val="17"/>
                <w:szCs w:val="17"/>
                <w:color w:val="auto"/>
              </w:rPr>
            </w:pPr>
          </w:p>
        </w:tc>
      </w:tr>
      <w:tr>
        <w:trPr>
          <w:trHeight w:val="209"/>
        </w:trPr>
        <w:tc>
          <w:tcPr>
            <w:tcW w:w="876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14,991</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12,604</w:t>
            </w:r>
          </w:p>
        </w:tc>
      </w:tr>
      <w:tr>
        <w:trPr>
          <w:trHeight w:val="20"/>
        </w:trPr>
        <w:tc>
          <w:tcPr>
            <w:tcW w:w="8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660" w:hanging="544"/>
        <w:spacing w:after="0"/>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 as of the dates presented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6320" w:type="dxa"/>
            <w:vAlign w:val="bottom"/>
            <w:tcBorders>
              <w:bottom w:val="single" w:sz="8" w:color="CCEEFF"/>
            </w:tcBorders>
          </w:tcPr>
          <w:p>
            <w:pPr>
              <w:spacing w:after="0"/>
              <w:rPr>
                <w:sz w:val="15"/>
                <w:szCs w:val="15"/>
                <w:color w:val="auto"/>
              </w:rPr>
            </w:pPr>
          </w:p>
        </w:tc>
        <w:tc>
          <w:tcPr>
            <w:tcW w:w="24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 equipment and software</w:t>
            </w:r>
          </w:p>
        </w:tc>
        <w:tc>
          <w:tcPr>
            <w:tcW w:w="24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1,521</w:t>
            </w:r>
          </w:p>
        </w:tc>
        <w:tc>
          <w:tcPr>
            <w:tcW w:w="120" w:type="dxa"/>
            <w:vAlign w:val="bottom"/>
            <w:shd w:val="clear" w:color="auto" w:fill="CCEEFF"/>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Internal use software</w:t>
            </w:r>
          </w:p>
        </w:tc>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1,779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3,175</w:t>
            </w: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2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687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630</w:t>
            </w:r>
          </w:p>
        </w:tc>
      </w:tr>
      <w:tr>
        <w:trPr>
          <w:trHeight w:val="209"/>
        </w:trPr>
        <w:tc>
          <w:tcPr>
            <w:tcW w:w="63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3,980</w:t>
            </w:r>
          </w:p>
        </w:tc>
        <w:tc>
          <w:tcPr>
            <w:tcW w:w="120" w:type="dxa"/>
            <w:vAlign w:val="bottom"/>
          </w:tcPr>
          <w:p>
            <w:pPr>
              <w:spacing w:after="0"/>
              <w:rPr>
                <w:sz w:val="18"/>
                <w:szCs w:val="18"/>
                <w:color w:val="auto"/>
              </w:rPr>
            </w:pPr>
          </w:p>
        </w:tc>
      </w:tr>
      <w:tr>
        <w:trPr>
          <w:trHeight w:val="203"/>
        </w:trPr>
        <w:tc>
          <w:tcPr>
            <w:tcW w:w="63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7,920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9,306</w:t>
            </w: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(2,819)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(3,222)</w:t>
            </w:r>
          </w:p>
        </w:tc>
      </w:tr>
      <w:tr>
        <w:trPr>
          <w:trHeight w:val="27"/>
        </w:trPr>
        <w:tc>
          <w:tcPr>
            <w:tcW w:w="6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320" w:type="dxa"/>
            <w:vAlign w:val="bottom"/>
            <w:shd w:val="clear" w:color="auto" w:fill="CCEEFF"/>
          </w:tcPr>
          <w:p>
            <w:pPr>
              <w:spacing w:after="0"/>
              <w:rPr>
                <w:sz w:val="17"/>
                <w:szCs w:val="17"/>
                <w:color w:val="auto"/>
              </w:rPr>
            </w:pPr>
          </w:p>
        </w:tc>
        <w:tc>
          <w:tcPr>
            <w:tcW w:w="262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5,101</w:t>
            </w:r>
          </w:p>
        </w:tc>
        <w:tc>
          <w:tcPr>
            <w:tcW w:w="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6,084</w:t>
            </w:r>
          </w:p>
        </w:tc>
      </w:tr>
      <w:tr>
        <w:trPr>
          <w:trHeight w:val="20"/>
        </w:trPr>
        <w:tc>
          <w:tcPr>
            <w:tcW w:w="6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Depreciation and amortization expense was $0.5 million and $0.4 million for the three months ended March 31, 2020 and 2021, respectively.</w:t>
      </w:r>
    </w:p>
    <w:p>
      <w:pPr>
        <w:spacing w:after="0" w:line="197"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There were no write offs of assets during the three months ended March 31, 2020. During the three-months ended March 31, 2021, the Company sold $0.1 million of property and equipment with accumulated depreciation of $0.1 million. The company recognized a gain on the sale of the fixed assets of less than $0.1 million.</w:t>
      </w:r>
    </w:p>
    <w:p>
      <w:pPr>
        <w:spacing w:after="0" w:line="203"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As of December 31, 2020 and March 31, 2021, the carrying value of internal-used software was $ 1.7 million and $2.9 million, respectively. Amortization expense related to internal-used software was $0 and $0.1 million during the three-months ended March 31, 2020 and 2021,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Acquisitions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Business Acquisition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Simplificare Inc.</w:t>
      </w:r>
    </w:p>
    <w:p>
      <w:pPr>
        <w:spacing w:after="0" w:line="122"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On February 13, 2020, the Company completed its acquisition of Simplificare Inc. (“Simplee”), a provider of healthcare payment and collections software. The acquisition of Simplee was intended to further expand the capabilities of the Company and to acquire additional customers in the healthcare market. The acquisition of Simplee has been accounted for as a business combination.</w:t>
      </w:r>
    </w:p>
    <w:p>
      <w:pPr>
        <w:spacing w:after="0" w:line="203"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Pursuant to the terms of the agreement, the Company acquired all outstanding equity of Simplee for estimated total purchase consideration of $86.5 million, which consists of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79,401</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7,100</w:t>
            </w:r>
          </w:p>
        </w:tc>
      </w:tr>
      <w:tr>
        <w:trPr>
          <w:trHeight w:val="27"/>
        </w:trPr>
        <w:tc>
          <w:tcPr>
            <w:tcW w:w="10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10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purchase consideration, net of cash acquired</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86,501</w:t>
            </w:r>
          </w:p>
        </w:tc>
      </w:tr>
      <w:tr>
        <w:trPr>
          <w:trHeight w:val="20"/>
        </w:trPr>
        <w:tc>
          <w:tcPr>
            <w:tcW w:w="10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Contingent consideration represents additional payments that the Company may be required to make in the future, which totals up to $20.0 million depending on the Company reaching certain revenue and integration targets established for the years ended December 31, 2020 and 2021, as well</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as retaining key customers. A portion of the contingent consideration is also tied to continuing employment of certain key employees; accordingly, $ 2.1 million has been excluded from the purchase price allocation. During the three months ended March 31, 2020 and 2021, the Company expensed $0.3 million and $0.2 million in personnel costs associated with the contingent consideration in the Company’s consolidated statements of operations and comprehensive loss and recorded a liability included in accrued expenses and other current liabilities on the consolidated balance sheet. The contingent consideration is payable at the one-year and two-year acquisition anniversary dates based on the prior year results.</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Company incurred $1.9 million in transaction costs related to the Simplee acquisition, of which $1.3 million was incurred during the three months ended March 31, 2020 and no costs were incurred during the three months ended March 31, 2021. Additionally, the Company incurred $0.7 million and $1.0 million of retention costs during the three months ended March 31, 2020 and 2021, respectively, to compensate employees of Simplee for future services. This amount was included in personnel costs in the Company’s consolidated statements of operations and comprehensive loss.</w:t>
      </w:r>
    </w:p>
    <w:p>
      <w:pPr>
        <w:spacing w:after="0" w:line="202"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The following table summarizes the allocation of the purchase consideration to the fair value of the assets acquired and liabilities assumed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8,555</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1,578</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6,587</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31,696</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3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58,800</w:t>
            </w:r>
          </w:p>
        </w:tc>
        <w:tc>
          <w:tcPr>
            <w:tcW w:w="60" w:type="dxa"/>
            <w:vAlign w:val="bottom"/>
            <w:shd w:val="clear" w:color="auto" w:fill="CCEEFF"/>
          </w:tcPr>
          <w:p>
            <w:pPr>
              <w:spacing w:after="0"/>
              <w:rPr>
                <w:sz w:val="17"/>
                <w:szCs w:val="17"/>
                <w:color w:val="auto"/>
              </w:rPr>
            </w:pPr>
          </w:p>
        </w:tc>
      </w:tr>
      <w:tr>
        <w:trPr>
          <w:trHeight w:val="217"/>
        </w:trPr>
        <w:tc>
          <w:tcPr>
            <w:tcW w:w="6600" w:type="dxa"/>
            <w:vAlign w:val="bottom"/>
          </w:tcPr>
          <w:p>
            <w:pPr>
              <w:ind w:left="360"/>
              <w:spacing w:after="0"/>
              <w:rPr>
                <w:sz w:val="20"/>
                <w:szCs w:val="20"/>
                <w:color w:val="auto"/>
              </w:rPr>
            </w:pPr>
            <w:r>
              <w:rPr>
                <w:rFonts w:ascii="Arial" w:cs="Arial" w:eastAsia="Arial" w:hAnsi="Arial"/>
                <w:sz w:val="18"/>
                <w:szCs w:val="18"/>
                <w:color w:val="auto"/>
              </w:rPr>
              <w:t>Total assets acquired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109,513</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15,092</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2,267</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3,463</w:t>
            </w:r>
          </w:p>
        </w:tc>
        <w:tc>
          <w:tcPr>
            <w:tcW w:w="60" w:type="dxa"/>
            <w:vAlign w:val="bottom"/>
            <w:shd w:val="clear" w:color="auto" w:fill="CCEEFF"/>
          </w:tcPr>
          <w:p>
            <w:pPr>
              <w:spacing w:after="0"/>
              <w:rPr>
                <w:sz w:val="17"/>
                <w:szCs w:val="17"/>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20,822</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acquired</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88,691</w:t>
            </w:r>
          </w:p>
        </w:tc>
      </w:tr>
      <w:tr>
        <w:trPr>
          <w:trHeight w:val="210"/>
        </w:trPr>
        <w:tc>
          <w:tcPr>
            <w:tcW w:w="6600" w:type="dxa"/>
            <w:vAlign w:val="bottom"/>
          </w:tcPr>
          <w:p>
            <w:pPr>
              <w:ind w:left="360"/>
              <w:spacing w:after="0" w:line="202" w:lineRule="exact"/>
              <w:rPr>
                <w:sz w:val="20"/>
                <w:szCs w:val="20"/>
                <w:color w:val="auto"/>
              </w:rPr>
            </w:pPr>
            <w:r>
              <w:rPr>
                <w:rFonts w:ascii="Arial" w:cs="Arial" w:eastAsia="Arial" w:hAnsi="Arial"/>
                <w:sz w:val="18"/>
                <w:szCs w:val="18"/>
                <w:color w:val="auto"/>
              </w:rPr>
              <w:t>Less: cash acquired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2,190</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less cash acquired</w:t>
            </w:r>
          </w:p>
        </w:tc>
        <w:tc>
          <w:tcPr>
            <w:tcW w:w="3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86,501</w:t>
            </w:r>
          </w:p>
        </w:tc>
      </w:tr>
      <w:tr>
        <w:trPr>
          <w:trHeight w:val="20"/>
        </w:trPr>
        <w:tc>
          <w:tcPr>
            <w:tcW w:w="66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20" w:firstLine="440"/>
        <w:spacing w:after="0" w:line="246" w:lineRule="auto"/>
        <w:rPr>
          <w:sz w:val="20"/>
          <w:szCs w:val="20"/>
          <w:color w:val="auto"/>
        </w:rPr>
      </w:pPr>
      <w:r>
        <w:rPr>
          <w:rFonts w:ascii="Arial" w:cs="Arial" w:eastAsia="Arial" w:hAnsi="Arial"/>
          <w:sz w:val="18"/>
          <w:szCs w:val="18"/>
          <w:color w:val="auto"/>
        </w:rPr>
        <w:t>Goodwill arising from the acquisition of $31.7 million was attributable to the workforce of Simplee and the synergies expected to arise from the acquisition. The Company expects that no goodwill from this acquisition will be deductible for income tax purposes.</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The following table reflects the estimated fair values of the identified intangible assets of Simplee and their respective weighted-average estimated amortization periods.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0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0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50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rPr>
              <w:t>Estimated</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50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Fair Values</w:t>
            </w:r>
          </w:p>
        </w:tc>
        <w:tc>
          <w:tcPr>
            <w:tcW w:w="8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60" w:type="dxa"/>
            <w:vAlign w:val="bottom"/>
          </w:tcPr>
          <w:p>
            <w:pPr>
              <w:spacing w:after="0"/>
              <w:rPr>
                <w:sz w:val="15"/>
                <w:szCs w:val="15"/>
                <w:color w:val="auto"/>
              </w:rPr>
            </w:pPr>
          </w:p>
        </w:tc>
      </w:tr>
      <w:tr>
        <w:trPr>
          <w:trHeight w:val="156"/>
        </w:trPr>
        <w:tc>
          <w:tcPr>
            <w:tcW w:w="50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760" w:type="dxa"/>
            <w:vAlign w:val="bottom"/>
            <w:gridSpan w:val="3"/>
          </w:tcPr>
          <w:p>
            <w:pPr>
              <w:jc w:val="right"/>
              <w:ind w:right="840"/>
              <w:spacing w:after="0" w:line="155" w:lineRule="exact"/>
              <w:rPr>
                <w:sz w:val="20"/>
                <w:szCs w:val="20"/>
                <w:color w:val="auto"/>
              </w:rPr>
            </w:pPr>
            <w:r>
              <w:rPr>
                <w:rFonts w:ascii="Arial" w:cs="Arial" w:eastAsia="Arial" w:hAnsi="Arial"/>
                <w:sz w:val="14"/>
                <w:szCs w:val="14"/>
                <w:color w:val="auto"/>
              </w:rPr>
              <w:t>(in thousands)</w:t>
            </w:r>
          </w:p>
        </w:tc>
        <w:tc>
          <w:tcPr>
            <w:tcW w:w="960" w:type="dxa"/>
            <w:vAlign w:val="bottom"/>
            <w:gridSpan w:val="2"/>
          </w:tcPr>
          <w:p>
            <w:pPr>
              <w:jc w:val="center"/>
              <w:ind w:right="60"/>
              <w:spacing w:after="0" w:line="155" w:lineRule="exact"/>
              <w:rPr>
                <w:sz w:val="20"/>
                <w:szCs w:val="20"/>
                <w:color w:val="auto"/>
              </w:rPr>
            </w:pPr>
            <w:r>
              <w:rPr>
                <w:rFonts w:ascii="Arial" w:cs="Arial" w:eastAsia="Arial" w:hAnsi="Arial"/>
                <w:sz w:val="14"/>
                <w:szCs w:val="14"/>
                <w:color w:val="auto"/>
              </w:rPr>
              <w:t>(years)</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Developed technology</w:t>
            </w:r>
          </w:p>
        </w:tc>
        <w:tc>
          <w:tcPr>
            <w:tcW w:w="3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10,500</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r>
      <w:tr>
        <w:trPr>
          <w:trHeight w:val="209"/>
        </w:trPr>
        <w:tc>
          <w:tcPr>
            <w:tcW w:w="506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3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48,300</w:t>
            </w:r>
          </w:p>
        </w:tc>
        <w:tc>
          <w:tcPr>
            <w:tcW w:w="840" w:type="dxa"/>
            <w:vAlign w:val="bottom"/>
          </w:tcPr>
          <w:p>
            <w:pPr>
              <w:spacing w:after="0"/>
              <w:rPr>
                <w:sz w:val="18"/>
                <w:szCs w:val="18"/>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03"/>
        </w:trPr>
        <w:tc>
          <w:tcPr>
            <w:tcW w:w="506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58,800</w:t>
            </w: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results of Simplee have been included in the consolidated financial statements since the date of the acquisition. Simplee’s consolidated revenue included in the consolidated financial statements since the acquisition date for the three-months ended March 31, 2020 and 2021 was $5.5 million and $10.2 million, respectively. The Company has not disclosed net income or loss since the acquisition date as the business was fully integrated into the consolidated Company’s operations and therefore it was impracticable to determine this amount.</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Unaudited Pro Forma Financial Information</w:t>
      </w:r>
    </w:p>
    <w:p>
      <w:pPr>
        <w:spacing w:after="0" w:line="104"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7"/>
          <w:szCs w:val="17"/>
          <w:color w:val="auto"/>
        </w:rPr>
        <w:t>The following unaudited pro forma financial information shows the results of the Company’s operations for the three-months ended March 31, 2020 as if the acquisition had occurred on January 1, 2019.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Simplee. The unaudited pro forma information reflects the effects of applying the Company’s accounting policies and certain pro forma adjustments to the combined historical financial information of the Company and Simplee. The pro forma adjustments include:</w:t>
      </w:r>
    </w:p>
    <w:p>
      <w:pPr>
        <w:spacing w:after="0" w:line="100" w:lineRule="exact"/>
        <w:rPr>
          <w:sz w:val="20"/>
          <w:szCs w:val="20"/>
          <w:color w:val="auto"/>
        </w:rPr>
      </w:pPr>
    </w:p>
    <w:p>
      <w:pPr>
        <w:ind w:left="880" w:hanging="224"/>
        <w:spacing w:after="0"/>
        <w:tabs>
          <w:tab w:leader="none" w:pos="8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incremental amortization expense associated with the estimated fair value of identified intangible assets;</w:t>
      </w:r>
    </w:p>
    <w:p>
      <w:pPr>
        <w:spacing w:after="0" w:line="117"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revenue and cost of revenue adjustments as a result of the reduction in deferred revenue and the cost related to their estimated fair value;</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incremental employee compensation expense for Simplee employees;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estimated tax impact of the above items.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9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March 31, 2020</w:t>
            </w:r>
          </w:p>
        </w:tc>
      </w:tr>
      <w:tr>
        <w:trPr>
          <w:trHeight w:val="142"/>
        </w:trPr>
        <w:tc>
          <w:tcPr>
            <w:tcW w:w="9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9"/>
              <w:spacing w:after="0" w:line="143" w:lineRule="exact"/>
              <w:rPr>
                <w:sz w:val="20"/>
                <w:szCs w:val="20"/>
                <w:color w:val="auto"/>
              </w:rPr>
            </w:pPr>
            <w:r>
              <w:rPr>
                <w:rFonts w:ascii="Arial" w:cs="Arial" w:eastAsia="Arial" w:hAnsi="Arial"/>
                <w:sz w:val="14"/>
                <w:szCs w:val="14"/>
                <w:b w:val="1"/>
                <w:bCs w:val="1"/>
                <w:color w:val="auto"/>
              </w:rPr>
              <w:t>Pro</w:t>
            </w:r>
          </w:p>
        </w:tc>
        <w:tc>
          <w:tcPr>
            <w:tcW w:w="60" w:type="dxa"/>
            <w:vAlign w:val="bottom"/>
          </w:tcPr>
          <w:p>
            <w:pPr>
              <w:spacing w:after="0"/>
              <w:rPr>
                <w:sz w:val="12"/>
                <w:szCs w:val="12"/>
                <w:color w:val="auto"/>
              </w:rPr>
            </w:pPr>
          </w:p>
        </w:tc>
      </w:tr>
      <w:tr>
        <w:trPr>
          <w:trHeight w:val="175"/>
        </w:trPr>
        <w:tc>
          <w:tcPr>
            <w:tcW w:w="9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8"/>
              </w:rPr>
              <w:t>Actual</w:t>
            </w: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8"/>
              </w:rPr>
              <w:t>Forma</w:t>
            </w:r>
          </w:p>
        </w:tc>
        <w:tc>
          <w:tcPr>
            <w:tcW w:w="60" w:type="dxa"/>
            <w:vAlign w:val="bottom"/>
          </w:tcPr>
          <w:p>
            <w:pPr>
              <w:spacing w:after="0"/>
              <w:rPr>
                <w:sz w:val="15"/>
                <w:szCs w:val="15"/>
                <w:color w:val="auto"/>
              </w:rPr>
            </w:pPr>
          </w:p>
        </w:tc>
      </w:tr>
      <w:tr>
        <w:trPr>
          <w:trHeight w:val="155"/>
        </w:trPr>
        <w:tc>
          <w:tcPr>
            <w:tcW w:w="9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4"/>
          </w:tcPr>
          <w:p>
            <w:pPr>
              <w:jc w:val="center"/>
              <w:ind w:right="160"/>
              <w:spacing w:after="0" w:line="155" w:lineRule="exact"/>
              <w:rPr>
                <w:sz w:val="20"/>
                <w:szCs w:val="20"/>
                <w:color w:val="auto"/>
              </w:rPr>
            </w:pPr>
            <w:r>
              <w:rPr>
                <w:rFonts w:ascii="Arial" w:cs="Arial" w:eastAsia="Arial" w:hAnsi="Arial"/>
                <w:sz w:val="14"/>
                <w:szCs w:val="14"/>
                <w:color w:val="auto"/>
              </w:rPr>
              <w:t>(in thousands)</w:t>
            </w:r>
          </w:p>
        </w:tc>
      </w:tr>
      <w:tr>
        <w:trPr>
          <w:trHeight w:val="203"/>
        </w:trPr>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02"/>
              <w:spacing w:after="0" w:line="202" w:lineRule="exact"/>
              <w:rPr>
                <w:sz w:val="20"/>
                <w:szCs w:val="20"/>
                <w:color w:val="auto"/>
              </w:rPr>
            </w:pPr>
            <w:r>
              <w:rPr>
                <w:rFonts w:ascii="Arial" w:cs="Arial" w:eastAsia="Arial" w:hAnsi="Arial"/>
                <w:sz w:val="18"/>
                <w:szCs w:val="18"/>
                <w:color w:val="auto"/>
                <w:w w:val="98"/>
              </w:rPr>
              <w:t>32,709</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37,195</w:t>
            </w:r>
          </w:p>
        </w:tc>
      </w:tr>
      <w:tr>
        <w:trPr>
          <w:trHeight w:val="217"/>
        </w:trPr>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02"/>
              <w:spacing w:after="0"/>
              <w:rPr>
                <w:sz w:val="20"/>
                <w:szCs w:val="20"/>
                <w:color w:val="auto"/>
              </w:rPr>
            </w:pPr>
            <w:r>
              <w:rPr>
                <w:rFonts w:ascii="Arial" w:cs="Arial" w:eastAsia="Arial" w:hAnsi="Arial"/>
                <w:sz w:val="18"/>
                <w:szCs w:val="18"/>
                <w:color w:val="auto"/>
              </w:rPr>
              <w:t>3,700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2,145</w:t>
            </w:r>
          </w:p>
        </w:tc>
      </w:tr>
    </w:tbl>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40"/>
          </w:cols>
          <w:pgMar w:left="32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660" w:hanging="544"/>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Acquired Intangible Assets</w:t>
      </w:r>
    </w:p>
    <w:p>
      <w:pPr>
        <w:spacing w:after="0" w:line="126"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The following table summarizes the changes in the carrying amount of goodwill for the three months ended March 31, 2020 and 2021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Three</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Three</w:t>
            </w:r>
          </w:p>
        </w:tc>
      </w:tr>
      <w:tr>
        <w:trPr>
          <w:trHeight w:val="162"/>
        </w:trPr>
        <w:tc>
          <w:tcPr>
            <w:tcW w:w="8120" w:type="dxa"/>
            <w:vAlign w:val="bottom"/>
          </w:tcPr>
          <w:p>
            <w:pPr>
              <w:spacing w:after="0"/>
              <w:rPr>
                <w:sz w:val="14"/>
                <w:szCs w:val="14"/>
                <w:color w:val="auto"/>
              </w:rPr>
            </w:pP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Months Ended</w:t>
            </w:r>
          </w:p>
        </w:tc>
        <w:tc>
          <w:tcPr>
            <w:tcW w:w="76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Months Ended</w:t>
            </w:r>
          </w:p>
        </w:tc>
      </w:tr>
      <w:tr>
        <w:trPr>
          <w:trHeight w:val="162"/>
        </w:trPr>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March 31,</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196"/>
        </w:trPr>
        <w:tc>
          <w:tcPr>
            <w:tcW w:w="8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12,924</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44,650</w:t>
            </w:r>
          </w:p>
        </w:tc>
        <w:tc>
          <w:tcPr>
            <w:tcW w:w="120" w:type="dxa"/>
            <w:vAlign w:val="bottom"/>
            <w:shd w:val="clear" w:color="auto" w:fill="CCEEFF"/>
          </w:tcPr>
          <w:p>
            <w:pPr>
              <w:spacing w:after="0"/>
              <w:rPr>
                <w:sz w:val="17"/>
                <w:szCs w:val="17"/>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Goodwill related to Simplee acquisition</w:t>
            </w:r>
          </w:p>
        </w:tc>
        <w:tc>
          <w:tcPr>
            <w:tcW w:w="14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31,696</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w:t>
            </w:r>
          </w:p>
        </w:tc>
      </w:tr>
      <w:tr>
        <w:trPr>
          <w:trHeight w:val="20"/>
        </w:trPr>
        <w:tc>
          <w:tcPr>
            <w:tcW w:w="8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44,872</w:t>
            </w: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44,618</w:t>
            </w:r>
          </w:p>
        </w:tc>
      </w:tr>
      <w:tr>
        <w:trPr>
          <w:trHeight w:val="20"/>
        </w:trPr>
        <w:tc>
          <w:tcPr>
            <w:tcW w:w="8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goodwill impairment was recorded during the three months ended March 31, 2020 and 2021.</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Acquired intangible assets subject to amortization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29"/>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Gross Carrying</w:t>
            </w:r>
          </w:p>
        </w:tc>
        <w:tc>
          <w:tcPr>
            <w:tcW w:w="4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5"/>
                <w:szCs w:val="15"/>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Developed Technology</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25,063</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(6,595)</w:t>
            </w: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18,468</w:t>
            </w:r>
          </w:p>
        </w:tc>
        <w:tc>
          <w:tcPr>
            <w:tcW w:w="6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52,312</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(2,772)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49,540</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Name/Trademark</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511</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(504)</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Non-Compete Agreement</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196</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78,355</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(10,144)</w:t>
            </w:r>
          </w:p>
        </w:tc>
        <w:tc>
          <w:tcPr>
            <w:tcW w:w="4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68,211</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660" w:hanging="544"/>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Includes less than $0.1 million of foreign currency translation adjustments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March 31, 2021</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29"/>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Gross Carrying</w:t>
            </w:r>
          </w:p>
        </w:tc>
        <w:tc>
          <w:tcPr>
            <w:tcW w:w="4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Developed Technology</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25,063</w:t>
            </w: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(7,605)</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17,458</w:t>
            </w:r>
          </w:p>
        </w:tc>
        <w:tc>
          <w:tcPr>
            <w:tcW w:w="6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52,390</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(3,443)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48,947</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Name/Trademark</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511</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(511)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Non-Compete Agreement</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(296)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173</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78,433</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(11,855)</w:t>
            </w:r>
          </w:p>
        </w:tc>
        <w:tc>
          <w:tcPr>
            <w:tcW w:w="4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66,578</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660" w:hanging="544"/>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Includes less than $0.1 million of foreign currency translation adjustments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Amortization expense for the three-months ended March 31, 2020 and 2021 was $1.0 million and $1.6 million, respectively.</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As of March 31, 2021, the estimated annual amortization expense of intangible assets for each of the next five years and thereafter is expected to be as follows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100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10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Expense</w:t>
            </w:r>
          </w:p>
        </w:tc>
      </w:tr>
      <w:tr>
        <w:trPr>
          <w:trHeight w:val="196"/>
        </w:trPr>
        <w:tc>
          <w:tcPr>
            <w:tcW w:w="10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Remaining of fiscal year 2021</w:t>
            </w: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4,369</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100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6,881</w:t>
            </w:r>
          </w:p>
        </w:tc>
      </w:tr>
      <w:tr>
        <w:trPr>
          <w:trHeight w:val="203"/>
        </w:trPr>
        <w:tc>
          <w:tcPr>
            <w:tcW w:w="10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7,588</w:t>
            </w:r>
          </w:p>
        </w:tc>
      </w:tr>
      <w:tr>
        <w:trPr>
          <w:trHeight w:val="203"/>
        </w:trPr>
        <w:tc>
          <w:tcPr>
            <w:tcW w:w="100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7,892</w:t>
            </w:r>
          </w:p>
        </w:tc>
      </w:tr>
      <w:tr>
        <w:trPr>
          <w:trHeight w:val="203"/>
        </w:trPr>
        <w:tc>
          <w:tcPr>
            <w:tcW w:w="10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7,714</w:t>
            </w:r>
          </w:p>
        </w:tc>
      </w:tr>
      <w:tr>
        <w:trPr>
          <w:trHeight w:val="209"/>
        </w:trPr>
        <w:tc>
          <w:tcPr>
            <w:tcW w:w="10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32,134</w:t>
            </w:r>
          </w:p>
        </w:tc>
        <w:tc>
          <w:tcPr>
            <w:tcW w:w="60" w:type="dxa"/>
            <w:vAlign w:val="bottom"/>
          </w:tcPr>
          <w:p>
            <w:pPr>
              <w:spacing w:after="0"/>
              <w:rPr>
                <w:sz w:val="18"/>
                <w:szCs w:val="18"/>
                <w:color w:val="auto"/>
              </w:rPr>
            </w:pPr>
          </w:p>
        </w:tc>
      </w:tr>
      <w:tr>
        <w:trPr>
          <w:trHeight w:val="203"/>
        </w:trPr>
        <w:tc>
          <w:tcPr>
            <w:tcW w:w="10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66,578</w:t>
            </w:r>
          </w:p>
        </w:tc>
      </w:tr>
      <w:tr>
        <w:trPr>
          <w:trHeight w:val="20"/>
        </w:trPr>
        <w:tc>
          <w:tcPr>
            <w:tcW w:w="10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Company’s outstanding debt as of each period presented,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March 31,</w:t>
            </w:r>
          </w:p>
        </w:tc>
      </w:tr>
      <w:tr>
        <w:trPr>
          <w:trHeight w:val="175"/>
        </w:trPr>
        <w:tc>
          <w:tcPr>
            <w:tcW w:w="8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r>
      <w:tr>
        <w:trPr>
          <w:trHeight w:val="196"/>
        </w:trPr>
        <w:tc>
          <w:tcPr>
            <w:tcW w:w="8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 term debt</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$ 25,000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8740" w:type="dxa"/>
            <w:vAlign w:val="bottom"/>
          </w:tcPr>
          <w:p>
            <w:pPr>
              <w:ind w:left="360"/>
              <w:spacing w:after="0" w:line="202" w:lineRule="exact"/>
              <w:rPr>
                <w:sz w:val="20"/>
                <w:szCs w:val="20"/>
                <w:color w:val="auto"/>
              </w:rPr>
            </w:pPr>
            <w:r>
              <w:rPr>
                <w:rFonts w:ascii="Arial" w:cs="Arial" w:eastAsia="Arial" w:hAnsi="Arial"/>
                <w:sz w:val="18"/>
                <w:szCs w:val="18"/>
                <w:color w:val="auto"/>
              </w:rPr>
              <w:t>Less unamortized debt discount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(430)</w:t>
            </w:r>
          </w:p>
        </w:tc>
        <w:tc>
          <w:tcPr>
            <w:tcW w:w="10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(396)</w:t>
            </w:r>
          </w:p>
        </w:tc>
      </w:tr>
      <w:tr>
        <w:trPr>
          <w:trHeight w:val="203"/>
        </w:trPr>
        <w:tc>
          <w:tcPr>
            <w:tcW w:w="8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unamortized debt issuance costs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(218)</w:t>
            </w:r>
          </w:p>
        </w:tc>
        <w:tc>
          <w:tcPr>
            <w:tcW w:w="10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(202)</w:t>
            </w:r>
          </w:p>
        </w:tc>
      </w:tr>
      <w:tr>
        <w:trPr>
          <w:trHeight w:val="20"/>
        </w:trPr>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7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24,352</w:t>
            </w:r>
          </w:p>
        </w:tc>
        <w:tc>
          <w:tcPr>
            <w:tcW w:w="2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$ 24,402</w:t>
            </w:r>
          </w:p>
        </w:tc>
      </w:tr>
      <w:tr>
        <w:trPr>
          <w:trHeight w:val="20"/>
        </w:trPr>
        <w:tc>
          <w:tcPr>
            <w:tcW w:w="8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26" w:lineRule="exact"/>
        <w:rPr>
          <w:sz w:val="20"/>
          <w:szCs w:val="20"/>
          <w:color w:val="auto"/>
        </w:rPr>
      </w:pPr>
    </w:p>
    <w:p>
      <w:pPr>
        <w:ind w:left="120" w:right="240" w:firstLine="440"/>
        <w:spacing w:after="0" w:line="236" w:lineRule="auto"/>
        <w:rPr>
          <w:sz w:val="20"/>
          <w:szCs w:val="20"/>
          <w:color w:val="auto"/>
        </w:rPr>
      </w:pPr>
      <w:r>
        <w:rPr>
          <w:rFonts w:ascii="Arial" w:cs="Arial" w:eastAsia="Arial" w:hAnsi="Arial"/>
          <w:sz w:val="18"/>
          <w:szCs w:val="18"/>
          <w:color w:val="auto"/>
        </w:rPr>
        <w:t>On January 16, 2018, the Company entered into a Loan and Security Agreement with a financial institution for a $25.0 million loan (the “LSA”) with interest at a rate of 8.5% per annum. The proceeds of the LSA were used to fund the acquisition of OnPlan. The LSA could be drawn down in three tranches. The first tranche of $15.0 million was drawn in January 2018, while the remaining two tranches were drawn in February 2019 and August 2019 for $ 5.0 million each. The LSA maturity date was January 22, 2022. The Company was obligated to make monthly interest payments on the loan. The LSA was interest only until either August 1, 2019 or February 1, 2020 pending on achieving certain revenue and margin targets. The Company incurred debt issuance costs of $0.2 million in connection with the issuance of the LSA. These issuance costs were amortized to interest expense, using the effective interest method, over the term of the loan.</w:t>
      </w:r>
    </w:p>
    <w:p>
      <w:pPr>
        <w:spacing w:after="0" w:line="208"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On December 31, 2018, the Company achieved the required targets, and deemed that the principal payments would not commence until February 1, 2020.</w:t>
      </w:r>
    </w:p>
    <w:p>
      <w:pPr>
        <w:spacing w:after="0" w:line="89" w:lineRule="exact"/>
        <w:rPr>
          <w:sz w:val="20"/>
          <w:szCs w:val="20"/>
          <w:color w:val="auto"/>
        </w:rPr>
      </w:pPr>
    </w:p>
    <w:p>
      <w:pPr>
        <w:jc w:val="both"/>
        <w:ind w:left="120" w:right="480" w:firstLine="440"/>
        <w:spacing w:after="0"/>
        <w:rPr>
          <w:sz w:val="20"/>
          <w:szCs w:val="20"/>
          <w:color w:val="auto"/>
        </w:rPr>
      </w:pPr>
      <w:r>
        <w:rPr>
          <w:rFonts w:ascii="Arial" w:cs="Arial" w:eastAsia="Arial" w:hAnsi="Arial"/>
          <w:sz w:val="18"/>
          <w:szCs w:val="18"/>
          <w:color w:val="auto"/>
        </w:rPr>
        <w:t>The LSA does not include any financial covenants. The LSA contains negative covenants that restrict, among other things, the Company’s ability to sell assets, make investments and acquisitions, make capital expenditures, grant liens, pay dividends and make certain other restricted payments.</w:t>
      </w:r>
    </w:p>
    <w:p>
      <w:pPr>
        <w:spacing w:after="0" w:line="95"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The LSA is subject to customary mandatory prepayment provisions and acceleration upon events of default for, among other things, non-payment, breach of covenants, certain large judgments and</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40"/>
          </w:cols>
          <w:pgMar w:left="32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misrepresentations. The Company may make voluntary prepayments of the LSA at any time without penalty or premium. The Company did not make any prepayments of the LSA during the three months ended March 31, 2020 or 2021.</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Amendments to Loan and Security Agreement</w:t>
      </w:r>
    </w:p>
    <w:p>
      <w:pPr>
        <w:spacing w:after="0" w:line="126"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On April 25, 2020 the Company entered into a Joinder and First Amendment to the Loan and Security Agreement for administrative matters.</w:t>
      </w:r>
    </w:p>
    <w:p>
      <w:pPr>
        <w:spacing w:after="0" w:line="197" w:lineRule="exact"/>
        <w:rPr>
          <w:sz w:val="20"/>
          <w:szCs w:val="20"/>
          <w:color w:val="auto"/>
        </w:rPr>
      </w:pPr>
    </w:p>
    <w:p>
      <w:pPr>
        <w:ind w:left="120" w:right="120" w:firstLine="440"/>
        <w:spacing w:after="0" w:line="248" w:lineRule="auto"/>
        <w:rPr>
          <w:sz w:val="20"/>
          <w:szCs w:val="20"/>
          <w:color w:val="auto"/>
        </w:rPr>
      </w:pPr>
      <w:r>
        <w:rPr>
          <w:rFonts w:ascii="Arial" w:cs="Arial" w:eastAsia="Arial" w:hAnsi="Arial"/>
          <w:sz w:val="17"/>
          <w:szCs w:val="17"/>
          <w:color w:val="auto"/>
        </w:rPr>
        <w:t>On May 18, 2020, the Company entered into a Joinder and Second Amendment to Loan and Security Agreement to refinance the LSA. As part of the amendment, the financial institution re-advanced $4.2 million of principal paid on the loan through May 1, 2020. The final maturity date of the LSA was extended to May 2025. The new stated interest rate at a floating per annum rate equal to the greater of</w:t>
      </w:r>
    </w:p>
    <w:p>
      <w:pPr>
        <w:ind w:left="320" w:hanging="204"/>
        <w:spacing w:after="0" w:line="236" w:lineRule="auto"/>
        <w:tabs>
          <w:tab w:leader="none" w:pos="3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5.25% above the prime rate; or (ii) 8.50%. The LSA is interest only until May 2023. Beginning on June 1, 2023, the Company will make</w:t>
      </w:r>
    </w:p>
    <w:p>
      <w:pPr>
        <w:ind w:left="120" w:right="100"/>
        <w:spacing w:after="0" w:line="246" w:lineRule="auto"/>
        <w:rPr>
          <w:rFonts w:ascii="Arial" w:cs="Arial" w:eastAsia="Arial" w:hAnsi="Arial"/>
          <w:sz w:val="18"/>
          <w:szCs w:val="18"/>
          <w:color w:val="auto"/>
        </w:rPr>
      </w:pPr>
      <w:r>
        <w:rPr>
          <w:rFonts w:ascii="Arial" w:cs="Arial" w:eastAsia="Arial" w:hAnsi="Arial"/>
          <w:sz w:val="18"/>
          <w:szCs w:val="18"/>
          <w:color w:val="auto"/>
        </w:rPr>
        <w:t>24 equal principal payments. The Company incurred $0.2 million in commitment fees from the financial institution to close the refinancing. These commitment fees were recorded as a reduction to the loan balance on the balance sheet.</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Both amendments were accounted for as debt modifications.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Principal Payments</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As of March 31, 2021, the aggregate minimum future principal payments due in connection with the Company’s LSA in the next five years were as follows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300" w:type="dxa"/>
            <w:vAlign w:val="bottom"/>
            <w:shd w:val="clear" w:color="auto" w:fill="CCEEFF"/>
          </w:tcPr>
          <w:p>
            <w:pPr>
              <w:jc w:val="right"/>
              <w:ind w:right="9810"/>
              <w:spacing w:after="0"/>
              <w:rPr>
                <w:sz w:val="20"/>
                <w:szCs w:val="20"/>
                <w:color w:val="auto"/>
              </w:rPr>
            </w:pPr>
            <w:r>
              <w:rPr>
                <w:rFonts w:ascii="Arial" w:cs="Arial" w:eastAsia="Arial" w:hAnsi="Arial"/>
                <w:sz w:val="18"/>
                <w:szCs w:val="18"/>
                <w:color w:val="auto"/>
                <w:w w:val="94"/>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10300" w:type="dxa"/>
            <w:vAlign w:val="bottom"/>
          </w:tcPr>
          <w:p>
            <w:pPr>
              <w:jc w:val="right"/>
              <w:ind w:right="9810"/>
              <w:spacing w:after="0" w:line="20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jc w:val="right"/>
              <w:ind w:right="9810"/>
              <w:spacing w:after="0" w:line="202" w:lineRule="exact"/>
              <w:rPr>
                <w:sz w:val="20"/>
                <w:szCs w:val="20"/>
                <w:color w:val="auto"/>
              </w:rPr>
            </w:pPr>
            <w:r>
              <w:rPr>
                <w:rFonts w:ascii="Arial" w:cs="Arial" w:eastAsia="Arial" w:hAnsi="Arial"/>
                <w:sz w:val="18"/>
                <w:szCs w:val="18"/>
                <w:color w:val="auto"/>
                <w:w w:val="94"/>
              </w:rPr>
              <w:t>2023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7,292</w:t>
            </w:r>
          </w:p>
        </w:tc>
        <w:tc>
          <w:tcPr>
            <w:tcW w:w="60" w:type="dxa"/>
            <w:vAlign w:val="bottom"/>
            <w:shd w:val="clear" w:color="auto" w:fill="CCEEFF"/>
          </w:tcPr>
          <w:p>
            <w:pPr>
              <w:spacing w:after="0"/>
              <w:rPr>
                <w:sz w:val="17"/>
                <w:szCs w:val="17"/>
                <w:color w:val="auto"/>
              </w:rPr>
            </w:pPr>
          </w:p>
        </w:tc>
      </w:tr>
      <w:tr>
        <w:trPr>
          <w:trHeight w:val="203"/>
        </w:trPr>
        <w:tc>
          <w:tcPr>
            <w:tcW w:w="10300" w:type="dxa"/>
            <w:vAlign w:val="bottom"/>
          </w:tcPr>
          <w:p>
            <w:pPr>
              <w:jc w:val="right"/>
              <w:ind w:right="9810"/>
              <w:spacing w:after="0" w:line="20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12,500</w:t>
            </w: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jc w:val="right"/>
              <w:ind w:right="9810"/>
              <w:spacing w:after="0" w:line="202" w:lineRule="exact"/>
              <w:rPr>
                <w:sz w:val="20"/>
                <w:szCs w:val="20"/>
                <w:color w:val="auto"/>
              </w:rPr>
            </w:pPr>
            <w:r>
              <w:rPr>
                <w:rFonts w:ascii="Arial" w:cs="Arial" w:eastAsia="Arial" w:hAnsi="Arial"/>
                <w:sz w:val="18"/>
                <w:szCs w:val="18"/>
                <w:color w:val="auto"/>
                <w:w w:val="94"/>
              </w:rPr>
              <w:t>2025</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5,208</w:t>
            </w:r>
          </w:p>
        </w:tc>
        <w:tc>
          <w:tcPr>
            <w:tcW w:w="60" w:type="dxa"/>
            <w:vAlign w:val="bottom"/>
            <w:shd w:val="clear" w:color="auto" w:fill="CCEEFF"/>
          </w:tcPr>
          <w:p>
            <w:pPr>
              <w:spacing w:after="0"/>
              <w:rPr>
                <w:sz w:val="17"/>
                <w:szCs w:val="17"/>
                <w:color w:val="auto"/>
              </w:rPr>
            </w:pPr>
          </w:p>
        </w:tc>
      </w:tr>
      <w:tr>
        <w:trPr>
          <w:trHeight w:val="210"/>
        </w:trPr>
        <w:tc>
          <w:tcPr>
            <w:tcW w:w="10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25,000</w:t>
            </w:r>
          </w:p>
        </w:tc>
        <w:tc>
          <w:tcPr>
            <w:tcW w:w="60" w:type="dxa"/>
            <w:vAlign w:val="bottom"/>
          </w:tcPr>
          <w:p>
            <w:pPr>
              <w:spacing w:after="0"/>
              <w:rPr>
                <w:sz w:val="18"/>
                <w:szCs w:val="18"/>
                <w:color w:val="auto"/>
              </w:rPr>
            </w:pPr>
          </w:p>
        </w:tc>
      </w:tr>
      <w:tr>
        <w:trPr>
          <w:trHeight w:val="20"/>
        </w:trPr>
        <w:tc>
          <w:tcPr>
            <w:tcW w:w="10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The Company recorded interest expense of $0.6 million for both the three months ended March 31, 2020 and 2021, respectively. Included in interest expense is $0.1 million and $0.1 million of amortization of debt issuance cost and debt discount for the three months ended March 31, 2020 and 2021.</w:t>
      </w:r>
    </w:p>
    <w:p>
      <w:pPr>
        <w:spacing w:after="0" w:line="329" w:lineRule="exact"/>
        <w:rPr>
          <w:sz w:val="20"/>
          <w:szCs w:val="20"/>
          <w:color w:val="auto"/>
        </w:rPr>
      </w:pPr>
    </w:p>
    <w:p>
      <w:pPr>
        <w:ind w:left="660" w:hanging="544"/>
        <w:spacing w:after="0"/>
        <w:tabs>
          <w:tab w:leader="none" w:pos="6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126"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The Company has issued Series A convertible preferred stock (the “Series A Preferred Stock”), Series B convertible preferred stock (the “Series B Preferred Stock”), Series B1-NV convertible preferred stock (the “Series B1-NV Preferred Stock”), Series B1 convertible preferred stock (the “Series B1 Preferred Stock”), Series C convertible preferred stock (the “Series C Preferred Stock”), Series D convertible preferred stock (the “Series D Preferred Stock”), Series E-1 redeemable convertible preferred stock and Series E-2 redeemable convertible preferred stock (the “Series E Preferred Stock”) and Series F-1 redeemable convertible preferred stock (the “Series F Preferred Stock”). The Series A Preferred Stock, the Series B Preferred Stock, the Series B1-NV Preferred</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40"/>
          </w:cols>
          <w:pgMar w:left="320" w:top="459"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Stock, the Series B1 Preferred Stock, the Series C Preferred Stock, the Series D Preferred Stock, the Series E Preferred Stock and the Series F Preferred Stock are collectively referred to as the “Preferred Stock”.</w:t>
      </w:r>
    </w:p>
    <w:p>
      <w:pPr>
        <w:spacing w:after="0" w:line="19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In February 2021, the Company issued and sold 857,312 shares of Series F-1 Preferred Stock at $69.986 per share for total gross proceeds of $60.0 million. The Company incurred issuance costs in connection with this transaction of $0.2 million. In conjunction with the sale of the Series F-1 Preferred Stock, the Company amended its articles of incorporation to increase shares authorized for issuance to a total of 27,227,529 shares of Preferred Stock with a par value of $0.0001 per share.</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In February 2020, the Company issued and sold 3,746,640 shares of Series E Preferred Stock at $32.0287 per share for total gross proceeds of $120.0 million. The Company incurred issuance costs in connection with this transaction of $0.2 million. In conjunction with the sale of the Series E Preferred Stock, the Company amended its certificate of incorporation to increase shares authorized for issuance to a total of 26,312,842 shares of Preferred Stock with a par value of $0.0001 per share.</w:t>
      </w:r>
    </w:p>
    <w:p>
      <w:pPr>
        <w:spacing w:after="0" w:line="205" w:lineRule="exact"/>
        <w:rPr>
          <w:sz w:val="20"/>
          <w:szCs w:val="20"/>
          <w:color w:val="auto"/>
        </w:rPr>
      </w:pPr>
    </w:p>
    <w:p>
      <w:pPr>
        <w:jc w:val="both"/>
        <w:ind w:left="120" w:right="280" w:firstLine="440"/>
        <w:spacing w:after="0"/>
        <w:rPr>
          <w:sz w:val="20"/>
          <w:szCs w:val="20"/>
          <w:color w:val="auto"/>
        </w:rPr>
      </w:pPr>
      <w:r>
        <w:rPr>
          <w:rFonts w:ascii="Arial" w:cs="Arial" w:eastAsia="Arial" w:hAnsi="Arial"/>
          <w:sz w:val="18"/>
          <w:szCs w:val="18"/>
          <w:color w:val="auto"/>
        </w:rPr>
        <w:t>Upon issuance of each class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class of Preferred Stock.</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Preferred Stock consisted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Preferred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Stock</w:t>
            </w:r>
          </w:p>
        </w:tc>
      </w:tr>
      <w:tr>
        <w:trPr>
          <w:trHeight w:val="162"/>
        </w:trPr>
        <w:tc>
          <w:tcPr>
            <w:tcW w:w="496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Stock Issued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Issuable</w:t>
            </w:r>
          </w:p>
        </w:tc>
      </w:tr>
      <w:tr>
        <w:trPr>
          <w:trHeight w:val="162"/>
        </w:trPr>
        <w:tc>
          <w:tcPr>
            <w:tcW w:w="496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Upon</w:t>
            </w:r>
          </w:p>
        </w:tc>
      </w:tr>
      <w:tr>
        <w:trPr>
          <w:trHeight w:val="175"/>
        </w:trPr>
        <w:tc>
          <w:tcPr>
            <w:tcW w:w="496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Authorized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Preference</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14,807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14,843</w:t>
            </w: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3,305,829</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3,305,829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9,163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9,199</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3,305,829</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B1-NV Preferred Stock</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2,775,311</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381,842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1,174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1,174</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381,842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B1 Preferred Stock</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2,775,311</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2,393,469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7,326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7,357</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2,393,469</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5,081,951</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4,954,951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28,072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28,143</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4,954,951</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D Preferred Stock</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2,208,334</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2,208,334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49,859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2,208,334</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E-1 Preferred Stock</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2,374,954</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1,750,514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55,960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70,080</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1,750,514</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E-2 Preferred Stock</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2,966,090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1,996,126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63,809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79,920</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1,996,126</w:t>
            </w:r>
          </w:p>
        </w:tc>
      </w:tr>
      <w:tr>
        <w:trPr>
          <w:trHeight w:val="27"/>
        </w:trPr>
        <w:tc>
          <w:tcPr>
            <w:tcW w:w="49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9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26,312,842</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21,816,127</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230,170</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260,716</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21,816,127</w:t>
            </w:r>
          </w:p>
        </w:tc>
      </w:tr>
      <w:tr>
        <w:trPr>
          <w:trHeight w:val="20"/>
        </w:trPr>
        <w:tc>
          <w:tcPr>
            <w:tcW w:w="4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40"/>
          </w:cols>
          <w:pgMar w:left="320" w:top="459"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Stock</w:t>
            </w:r>
          </w:p>
        </w:tc>
      </w:tr>
      <w:tr>
        <w:trPr>
          <w:trHeight w:val="162"/>
        </w:trPr>
        <w:tc>
          <w:tcPr>
            <w:tcW w:w="496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Stock Issued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Issuable</w:t>
            </w:r>
          </w:p>
        </w:tc>
      </w:tr>
      <w:tr>
        <w:trPr>
          <w:trHeight w:val="162"/>
        </w:trPr>
        <w:tc>
          <w:tcPr>
            <w:tcW w:w="496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Upon</w:t>
            </w:r>
          </w:p>
        </w:tc>
      </w:tr>
      <w:tr>
        <w:trPr>
          <w:trHeight w:val="175"/>
        </w:trPr>
        <w:tc>
          <w:tcPr>
            <w:tcW w:w="496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Authorized</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Preference</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14,807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14,843</w:t>
            </w: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80" w:type="dxa"/>
            <w:vAlign w:val="bottom"/>
            <w:tcBorders>
              <w:top w:val="single" w:sz="8" w:color="CCEEFF"/>
            </w:tcBorders>
            <w:shd w:val="clear" w:color="auto" w:fill="CCEEFF"/>
          </w:tcPr>
          <w:p>
            <w:pPr>
              <w:spacing w:after="0"/>
              <w:rPr>
                <w:sz w:val="17"/>
                <w:szCs w:val="17"/>
                <w:color w:val="auto"/>
              </w:rPr>
            </w:pPr>
          </w:p>
        </w:tc>
      </w:tr>
      <w:tr>
        <w:trPr>
          <w:trHeight w:val="202"/>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3,305,829</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3,305,829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9,163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9,199</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3,305,829</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B1-NV Preferred Stock</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2,775,311</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381,842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1,174</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381,842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B1 Preferred Stock</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2,775,311</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2,393,469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7,326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7,357</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2,393,469</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5,081,951</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4,954,951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28,072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28,143</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4,954,951</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D Preferred Stock</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2,208,334</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2,208,334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49,859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2,208,334</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E-1 Preferred Stock</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2,374,954</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1,750,514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55,962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70,080</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1,750,514</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E-2 Preferred Stock</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2,966,090</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1,996,126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63,810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79,920</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1,996,126</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F-1 Preferred Stock</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857,312</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857,312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59,737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60,000</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857,312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F-2 Preferred Stock</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57,375</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9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27,227,529</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22,673,439</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289,910</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320,716</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22,673,439</w:t>
            </w:r>
          </w:p>
        </w:tc>
      </w:tr>
      <w:tr>
        <w:trPr>
          <w:trHeight w:val="20"/>
        </w:trPr>
        <w:tc>
          <w:tcPr>
            <w:tcW w:w="4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Preferred Stock have the following rights and preferences (Series B, B1, and B1-NV collectively referred to as “Senior</w:t>
      </w:r>
    </w:p>
    <w:p>
      <w:pPr>
        <w:ind w:left="120"/>
        <w:spacing w:after="0"/>
        <w:rPr>
          <w:sz w:val="20"/>
          <w:szCs w:val="20"/>
          <w:color w:val="auto"/>
        </w:rPr>
      </w:pPr>
      <w:r>
        <w:rPr>
          <w:rFonts w:ascii="Arial" w:cs="Arial" w:eastAsia="Arial" w:hAnsi="Arial"/>
          <w:sz w:val="18"/>
          <w:szCs w:val="18"/>
          <w:color w:val="auto"/>
        </w:rPr>
        <w:t>Preferred Stock”):</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w:t>
      </w:r>
    </w:p>
    <w:p>
      <w:pPr>
        <w:spacing w:after="0" w:line="126"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The holders of the Preferred Stock are entitled to vote, together with the holders of common stock, on all matters submitted to stockholders for a vote. Each holder of Preferred Stock is entitled to the number of votes equal to the number of whole shares of common stock into which each Preferred Stock is convertible at the time of such vote. The holders of Preferred Stock shall vote together with the holders of common stock as a single class, except for the election of the Board of Directors. For such election, the holders of Preferred Stock shall vote exclusively as a separate class to elect three directors. The holders of Class A common stock shall vote exclusively to elect one director. The remainder of the directors of the Company shall be elected by the holders of common stock and preferred stock voting as a single class and are entitled to elect three directors.</w:t>
      </w:r>
    </w:p>
    <w:p>
      <w:pPr>
        <w:spacing w:after="0" w:line="203"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Except as may otherwise be required under Delaware General Corporation Law, holders of the Series B1-NV Preferred Stock, the Series E-2 Preferred Stock and the Series F-2 Preferred Stock shall have no right to vote in respect of such shares.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26"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Each share of Preferred Stock is convertible, at the option of the holder, at any time after the date of issuance of such share, into such number of fully paid and nonassessable shares of common stock.</w:t>
      </w:r>
    </w:p>
    <w:p>
      <w:pPr>
        <w:spacing w:after="0" w:line="197" w:lineRule="exact"/>
        <w:rPr>
          <w:sz w:val="20"/>
          <w:szCs w:val="20"/>
          <w:color w:val="auto"/>
        </w:rPr>
      </w:pPr>
    </w:p>
    <w:p>
      <w:pPr>
        <w:ind w:left="120" w:right="80" w:firstLine="440"/>
        <w:spacing w:after="0" w:line="248" w:lineRule="auto"/>
        <w:rPr>
          <w:sz w:val="20"/>
          <w:szCs w:val="20"/>
          <w:color w:val="auto"/>
        </w:rPr>
      </w:pPr>
      <w:r>
        <w:rPr>
          <w:rFonts w:ascii="Arial" w:cs="Arial" w:eastAsia="Arial" w:hAnsi="Arial"/>
          <w:sz w:val="17"/>
          <w:szCs w:val="17"/>
          <w:color w:val="auto"/>
        </w:rPr>
        <w:t>The conversion ratio of each series of Preferred Stock is determined by dividing the applicable Original Issue Price of each series by the applicable Conversion Price of each series in effect on the date the certificate is surrendered for conversion. The Original Issue Price per share is $1.974 for Series A Preferred Stock, $1.974 for Series B Preferred Stock, $2.252 for Series B1 Preferred Stock and Series</w:t>
      </w:r>
    </w:p>
    <w:p>
      <w:pPr>
        <w:spacing w:after="0" w:line="2"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B1-NV Preferred Stock, $4.44 for Series C Preferred Stock, $22.6415 for Series D Preferred Stock, $32.0287 for Series E Preferred Stock and $69.9862 for Series F Preferred Stock,</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each subject to appropriate adjustment in the event of any stock dividend, stock split, combination or other similar recapitalization and other adjustments as set forth in the Company’s certificate of incorporation, as amended and restated.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Mandatory Conversion</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Each share of Preferred Stock will automatically be converted into shares of the Company’s common stock, at the then effective conversion price upon the closing of the sale of shares of common stock at a price to the public of at least $44.8402 per share, subject to appropriate adjustment for stock splits, stock dividends, combinations and other similar recapitalizations affecting such shares, in a firm commitment underwritten public offering pursuant to an effective registration statement under the Securities Act of 1933, as amended, with net proceeds to the Company of at least $100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A Preferred Stock</w:t>
      </w:r>
    </w:p>
    <w:p>
      <w:pPr>
        <w:spacing w:after="0" w:line="12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A Preferred Stock then outstanding shall be entitled to be paid out of the assets of the Company available for distribution to its stockholders before any payment shall be made to the holders of the common stock by reason of their ownership thereof, an amount per share equal to the greater of (i) the Series A Original Issue Price, plus any dividends accrued but unpaid thereon, whether or not declared, together with any other dividends declared but unpaid thereon or (ii) such amount per share as would have been payable had all shares of Series A Preferred Stock been converted into common stock immediately prior to such liquidation, dissolution, or winding up of the Company. If upon such liquidation, dissolution, or winding up of the Company, the assets of the Company available for distribution to its stockholders shall be insufficient to pay the holders of shares of Series A Preferred Stock the full amount to which they shall be entitled, the holders of shares of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Senior Preferred Stock (Series B, B1 and B1-NV)</w:t>
      </w:r>
    </w:p>
    <w:p>
      <w:pPr>
        <w:spacing w:after="0" w:line="12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Senior Preferred Stock then outstanding shall be entitled to be paid out of the assets of the Company available for distribution to its stockholders before any payment shall be made to the holders of (i) Series A Preferred Stock or (ii) common stock by reason of their ownership thereof, an amount per share equal to the greater of (i) the applicable preferred stock Original Issue Price, plus any dividends accrued but unpaid thereon, whether or not declared, together with any other dividends declared but unpaid thereon or (ii) such amount per share as would have been payable had all shares of Senior Preferred Stock been converted into common stock immediately prior to such liquidation, dissolution, or winding up of the Company.</w:t>
      </w:r>
    </w:p>
    <w:p>
      <w:pPr>
        <w:spacing w:after="0" w:line="203"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Senior Preferred Stock the full amount to which they shall be entitled, the holders of shares of Senior Preferred Stock shall share ratably in any distribution of the assets available for distribution in</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proportion to the respective amounts which would otherwise be payable in respect of the shares held by them upon such distribution if all amounts payable on or with respect to such shares were paid in full.</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C Preferred Stock</w:t>
      </w:r>
    </w:p>
    <w:p>
      <w:pPr>
        <w:spacing w:after="0" w:line="1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C Preferred Stock then outstanding shall be entitled to be paid out of the assets of the Company available for distribution to its stockholders before any payment shall be made to the holders of (i) Senior Preferred Stock (ii) Series A Preferred Stock or (iii) common stock by reason of their ownership thereof, an amount per share equal to the greater of (i) the Series C preferred stock Original Issue Price, plus any dividends accrued but unpaid thereon, whether or not declared, together with any other dividends declared but unpaid thereon or (ii) such amount per share as would have been payable had all shares of Series C Preferred Stock been converted into common stock immediately prior to such liquidation, dissolution, or winding up of the Company.</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C Preferred Stock the full amount to which they shall be entitled, the holders of shares of Series C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D Preferred Stock</w:t>
      </w:r>
    </w:p>
    <w:p>
      <w:pPr>
        <w:spacing w:after="0" w:line="122" w:lineRule="exact"/>
        <w:rPr>
          <w:sz w:val="20"/>
          <w:szCs w:val="20"/>
          <w:color w:val="auto"/>
        </w:rPr>
      </w:pPr>
    </w:p>
    <w:p>
      <w:pPr>
        <w:jc w:val="both"/>
        <w:ind w:left="120" w:right="20" w:firstLine="440"/>
        <w:spacing w:after="0" w:line="234"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D preferred stock then outstanding shall be entitled to be paid out of the assets of the Company available for distribution to its stockholders before any payment shall be made to the holders of (i) Series C Preferred Stock (ii) Senior Preferred Stock (iii) Series A preferred stock or</w:t>
      </w:r>
    </w:p>
    <w:p>
      <w:pPr>
        <w:spacing w:after="0" w:line="2" w:lineRule="exact"/>
        <w:rPr>
          <w:sz w:val="20"/>
          <w:szCs w:val="20"/>
          <w:color w:val="auto"/>
        </w:rPr>
      </w:pPr>
    </w:p>
    <w:p>
      <w:pPr>
        <w:ind w:left="120" w:right="100" w:hanging="4"/>
        <w:spacing w:after="0" w:line="238" w:lineRule="auto"/>
        <w:tabs>
          <w:tab w:leader="none" w:pos="4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common stock by reason of their ownership thereof, an amount per share equal to the greater of (i) the Series D preferred stock Original Issue Price, plus any dividends accrued but unpaid thereon, whether or not declared, together with any other dividends declared but unpaid thereon or (ii) such amount per share as would have been payable had all shares of Series D Preferred Stock been converted into common stock immediately prior to such liquidation, dissolution, or winding up of the Company.</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D Preferred Stock the full amount to which they shall be entitled, the holders of shares of Series D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00"/>
          </w:cols>
          <w:pgMar w:left="320" w:top="459" w:right="47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E Preferred Stock (Series E-1 and E-2)</w:t>
      </w:r>
    </w:p>
    <w:p>
      <w:pPr>
        <w:spacing w:after="0" w:line="122"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color w:val="auto"/>
        </w:rPr>
        <w:t>In the event of a voluntary or involuntary liquidation, dissolution or winding up of the Company, the holders of the Series E preferred stock then outstanding shall be entitled to be paid out of the assets of the Company available for distribution to its stockholders before any payment shall be made to the holders of (i) Series D Preferred Stock, (ii) Series C Preferred Stock, (iii) Senior Preferred Stock, (iv) Series A Preferred Stock, (v) Common Stock, or (vi) any other class or series of capital stock of the Corporation, in each case by reason of their ownership thereof, an amount per share equal to the greater of (a) (i) 125% of the Series E Preferred Stock Original Issue Price, plus any dividends declared but unpaid thereon (if the voluntary or involuntary liquidation, dissolution or winding up of the corporation or any deemed liquidation event is consummated before the second anniversary of the Series E original issue date) and (ii) Series E Original Issue Price, plus any dividends declared but unpaid (if the voluntary or involuntary liquidation, dissolution or winding up of the corporation or any deemed liquidation event is consummated on or after the second anniversary of the Series E original issue date) or (b) such amount per share as would have been payable had all shares of Series E Preferred Stock been converted into common stock immediately prior to such liquidation, dissolution, or winding up of the Company, if the voluntary or involuntary liquidation, dissolution or winding up of the corporation or any deemed liquidation event is consummated before the second anniversary of the Series E original issue date.</w:t>
      </w:r>
    </w:p>
    <w:p>
      <w:pPr>
        <w:spacing w:after="0" w:line="19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E Preferred Stock the full amount to which they shall be entitled, the holders of shares of Series E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F Preferred Stock (Series F-1 and F-2)</w:t>
      </w:r>
    </w:p>
    <w:p>
      <w:pPr>
        <w:spacing w:after="0" w:line="122" w:lineRule="exact"/>
        <w:rPr>
          <w:sz w:val="20"/>
          <w:szCs w:val="20"/>
          <w:color w:val="auto"/>
        </w:rPr>
      </w:pPr>
    </w:p>
    <w:p>
      <w:pPr>
        <w:jc w:val="both"/>
        <w:ind w:left="120" w:right="20" w:firstLine="440"/>
        <w:spacing w:after="0" w:line="234"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F preferred stock then outstanding shall be entitled to be paid out of the assets of the Company available for distribution to its stockholders before any payment shall be made to the holders of (i) Series E Preferred Stock, (ii) Series D Preferred Stock, (iii) Series C Preferred Stock</w:t>
      </w:r>
    </w:p>
    <w:p>
      <w:pPr>
        <w:spacing w:after="0" w:line="2" w:lineRule="exact"/>
        <w:rPr>
          <w:sz w:val="20"/>
          <w:szCs w:val="20"/>
          <w:color w:val="auto"/>
        </w:rPr>
      </w:pPr>
    </w:p>
    <w:p>
      <w:pPr>
        <w:ind w:left="120" w:right="20" w:hanging="4"/>
        <w:spacing w:after="0" w:line="237" w:lineRule="auto"/>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Senior Preferred Stock, (v) Series A Preferred Stock, (vi) Common Stock, or (vii) any other class or series of capital stock of the Corporation, in each case by reason of their ownership thereof, an amount per share equal to the greater of (a) Series F Original Issue Price, plus any dividends declared but unpaid (if the voluntary or involuntary liquidation, dissolution or winding up of the corporation or any deemed liquidation event is consummated on or after the second anniversary of the Series F original issue date) or (b) such amount per share as would have been payable had all shares of Series F Preferred Stock been converted into common stock immediately prior to such liquidation, dissolution, or winding up of the Company, if the voluntary or involuntary liquidation, dissolution or winding up of the corporation or any deemed liquidation event is consummated before the second anniversary of the Series F original issue date.</w:t>
      </w:r>
    </w:p>
    <w:p>
      <w:pPr>
        <w:spacing w:after="0" w:line="203"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F Preferred Stock the full amount to which they shall be entitled, the holders of shares of Series F</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00"/>
          </w:cols>
          <w:pgMar w:left="320" w:top="459" w:right="47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jc w:val="both"/>
        <w:ind w:left="120" w:right="120"/>
        <w:spacing w:after="0"/>
        <w:rPr>
          <w:sz w:val="20"/>
          <w:szCs w:val="20"/>
          <w:color w:val="auto"/>
        </w:rPr>
      </w:pPr>
      <w:r>
        <w:rPr>
          <w:rFonts w:ascii="Arial" w:cs="Arial" w:eastAsia="Arial" w:hAnsi="Arial"/>
          <w:sz w:val="18"/>
          <w:szCs w:val="18"/>
          <w:color w:val="auto"/>
        </w:rPr>
        <w:t>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July 2018, coinciding with the issuance of Series D Preferred Stock, the certificate of incorporation was amended to eliminate the future accrual of dividends. Holders of Series A Preferred Stock, Senior Preferred Stock and Series C Preferred Stock were entitled to accrue dividends through the Series D Preferred Stock issuance date of July 5, 2018 (the “Preferred Stock Dividends”) out of any assets legally available therefor, prior and in preference to any declaration or payment of any dividend to shareholders of common stock. The Preferred Stock Dividends shall be cumulative and accrue, day to day through the Series D Preferred Stock issuance date, at a rate per annum of 8% per share on such shares of preferred stock, subject to appropriate adjustment in the event of any stock dividend, stock split, combination, or other similar recapitalization with respect to the preferred stock. The holders of Series D Preferred Stock, Series E Preferred Stock and Series F Preferred Stock are not entitled to accrue dividends.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Accumulated dividends were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December 31, March 31,</w:t>
            </w:r>
          </w:p>
        </w:tc>
      </w:tr>
      <w:tr>
        <w:trPr>
          <w:trHeight w:val="156"/>
        </w:trPr>
        <w:tc>
          <w:tcPr>
            <w:tcW w:w="90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3"/>
                <w:szCs w:val="13"/>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 . . . . . . . . . . . . . . . . . . . . . . . . . . . . . . . . . . . . ...SeriesAPreferredStock</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5,318</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5,318</w:t>
            </w:r>
          </w:p>
        </w:tc>
        <w:tc>
          <w:tcPr>
            <w:tcW w:w="80" w:type="dxa"/>
            <w:vAlign w:val="bottom"/>
            <w:shd w:val="clear" w:color="auto" w:fill="CCEEFF"/>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Series B Preferred Stock. . . . . . . . . . . . . . . . . . . . . . . . . . . . . . . . . . . . . . ...</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1,967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1,967</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B1-NV Preferred Stock . . . . . . . . . . . . . . . . . . . . .. . . . . . . . . . . . . . .</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314</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Series B1 Preferred Stock. . . . . . . . . . . . . . . . . . . . . . . . . . . . . . . . . . . . . ...</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2,673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2,673</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 . . . . . . . . . . . . . . . . . . . . . . . . . . . . . . . . . . . . . ...</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6,143</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6,143</w:t>
            </w:r>
          </w:p>
        </w:tc>
      </w:tr>
      <w:tr>
        <w:trPr>
          <w:trHeight w:val="20"/>
        </w:trPr>
        <w:tc>
          <w:tcPr>
            <w:tcW w:w="9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0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16,415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16,415</w:t>
            </w:r>
          </w:p>
        </w:tc>
      </w:tr>
      <w:tr>
        <w:trPr>
          <w:trHeight w:val="20"/>
        </w:trPr>
        <w:tc>
          <w:tcPr>
            <w:tcW w:w="9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dividends were declared or paid by the Company during the three months ended March 31, 2020 and 2021.</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Series A, B, B1 B1-NV, C and D of Preferred Stock do not contain any date-certain redemption features. At any time on or after the fifteenth anniversary of the Series E Preferred Stock issue date, any holder of Series E Preferred Stock may elect to have all outstanding shares of Series E Preferred Stock redeemed. The redemption price for each share of Series E Preferred Stock will be the original issue price per share, plus any declared but unpaid dividends. At any time on or after the fifteenth anniversary of the Series F Preferred Stock issue date, any holder of Series F Preferred Stock may elect to have all outstanding shares of Series F Preferred Stock redeemed. The redemption price for each share of Series F Preferred Stock will be the original issue price per share, plus any declared but unpaid dividends. All classes of the Company’s Preferred Stock are contingently redeemable upon a deemed liquidation event.</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Classification of Convertible Preferred Stock</w:t>
      </w:r>
    </w:p>
    <w:p>
      <w:pPr>
        <w:spacing w:after="0" w:line="126"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Preferred Stock is contingently redeemable upon certain deemed liquidation events outside of the Company’s control such as a dissolution, winding up of the Company, merger or consolidation, or other disposition of all or substantially all the assets of the Company. Accordingly, all shares of convertible Preferred Stock have been presented outside of permanent equity in mezzanine equity on the consolidated balance sheets.</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Company recorded the convertible Preferred Stock at fair value on the dates of issuance, net of issuance costs. Shares of convertible preferred stock are not currently redeemable. The Company did not adjust the carrying values of the convertible preferred stock to the deemed liquidation values of such shares since a liquidation event was not probable at any of the balance sheet dates. Subsequent adjustments to increase or decrease the carrying values to the ultimate liquidation values will be made only if, and when, it becomes probable that such a liquidation event will occur. The Company will evaluate the redemption contingency at each reporting period, reclassifying the instrument to a liability when the contingency is resolved and the convertible preferred stock becomes mandatorily redeemable.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Classification and Accretion of Redeemable Convertible Preferred Stock</w:t>
      </w:r>
    </w:p>
    <w:p>
      <w:pPr>
        <w:spacing w:after="0" w:line="126" w:lineRule="exact"/>
        <w:rPr>
          <w:sz w:val="20"/>
          <w:szCs w:val="20"/>
          <w:color w:val="auto"/>
        </w:rPr>
      </w:pPr>
    </w:p>
    <w:p>
      <w:pPr>
        <w:ind w:left="120" w:right="220" w:firstLine="440"/>
        <w:spacing w:after="0" w:line="236" w:lineRule="auto"/>
        <w:rPr>
          <w:sz w:val="20"/>
          <w:szCs w:val="20"/>
          <w:color w:val="auto"/>
        </w:rPr>
      </w:pPr>
      <w:r>
        <w:rPr>
          <w:rFonts w:ascii="Arial" w:cs="Arial" w:eastAsia="Arial" w:hAnsi="Arial"/>
          <w:sz w:val="18"/>
          <w:szCs w:val="18"/>
          <w:color w:val="auto"/>
        </w:rPr>
        <w:t>The Company has classified redeemable convertible preferred stock outside of stockholders’ deficit because the shares contain certain redemption features that are not solely within the control of the Company. Costs incurred in connection with the issuance of each series of redeemable convertible preferred stock are recorded as a reduction of gross proceeds from issuance. The Company records periodic accretion to the carrying values of its outstanding redeemable convertible preferred stock such that the carrying value of the redeemable convertible preferred stock will be equal to the original issuance cost at the earliest date of redemption. Adjustments to the carrying values of the redeemable convertible preferred stock to record this accretion at each reporting date are considered a deemed dividend, which adjusts additional paid-in capital and increases or decreases net loss attributable to common stockholders in computing basic and diluted net loss per share.</w:t>
      </w:r>
    </w:p>
    <w:p>
      <w:pPr>
        <w:spacing w:after="0" w:line="334" w:lineRule="exact"/>
        <w:rPr>
          <w:sz w:val="20"/>
          <w:szCs w:val="20"/>
          <w:color w:val="auto"/>
        </w:rPr>
      </w:pPr>
    </w:p>
    <w:p>
      <w:pPr>
        <w:ind w:left="660" w:hanging="544"/>
        <w:spacing w:after="0"/>
        <w:tabs>
          <w:tab w:leader="none" w:pos="6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Convertible Preferred Stock</w:t>
      </w:r>
    </w:p>
    <w:p>
      <w:pPr>
        <w:spacing w:after="0" w:line="12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 connection with the January 2018 LSA, the Company issued 127,000 warrants to purchase Series C Convertible Preferred Stock. The Company’s warrants to purchase preferred stock provide for net share settlement under which the maximum number of shares that could be issued represents the total amount of shares under the warrant agreements. The maximum number of shares that could be required to be issued to net share settle the warrants is 28,603 shares of Series C Convertible Preferred Stock.</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warrants to purchase the following classes of Preferred Stock were outstanding: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of</w:t>
            </w: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Number of</w:t>
            </w: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Weight</w:t>
            </w: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Remaining</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Preferred Shares</w:t>
            </w: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Average</w:t>
            </w: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Contractual</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Fair Value of</w:t>
            </w:r>
          </w:p>
        </w:tc>
        <w:tc>
          <w:tcPr>
            <w:tcW w:w="0" w:type="dxa"/>
            <w:vAlign w:val="bottom"/>
          </w:tcPr>
          <w:p>
            <w:pPr>
              <w:spacing w:after="0"/>
              <w:rPr>
                <w:sz w:val="1"/>
                <w:szCs w:val="1"/>
                <w:color w:val="auto"/>
              </w:rPr>
            </w:pPr>
          </w:p>
        </w:tc>
      </w:tr>
      <w:tr>
        <w:trPr>
          <w:trHeight w:val="162"/>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Preferred</w:t>
            </w: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Issuable Under</w:t>
            </w: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Exercise</w:t>
            </w: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Term</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Stock</w:t>
            </w:r>
          </w:p>
        </w:tc>
        <w:tc>
          <w:tcPr>
            <w:tcW w:w="3600" w:type="dxa"/>
            <w:vAlign w:val="bottom"/>
          </w:tcPr>
          <w:p>
            <w:pPr>
              <w:spacing w:after="0"/>
              <w:rPr>
                <w:sz w:val="16"/>
                <w:szCs w:val="16"/>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Issuance Date</w:t>
            </w: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Warrant</w:t>
            </w: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Price</w:t>
            </w: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(In Years)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0"/>
        </w:trPr>
        <w:tc>
          <w:tcPr>
            <w:tcW w:w="40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Series C</w:t>
            </w:r>
          </w:p>
        </w:tc>
        <w:tc>
          <w:tcPr>
            <w:tcW w:w="14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January 16, 2018</w:t>
            </w:r>
          </w:p>
        </w:tc>
        <w:tc>
          <w:tcPr>
            <w:tcW w:w="5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127,000</w:t>
            </w:r>
          </w:p>
        </w:tc>
        <w:tc>
          <w:tcPr>
            <w:tcW w:w="5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$4.44</w:t>
            </w:r>
          </w:p>
        </w:tc>
        <w:tc>
          <w:tcPr>
            <w:tcW w:w="5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4.0</w:t>
            </w:r>
          </w:p>
        </w:tc>
        <w:tc>
          <w:tcPr>
            <w:tcW w:w="5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$1,932</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40"/>
          </w:cols>
          <w:pgMar w:left="32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2021 warrants to purchase the following classes of Preferred Stock were outstanding: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of</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Number of</w:t>
            </w: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Weight</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Preferred</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Average</w:t>
            </w: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Contractual</w:t>
            </w:r>
          </w:p>
        </w:tc>
        <w:tc>
          <w:tcPr>
            <w:tcW w:w="11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Fair Value of</w:t>
            </w:r>
          </w:p>
        </w:tc>
        <w:tc>
          <w:tcPr>
            <w:tcW w:w="0" w:type="dxa"/>
            <w:vAlign w:val="bottom"/>
          </w:tcPr>
          <w:p>
            <w:pPr>
              <w:spacing w:after="0"/>
              <w:rPr>
                <w:sz w:val="1"/>
                <w:szCs w:val="1"/>
                <w:color w:val="auto"/>
              </w:rPr>
            </w:pPr>
          </w:p>
        </w:tc>
      </w:tr>
      <w:tr>
        <w:trPr>
          <w:trHeight w:val="162"/>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Preferred</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Shares Issuable</w:t>
            </w: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Exercise</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Term</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Stock</w:t>
            </w:r>
          </w:p>
        </w:tc>
        <w:tc>
          <w:tcPr>
            <w:tcW w:w="3580" w:type="dxa"/>
            <w:vAlign w:val="bottom"/>
          </w:tcPr>
          <w:p>
            <w:pPr>
              <w:spacing w:after="0"/>
              <w:rPr>
                <w:sz w:val="16"/>
                <w:szCs w:val="16"/>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Issuance Date</w:t>
            </w: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Under Warrant</w:t>
            </w: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Price</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(In Years)</w:t>
            </w: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9"/>
        </w:trPr>
        <w:tc>
          <w:tcPr>
            <w:tcW w:w="3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Series C</w:t>
            </w:r>
          </w:p>
        </w:tc>
        <w:tc>
          <w:tcPr>
            <w:tcW w:w="14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January 16, 2018</w:t>
            </w:r>
          </w:p>
        </w:tc>
        <w:tc>
          <w:tcPr>
            <w:tcW w:w="4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127,000</w:t>
            </w:r>
          </w:p>
        </w:tc>
        <w:tc>
          <w:tcPr>
            <w:tcW w:w="5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  4.44</w:t>
            </w:r>
          </w:p>
        </w:tc>
        <w:tc>
          <w:tcPr>
            <w:tcW w:w="5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w:t>
            </w:r>
          </w:p>
        </w:tc>
        <w:tc>
          <w:tcPr>
            <w:tcW w:w="5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2,886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As a result of changes in the fair value of these warrants, the Company recorded expense of $0.3 million and $1.0 million, for the three months ended March 31, 2020 and 2021, respectively.</w:t>
      </w:r>
    </w:p>
    <w:p>
      <w:pPr>
        <w:spacing w:after="0" w:line="197"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The following table provides a roll forward of the aggregate fair value of the Company’s preferred stock warrants for the three months ended March 31, 2020 and 2021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5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Ended</w:t>
            </w:r>
          </w:p>
        </w:tc>
      </w:tr>
      <w:tr>
        <w:trPr>
          <w:trHeight w:val="162"/>
        </w:trPr>
        <w:tc>
          <w:tcPr>
            <w:tcW w:w="5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5420" w:type="dxa"/>
            <w:vAlign w:val="bottom"/>
            <w:tcBorders>
              <w:bottom w:val="single" w:sz="8" w:color="CCEEFF"/>
            </w:tcBorders>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29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1,307</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1,932</w:t>
            </w:r>
          </w:p>
        </w:tc>
        <w:tc>
          <w:tcPr>
            <w:tcW w:w="60" w:type="dxa"/>
            <w:vAlign w:val="bottom"/>
            <w:shd w:val="clear" w:color="auto" w:fill="CCEEFF"/>
          </w:tcPr>
          <w:p>
            <w:pPr>
              <w:spacing w:after="0"/>
              <w:rPr>
                <w:sz w:val="17"/>
                <w:szCs w:val="17"/>
                <w:color w:val="auto"/>
              </w:rPr>
            </w:pPr>
          </w:p>
        </w:tc>
      </w:tr>
      <w:tr>
        <w:trPr>
          <w:trHeight w:val="209"/>
        </w:trPr>
        <w:tc>
          <w:tcPr>
            <w:tcW w:w="5420" w:type="dxa"/>
            <w:vAlign w:val="bottom"/>
          </w:tcPr>
          <w:p>
            <w:pPr>
              <w:spacing w:after="0" w:line="202" w:lineRule="exact"/>
              <w:rPr>
                <w:sz w:val="20"/>
                <w:szCs w:val="20"/>
                <w:color w:val="auto"/>
              </w:rPr>
            </w:pPr>
            <w:r>
              <w:rPr>
                <w:rFonts w:ascii="Arial" w:cs="Arial" w:eastAsia="Arial" w:hAnsi="Arial"/>
                <w:sz w:val="18"/>
                <w:szCs w:val="18"/>
                <w:color w:val="auto"/>
              </w:rPr>
              <w:t>Changes in fair value</w:t>
            </w:r>
          </w:p>
        </w:tc>
        <w:tc>
          <w:tcPr>
            <w:tcW w:w="2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954</w:t>
            </w:r>
          </w:p>
        </w:tc>
        <w:tc>
          <w:tcPr>
            <w:tcW w:w="60" w:type="dxa"/>
            <w:vAlign w:val="bottom"/>
          </w:tcPr>
          <w:p>
            <w:pPr>
              <w:spacing w:after="0"/>
              <w:rPr>
                <w:sz w:val="18"/>
                <w:szCs w:val="18"/>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end of period</w:t>
            </w:r>
          </w:p>
        </w:tc>
        <w:tc>
          <w:tcPr>
            <w:tcW w:w="3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2,886</w:t>
            </w:r>
          </w:p>
        </w:tc>
      </w:tr>
      <w:tr>
        <w:trPr>
          <w:trHeight w:val="20"/>
        </w:trPr>
        <w:tc>
          <w:tcPr>
            <w:tcW w:w="54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Common Stock Warrants</w:t>
      </w:r>
    </w:p>
    <w:p>
      <w:pPr>
        <w:spacing w:after="0" w:line="126"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As of March 31, 2021, the Company’s amended and restated certificate of incorporation authorized the issuance of 51.5 million shares, par value of $.0001 common stock. In February 2021, the amended and restated certificate of incorporation adjusted common stock reserved for issuance in connection with the conversion of Preferred Stock to a total of 27,227,529 shares and upon the exercise of stock options under the Company’s 2018 Equity Incentive plan to a total of 10,666,788.</w:t>
      </w:r>
    </w:p>
    <w:p>
      <w:pPr>
        <w:spacing w:after="0" w:line="20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Each share of common stock entitles the holder to one vote on all matters submitted to the Company’s stockholders for a vote. Holders of common stock are entitled to receive dividends at the discretion of the Board of Directors pending on applicable laws and the Company’s financial condition, results of operations, cash requirements, prospects and other factors as the Board of Directors may deem relevant. The holders have no preemptive, conversion, or other subscription rights. There are no redemption or scheduled installment payment provisions relating to shares of common stock. All the outstanding shares of common stock are fully paid and nonassessable. As of December 31, 2020 and March 31, 2021, no cash divided have been declared or paid.</w:t>
      </w:r>
    </w:p>
    <w:p>
      <w:pPr>
        <w:spacing w:after="0" w:line="205"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In August 2012, the Company entered into a Loan and Security Agreement. In connection with the agreement, the Company issued to the lender a warrant to purchase up to 25,000 shares of the Company’s common stock at a price of $0.50 per share.</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40"/>
          </w:cols>
          <w:pgMar w:left="320" w:top="459"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120" w:firstLine="440"/>
        <w:spacing w:after="0" w:line="261" w:lineRule="auto"/>
        <w:rPr>
          <w:sz w:val="20"/>
          <w:szCs w:val="20"/>
          <w:color w:val="auto"/>
        </w:rPr>
      </w:pPr>
      <w:r>
        <w:rPr>
          <w:rFonts w:ascii="Arial" w:cs="Arial" w:eastAsia="Arial" w:hAnsi="Arial"/>
          <w:sz w:val="17"/>
          <w:szCs w:val="17"/>
          <w:color w:val="auto"/>
        </w:rPr>
        <w:t>On May 18, 2020, in connection with the Company’s refinancing of the LSA, the Company issued warrants to purchase 63,057 shares of common stock at $11.84 per share that were classified as equity. The initial fair value of the warrants was $0.4 million. The fair value of the warrants was determined using the Black Scholes model on the date of issuance using the assumptions as presented below:</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44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4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w:t>
            </w:r>
          </w:p>
        </w:tc>
      </w:tr>
      <w:tr>
        <w:trPr>
          <w:trHeight w:val="217"/>
        </w:trPr>
        <w:tc>
          <w:tcPr>
            <w:tcW w:w="6620" w:type="dxa"/>
            <w:vAlign w:val="bottom"/>
          </w:tcPr>
          <w:p>
            <w:pPr>
              <w:spacing w:after="0"/>
              <w:rPr>
                <w:sz w:val="20"/>
                <w:szCs w:val="20"/>
                <w:color w:val="auto"/>
              </w:rPr>
            </w:pPr>
            <w:r>
              <w:rPr>
                <w:rFonts w:ascii="Arial" w:cs="Arial" w:eastAsia="Arial" w:hAnsi="Arial"/>
                <w:sz w:val="18"/>
                <w:szCs w:val="18"/>
                <w:color w:val="auto"/>
              </w:rPr>
              <w:t>Remaining contractual term (years)</w:t>
            </w:r>
          </w:p>
        </w:tc>
        <w:tc>
          <w:tcPr>
            <w:tcW w:w="4400" w:type="dxa"/>
            <w:vAlign w:val="bottom"/>
          </w:tcPr>
          <w:p>
            <w:pPr>
              <w:jc w:val="right"/>
              <w:ind w:right="130"/>
              <w:spacing w:after="0"/>
              <w:rPr>
                <w:sz w:val="20"/>
                <w:szCs w:val="20"/>
                <w:color w:val="auto"/>
              </w:rPr>
            </w:pPr>
            <w:r>
              <w:rPr>
                <w:rFonts w:ascii="Arial" w:cs="Arial" w:eastAsia="Arial" w:hAnsi="Arial"/>
                <w:sz w:val="18"/>
                <w:szCs w:val="18"/>
                <w:color w:val="auto"/>
              </w:rPr>
              <w:t>10</w:t>
            </w:r>
          </w:p>
        </w:tc>
      </w:tr>
    </w:tbl>
    <w:p>
      <w:pPr>
        <w:spacing w:after="0" w:line="201"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On March 24, 2021, the May 2020 LSA warrants were exercised via a cashless exercise, resulting in the issuance of 50,506 shares of common stock.</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about the Company’s outstanding common stock warrants as of December 31, 2020 and</w:t>
      </w:r>
    </w:p>
    <w:p>
      <w:pPr>
        <w:ind w:left="120"/>
        <w:spacing w:after="0"/>
        <w:rPr>
          <w:sz w:val="20"/>
          <w:szCs w:val="20"/>
          <w:color w:val="auto"/>
        </w:rPr>
      </w:pPr>
      <w:r>
        <w:rPr>
          <w:rFonts w:ascii="Arial" w:cs="Arial" w:eastAsia="Arial" w:hAnsi="Arial"/>
          <w:sz w:val="18"/>
          <w:szCs w:val="18"/>
          <w:color w:val="auto"/>
        </w:rPr>
        <w:t>March 31, 2021:</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0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w w:val="94"/>
              </w:rPr>
              <w:t>DATE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81"/>
        </w:trPr>
        <w:tc>
          <w:tcPr>
            <w:tcW w:w="5200" w:type="dxa"/>
            <w:vAlign w:val="bottom"/>
          </w:tcPr>
          <w:p>
            <w:pPr>
              <w:spacing w:after="0"/>
              <w:rPr>
                <w:sz w:val="7"/>
                <w:szCs w:val="7"/>
                <w:color w:val="auto"/>
              </w:rPr>
            </w:pPr>
          </w:p>
        </w:tc>
        <w:tc>
          <w:tcPr>
            <w:tcW w:w="1200" w:type="dxa"/>
            <w:vAlign w:val="bottom"/>
            <w:tcBorders>
              <w:bottom w:val="single" w:sz="8" w:color="auto"/>
            </w:tcBorders>
            <w:gridSpan w:val="3"/>
            <w:vMerge w:val="continue"/>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61"/>
        </w:trPr>
        <w:tc>
          <w:tcPr>
            <w:tcW w:w="5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Strike</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and</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200" w:type="dxa"/>
            <w:vAlign w:val="bottom"/>
            <w:gridSpan w:val="3"/>
          </w:tcPr>
          <w:p>
            <w:pPr>
              <w:ind w:left="200"/>
              <w:spacing w:after="0"/>
              <w:rPr>
                <w:sz w:val="20"/>
                <w:szCs w:val="20"/>
                <w:color w:val="auto"/>
              </w:rPr>
            </w:pPr>
            <w:r>
              <w:rPr>
                <w:rFonts w:ascii="Arial" w:cs="Arial" w:eastAsia="Arial" w:hAnsi="Arial"/>
                <w:sz w:val="14"/>
                <w:szCs w:val="14"/>
                <w:b w:val="1"/>
                <w:bCs w:val="1"/>
                <w:color w:val="auto"/>
              </w:rPr>
              <w:t>Issued</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Expiration</w:t>
            </w:r>
          </w:p>
        </w:tc>
        <w:tc>
          <w:tcPr>
            <w:tcW w:w="26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Price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Pr>
          <w:p>
            <w:pPr>
              <w:spacing w:after="0"/>
              <w:rPr>
                <w:sz w:val="15"/>
                <w:szCs w:val="15"/>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Price</w:t>
            </w:r>
          </w:p>
        </w:tc>
        <w:tc>
          <w:tcPr>
            <w:tcW w:w="14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LSA Warrants</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August-12</w:t>
            </w: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August-22</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$ 0.50</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00" w:type="dxa"/>
            <w:vAlign w:val="bottom"/>
          </w:tcPr>
          <w:p>
            <w:pPr>
              <w:spacing w:after="0"/>
              <w:rPr>
                <w:sz w:val="20"/>
                <w:szCs w:val="20"/>
                <w:color w:val="auto"/>
              </w:rPr>
            </w:pPr>
            <w:r>
              <w:rPr>
                <w:rFonts w:ascii="Arial" w:cs="Arial" w:eastAsia="Arial" w:hAnsi="Arial"/>
                <w:sz w:val="18"/>
                <w:szCs w:val="18"/>
                <w:color w:val="auto"/>
              </w:rPr>
              <w:t>LSA Warrants</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May-20</w:t>
            </w:r>
          </w:p>
        </w:tc>
        <w:tc>
          <w:tcPr>
            <w:tcW w:w="820" w:type="dxa"/>
            <w:vAlign w:val="bottom"/>
          </w:tcPr>
          <w:p>
            <w:pPr>
              <w:jc w:val="right"/>
              <w:spacing w:after="0"/>
              <w:rPr>
                <w:sz w:val="20"/>
                <w:szCs w:val="20"/>
                <w:color w:val="auto"/>
              </w:rPr>
            </w:pPr>
            <w:r>
              <w:rPr>
                <w:rFonts w:ascii="Arial" w:cs="Arial" w:eastAsia="Arial" w:hAnsi="Arial"/>
                <w:sz w:val="18"/>
                <w:szCs w:val="18"/>
                <w:color w:val="auto"/>
              </w:rPr>
              <w:t>May-30</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$11.84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63,057</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w w:val="96"/>
              </w:rPr>
              <w:t>$ 11.84</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$ 11.84</w:t>
            </w:r>
          </w:p>
        </w:tc>
        <w:tc>
          <w:tcPr>
            <w:tcW w:w="0" w:type="dxa"/>
            <w:vAlign w:val="bottom"/>
          </w:tcPr>
          <w:p>
            <w:pPr>
              <w:spacing w:after="0"/>
              <w:rPr>
                <w:sz w:val="1"/>
                <w:szCs w:val="1"/>
                <w:color w:val="auto"/>
              </w:rPr>
            </w:pPr>
          </w:p>
        </w:tc>
      </w:tr>
      <w:tr>
        <w:trPr>
          <w:trHeight w:val="364"/>
        </w:trPr>
        <w:tc>
          <w:tcPr>
            <w:tcW w:w="52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rPr>
              <w:t>As of March 31, 2021</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0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w w:val="94"/>
              </w:rPr>
              <w:t>DATE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81"/>
        </w:trPr>
        <w:tc>
          <w:tcPr>
            <w:tcW w:w="5200" w:type="dxa"/>
            <w:vAlign w:val="bottom"/>
          </w:tcPr>
          <w:p>
            <w:pPr>
              <w:spacing w:after="0"/>
              <w:rPr>
                <w:sz w:val="7"/>
                <w:szCs w:val="7"/>
                <w:color w:val="auto"/>
              </w:rPr>
            </w:pPr>
          </w:p>
        </w:tc>
        <w:tc>
          <w:tcPr>
            <w:tcW w:w="1200" w:type="dxa"/>
            <w:vAlign w:val="bottom"/>
            <w:tcBorders>
              <w:bottom w:val="single" w:sz="8" w:color="auto"/>
            </w:tcBorders>
            <w:gridSpan w:val="3"/>
            <w:vMerge w:val="continue"/>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61"/>
        </w:trPr>
        <w:tc>
          <w:tcPr>
            <w:tcW w:w="5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Strike</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and</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200" w:type="dxa"/>
            <w:vAlign w:val="bottom"/>
            <w:gridSpan w:val="3"/>
          </w:tcPr>
          <w:p>
            <w:pPr>
              <w:ind w:left="200"/>
              <w:spacing w:after="0"/>
              <w:rPr>
                <w:sz w:val="20"/>
                <w:szCs w:val="20"/>
                <w:color w:val="auto"/>
              </w:rPr>
            </w:pPr>
            <w:r>
              <w:rPr>
                <w:rFonts w:ascii="Arial" w:cs="Arial" w:eastAsia="Arial" w:hAnsi="Arial"/>
                <w:sz w:val="14"/>
                <w:szCs w:val="14"/>
                <w:b w:val="1"/>
                <w:bCs w:val="1"/>
                <w:color w:val="auto"/>
              </w:rPr>
              <w:t>Issued</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Expiration</w:t>
            </w:r>
          </w:p>
        </w:tc>
        <w:tc>
          <w:tcPr>
            <w:tcW w:w="26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Price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Pr>
          <w:p>
            <w:pPr>
              <w:spacing w:after="0"/>
              <w:rPr>
                <w:sz w:val="15"/>
                <w:szCs w:val="15"/>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Price</w:t>
            </w:r>
          </w:p>
        </w:tc>
        <w:tc>
          <w:tcPr>
            <w:tcW w:w="14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LSA Warrants</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August-12</w:t>
            </w: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August-22</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$ 0.50</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120" w:right="8100" w:hanging="4"/>
        <w:spacing w:after="0" w:line="394" w:lineRule="auto"/>
        <w:tabs>
          <w:tab w:leader="none" w:pos="660"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b w:val="1"/>
          <w:bCs w:val="1"/>
          <w:i w:val="1"/>
          <w:iCs w:val="1"/>
          <w:color w:val="auto"/>
        </w:rPr>
        <w:t>2018 Equity Incentive Plan</w:t>
      </w:r>
    </w:p>
    <w:p>
      <w:pPr>
        <w:spacing w:after="0" w:line="1" w:lineRule="exact"/>
        <w:rPr>
          <w:sz w:val="20"/>
          <w:szCs w:val="20"/>
          <w:color w:val="auto"/>
        </w:rPr>
      </w:pPr>
    </w:p>
    <w:p>
      <w:pPr>
        <w:jc w:val="both"/>
        <w:ind w:left="120" w:right="260" w:firstLine="440"/>
        <w:spacing w:after="0"/>
        <w:rPr>
          <w:sz w:val="20"/>
          <w:szCs w:val="20"/>
          <w:color w:val="auto"/>
        </w:rPr>
      </w:pPr>
      <w:r>
        <w:rPr>
          <w:rFonts w:ascii="Arial" w:cs="Arial" w:eastAsia="Arial" w:hAnsi="Arial"/>
          <w:sz w:val="18"/>
          <w:szCs w:val="18"/>
          <w:color w:val="auto"/>
        </w:rPr>
        <w:t>The Company’s 2018 Equity Incentive Plan (the “2018 Plan”) provides for the issuance of a total of 10,666,788 shares of common stock in the form of incentive stock options, nonqualified stock options, and restricted stock awards to the Company’s directors, officers, employees and outside consultants.</w:t>
      </w:r>
    </w:p>
    <w:p>
      <w:pPr>
        <w:spacing w:after="0" w:line="20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As of December 31, 2020 and March 31, 2021, an aggregate of 783,949 and 548,486 incentive stock options, nonqualified options, and restricted stock awards of the Company are still available for future grant, respectively.</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The following table summarizes the outstanding stock option activity and a summary of information related to stock options as of and for the three months ended March 31,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Weighted</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Exercise</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6100" w:type="dxa"/>
            <w:vAlign w:val="bottom"/>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Price Per</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4"/>
                <w:szCs w:val="1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 Value</w:t>
            </w:r>
          </w:p>
        </w:tc>
      </w:tr>
      <w:tr>
        <w:trPr>
          <w:trHeight w:val="175"/>
        </w:trPr>
        <w:tc>
          <w:tcPr>
            <w:tcW w:w="6100" w:type="dxa"/>
            <w:vAlign w:val="bottom"/>
          </w:tcPr>
          <w:p>
            <w:pPr>
              <w:spacing w:after="0"/>
              <w:rPr>
                <w:sz w:val="15"/>
                <w:szCs w:val="15"/>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Share</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 Years)</w:t>
            </w:r>
          </w:p>
        </w:tc>
        <w:tc>
          <w:tcPr>
            <w:tcW w:w="24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as of January 1, 2021</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5,569,601</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6.06</w:t>
            </w:r>
          </w:p>
        </w:tc>
        <w:tc>
          <w:tcPr>
            <w:tcW w:w="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6.64</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956,155</w:t>
            </w:r>
          </w:p>
        </w:tc>
        <w:tc>
          <w:tcPr>
            <w:tcW w:w="120" w:type="dxa"/>
            <w:vAlign w:val="bottom"/>
          </w:tcPr>
          <w:p>
            <w:pPr>
              <w:spacing w:after="0"/>
              <w:rPr>
                <w:sz w:val="17"/>
                <w:szCs w:val="17"/>
                <w:color w:val="auto"/>
              </w:rPr>
            </w:pPr>
          </w:p>
        </w:tc>
        <w:tc>
          <w:tcPr>
            <w:tcW w:w="9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18.57</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(1,001,858)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2.41</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14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(19,294)</w:t>
            </w:r>
          </w:p>
        </w:tc>
        <w:tc>
          <w:tcPr>
            <w:tcW w:w="120" w:type="dxa"/>
            <w:vAlign w:val="bottom"/>
          </w:tcPr>
          <w:p>
            <w:pPr>
              <w:spacing w:after="0"/>
              <w:rPr>
                <w:sz w:val="17"/>
                <w:szCs w:val="17"/>
                <w:color w:val="auto"/>
              </w:rPr>
            </w:pPr>
          </w:p>
        </w:tc>
        <w:tc>
          <w:tcPr>
            <w:tcW w:w="9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12.17</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Expired</w:t>
            </w:r>
          </w:p>
        </w:tc>
        <w:tc>
          <w:tcPr>
            <w:tcW w:w="14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(5,863)</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9.84</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6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100" w:type="dxa"/>
            <w:vAlign w:val="bottom"/>
          </w:tcPr>
          <w:p>
            <w:pPr>
              <w:spacing w:after="0"/>
              <w:rPr>
                <w:sz w:val="20"/>
                <w:szCs w:val="20"/>
                <w:color w:val="auto"/>
              </w:rPr>
            </w:pPr>
            <w:r>
              <w:rPr>
                <w:rFonts w:ascii="Arial" w:cs="Arial" w:eastAsia="Arial" w:hAnsi="Arial"/>
                <w:sz w:val="18"/>
                <w:szCs w:val="18"/>
                <w:color w:val="auto"/>
              </w:rPr>
              <w:t>Outstanding as of March 31, 2021</w:t>
            </w:r>
          </w:p>
        </w:tc>
        <w:tc>
          <w:tcPr>
            <w:tcW w:w="920" w:type="dxa"/>
            <w:vAlign w:val="bottom"/>
          </w:tcPr>
          <w:p>
            <w:pPr>
              <w:jc w:val="right"/>
              <w:spacing w:after="0"/>
              <w:rPr>
                <w:sz w:val="20"/>
                <w:szCs w:val="20"/>
                <w:color w:val="auto"/>
              </w:rPr>
            </w:pPr>
            <w:r>
              <w:rPr>
                <w:rFonts w:ascii="Arial" w:cs="Arial" w:eastAsia="Arial" w:hAnsi="Arial"/>
                <w:sz w:val="18"/>
                <w:szCs w:val="18"/>
                <w:color w:val="auto"/>
              </w:rPr>
              <w:t>5,498,741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8.88</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201,879</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as of March 31, 2021</w:t>
            </w: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2,785,500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4.66</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5.74</w:t>
            </w:r>
          </w:p>
        </w:tc>
        <w:tc>
          <w:tcPr>
            <w:tcW w:w="3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114,001</w:t>
            </w:r>
          </w:p>
        </w:tc>
      </w:tr>
      <w:tr>
        <w:trPr>
          <w:trHeight w:val="217"/>
        </w:trPr>
        <w:tc>
          <w:tcPr>
            <w:tcW w:w="6100" w:type="dxa"/>
            <w:vAlign w:val="bottom"/>
          </w:tcPr>
          <w:p>
            <w:pPr>
              <w:spacing w:after="0"/>
              <w:rPr>
                <w:sz w:val="20"/>
                <w:szCs w:val="20"/>
                <w:color w:val="auto"/>
              </w:rPr>
            </w:pPr>
            <w:r>
              <w:rPr>
                <w:rFonts w:ascii="Arial" w:cs="Arial" w:eastAsia="Arial" w:hAnsi="Arial"/>
                <w:sz w:val="18"/>
                <w:szCs w:val="18"/>
                <w:color w:val="auto"/>
              </w:rPr>
              <w:t>Vested and expected to vest as of March 31, 2021</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5,409,342</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8.53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200,463</w:t>
            </w:r>
          </w:p>
        </w:tc>
      </w:tr>
    </w:tbl>
    <w:p>
      <w:pPr>
        <w:spacing w:after="0" w:line="201"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aggregate intrinsic value was calculated as the difference between exercise price of the underlying awards and the calculated price of the Company’s common stock at December 31, 2020 and March 31, 2021. The aggregate intrinsic value of stock options exercised during the three months ended March 31, 2020 and the three months ended March 31, 2021 was $4.8 million and $54.5 million, respectively.</w:t>
      </w:r>
    </w:p>
    <w:p>
      <w:pPr>
        <w:spacing w:after="0" w:line="205"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The Company received cash proceeds from the exercise of common stock options of $0.5 million and $2.4 million during the three months ended March 31, 2020 and the three months ended March 31, 2021, respectively.</w:t>
      </w:r>
    </w:p>
    <w:p>
      <w:pPr>
        <w:spacing w:after="0" w:line="197"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The weighted average grant-date fair value of stock options granted during the three months ended March 31, 2020 and the three months ended March 31, 2021 was $11.84 per share and $17.40 per share, respectively.</w:t>
      </w:r>
    </w:p>
    <w:p>
      <w:pPr>
        <w:spacing w:after="0" w:line="197"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The table below quantifies the weighted average of the most significant inputs to determine the fair value of stock options granted.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86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98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r>
      <w:tr>
        <w:trPr>
          <w:trHeight w:val="162"/>
        </w:trPr>
        <w:tc>
          <w:tcPr>
            <w:tcW w:w="986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98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r>
      <w:tr>
        <w:trPr>
          <w:trHeight w:val="196"/>
        </w:trPr>
        <w:tc>
          <w:tcPr>
            <w:tcW w:w="9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1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0.70%</w:t>
            </w: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w:t>
            </w: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42.3%</w:t>
            </w:r>
          </w:p>
        </w:tc>
      </w:tr>
      <w:tr>
        <w:trPr>
          <w:trHeight w:val="217"/>
        </w:trPr>
        <w:tc>
          <w:tcPr>
            <w:tcW w:w="986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660" w:hanging="544"/>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The Company did not grant any stock options during the three months ended March 31, 2020.</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40"/>
          </w:cols>
          <w:pgMar w:left="32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restricted stock activity as of and for the three months ended March 31, 2021:</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7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750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Number of</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7500" w:type="dxa"/>
            <w:vAlign w:val="bottom"/>
          </w:tcPr>
          <w:p>
            <w:pPr>
              <w:spacing w:after="0"/>
              <w:rPr>
                <w:sz w:val="15"/>
                <w:szCs w:val="15"/>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5"/>
                <w:szCs w:val="15"/>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5"/>
                <w:szCs w:val="15"/>
                <w:color w:val="auto"/>
              </w:rPr>
            </w:pPr>
          </w:p>
        </w:tc>
      </w:tr>
      <w:tr>
        <w:trPr>
          <w:trHeight w:val="156"/>
        </w:trPr>
        <w:tc>
          <w:tcPr>
            <w:tcW w:w="7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3"/>
          </w:tcPr>
          <w:p>
            <w:pPr>
              <w:jc w:val="center"/>
              <w:ind w:right="60"/>
              <w:spacing w:after="0" w:line="155" w:lineRule="exact"/>
              <w:rPr>
                <w:sz w:val="20"/>
                <w:szCs w:val="20"/>
                <w:color w:val="auto"/>
              </w:rPr>
            </w:pPr>
            <w:r>
              <w:rPr>
                <w:rFonts w:ascii="Arial" w:cs="Arial" w:eastAsia="Arial" w:hAnsi="Arial"/>
                <w:sz w:val="14"/>
                <w:szCs w:val="14"/>
                <w:color w:val="auto"/>
              </w:rPr>
              <w:t>(In Thousands)</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as of January 1, 2021</w:t>
            </w: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223,839</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(51,654)</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151,346</w:t>
            </w:r>
          </w:p>
        </w:tc>
      </w:tr>
      <w:tr>
        <w:trPr>
          <w:trHeight w:val="209"/>
        </w:trPr>
        <w:tc>
          <w:tcPr>
            <w:tcW w:w="750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as of March 31, 2021</w:t>
            </w: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172,185</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7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As of March 31, 2021, there was $26.6 million of total unrecognized compensation expense related to unvested stock options and restricted stock awards, which is expected to be recognized over a weighted-average period of 2.8 years.</w:t>
      </w:r>
    </w:p>
    <w:p>
      <w:pPr>
        <w:spacing w:after="0" w:line="197"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The following table summarizes the stock-based compensation expense for stock options and restricted stock awards granted to employees that was recorded in the Company’s consolidated statements of operations and comprehensive loss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rPr>
              <w:t>For the Three</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For the Three</w:t>
            </w:r>
          </w:p>
        </w:tc>
      </w:tr>
      <w:tr>
        <w:trPr>
          <w:trHeight w:val="162"/>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w w:val="99"/>
              </w:rPr>
              <w:t>Months Ended</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Months Ended</w:t>
            </w:r>
          </w:p>
        </w:tc>
      </w:tr>
      <w:tr>
        <w:trPr>
          <w:trHeight w:val="162"/>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0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196"/>
        </w:trPr>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 and development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1,085</w:t>
            </w:r>
          </w:p>
        </w:tc>
        <w:tc>
          <w:tcPr>
            <w:tcW w:w="60" w:type="dxa"/>
            <w:vAlign w:val="bottom"/>
            <w:shd w:val="clear" w:color="auto" w:fill="CCEEFF"/>
          </w:tcPr>
          <w:p>
            <w:pPr>
              <w:spacing w:after="0"/>
              <w:rPr>
                <w:sz w:val="17"/>
                <w:szCs w:val="17"/>
                <w:color w:val="auto"/>
              </w:rPr>
            </w:pPr>
          </w:p>
        </w:tc>
      </w:tr>
      <w:tr>
        <w:trPr>
          <w:trHeight w:val="202"/>
        </w:trPr>
        <w:tc>
          <w:tcPr>
            <w:tcW w:w="8020" w:type="dxa"/>
            <w:vAlign w:val="bottom"/>
          </w:tcPr>
          <w:p>
            <w:pPr>
              <w:spacing w:after="0" w:line="202" w:lineRule="exact"/>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251</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2,644</w:t>
            </w: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421</w:t>
            </w: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6,635</w:t>
            </w:r>
          </w:p>
        </w:tc>
        <w:tc>
          <w:tcPr>
            <w:tcW w:w="60" w:type="dxa"/>
            <w:vAlign w:val="bottom"/>
            <w:shd w:val="clear" w:color="auto" w:fill="CCEEFF"/>
          </w:tcPr>
          <w:p>
            <w:pPr>
              <w:spacing w:after="0"/>
              <w:rPr>
                <w:sz w:val="17"/>
                <w:szCs w:val="17"/>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835</w:t>
            </w:r>
          </w:p>
        </w:tc>
        <w:tc>
          <w:tcPr>
            <w:tcW w:w="9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10,364</w:t>
            </w:r>
          </w:p>
        </w:tc>
      </w:tr>
      <w:tr>
        <w:trPr>
          <w:trHeight w:val="20"/>
        </w:trPr>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 February 2021, certain of the Company’s existing investors acquired 401,706 outstanding common stock from employees of the Company, for a purchase price greater than the fair value of the common stock at the time of the transaction. As a result, the Company recorded $8.4 million in stock-based compensation during the three months ended March 31, 2021. The amount recorded as stock-based compensation represents the difference between the price paid and the estimated fair value at the date of the transaction.</w:t>
      </w:r>
    </w:p>
    <w:p>
      <w:pPr>
        <w:spacing w:after="0" w:line="205"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As of December 31, 2020 and March 31, 2021, the Company had reserved 32,754,479 and 33,499,756 shares, respectively, of common stock for the conversion of the outstanding Preferred Stock, exercise of outstanding stock options, the number of shares remaining available for grant under the Company’s 2018 Plan and the exercise of outstanding warrants to purchase shares of common stock (refer to Note 14).</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40"/>
          </w:cols>
          <w:pgMar w:left="320" w:top="459"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660" w:hanging="544"/>
        <w:spacing w:after="0"/>
        <w:tabs>
          <w:tab w:leader="none" w:pos="6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6"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8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3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40" w:type="dxa"/>
            <w:vAlign w:val="bottom"/>
          </w:tcPr>
          <w:p>
            <w:pPr>
              <w:ind w:left="360"/>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628"/>
              <w:spacing w:after="0" w:line="202" w:lineRule="exact"/>
              <w:rPr>
                <w:sz w:val="20"/>
                <w:szCs w:val="20"/>
                <w:color w:val="auto"/>
              </w:rPr>
            </w:pPr>
            <w:r>
              <w:rPr>
                <w:rFonts w:ascii="Arial" w:cs="Arial" w:eastAsia="Arial" w:hAnsi="Arial"/>
                <w:sz w:val="18"/>
                <w:szCs w:val="18"/>
                <w:color w:val="auto"/>
              </w:rPr>
              <w:t>3,700</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Accretion of preferred stock to redemption value</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8340" w:type="dxa"/>
            <w:vAlign w:val="bottom"/>
          </w:tcPr>
          <w:p>
            <w:pPr>
              <w:ind w:left="360"/>
              <w:spacing w:after="0" w:line="202" w:lineRule="exact"/>
              <w:rPr>
                <w:sz w:val="20"/>
                <w:szCs w:val="20"/>
                <w:color w:val="auto"/>
              </w:rPr>
            </w:pPr>
            <w:r>
              <w:rPr>
                <w:rFonts w:ascii="Arial" w:cs="Arial" w:eastAsia="Arial" w:hAnsi="Arial"/>
                <w:sz w:val="18"/>
                <w:szCs w:val="18"/>
                <w:color w:val="auto"/>
              </w:rPr>
              <w:t>Less: Earnings attributable to participating securities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2,917</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income (loss) attributable to common shareholders - basic and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781</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Weighted average shares outstanding - basic</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28"/>
              <w:spacing w:after="0" w:line="202" w:lineRule="exact"/>
              <w:rPr>
                <w:sz w:val="20"/>
                <w:szCs w:val="20"/>
                <w:color w:val="auto"/>
              </w:rPr>
            </w:pPr>
            <w:r>
              <w:rPr>
                <w:rFonts w:ascii="Arial" w:cs="Arial" w:eastAsia="Arial" w:hAnsi="Arial"/>
                <w:sz w:val="18"/>
                <w:szCs w:val="18"/>
                <w:color w:val="auto"/>
                <w:w w:val="99"/>
              </w:rPr>
              <w:t>5,837,773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7,033,359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tcPr>
          <w:p>
            <w:pPr>
              <w:ind w:left="360"/>
              <w:spacing w:after="0" w:line="196" w:lineRule="exact"/>
              <w:rPr>
                <w:sz w:val="20"/>
                <w:szCs w:val="20"/>
                <w:color w:val="auto"/>
              </w:rPr>
            </w:pPr>
            <w:r>
              <w:rPr>
                <w:rFonts w:ascii="Arial" w:cs="Arial" w:eastAsia="Arial" w:hAnsi="Arial"/>
                <w:sz w:val="18"/>
                <w:szCs w:val="18"/>
                <w:color w:val="auto"/>
              </w:rPr>
              <w:t>Effect of potentially dilutive stock options</w:t>
            </w:r>
          </w:p>
        </w:tc>
        <w:tc>
          <w:tcPr>
            <w:tcW w:w="100" w:type="dxa"/>
            <w:vAlign w:val="bottom"/>
          </w:tcPr>
          <w:p>
            <w:pPr>
              <w:spacing w:after="0"/>
              <w:rPr>
                <w:sz w:val="17"/>
                <w:szCs w:val="17"/>
                <w:color w:val="auto"/>
              </w:rPr>
            </w:pPr>
          </w:p>
        </w:tc>
        <w:tc>
          <w:tcPr>
            <w:tcW w:w="1520" w:type="dxa"/>
            <w:vAlign w:val="bottom"/>
            <w:gridSpan w:val="2"/>
          </w:tcPr>
          <w:p>
            <w:pPr>
              <w:jc w:val="right"/>
              <w:ind w:right="628"/>
              <w:spacing w:after="0" w:line="196" w:lineRule="exact"/>
              <w:rPr>
                <w:sz w:val="20"/>
                <w:szCs w:val="20"/>
                <w:color w:val="auto"/>
              </w:rPr>
            </w:pPr>
            <w:r>
              <w:rPr>
                <w:rFonts w:ascii="Arial" w:cs="Arial" w:eastAsia="Arial" w:hAnsi="Arial"/>
                <w:sz w:val="18"/>
                <w:szCs w:val="18"/>
                <w:color w:val="auto"/>
                <w:w w:val="99"/>
              </w:rPr>
              <w:t>2,680,171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Effect of potentially restricted common stock</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452,723</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tcPr>
          <w:p>
            <w:pPr>
              <w:ind w:left="360"/>
              <w:spacing w:after="0" w:line="202" w:lineRule="exact"/>
              <w:rPr>
                <w:sz w:val="20"/>
                <w:szCs w:val="20"/>
                <w:color w:val="auto"/>
              </w:rPr>
            </w:pPr>
            <w:r>
              <w:rPr>
                <w:rFonts w:ascii="Arial" w:cs="Arial" w:eastAsia="Arial" w:hAnsi="Arial"/>
                <w:sz w:val="18"/>
                <w:szCs w:val="18"/>
                <w:color w:val="auto"/>
              </w:rPr>
              <w:t>Effect of potentially dilutive warrants for convertible preferred stock</w:t>
            </w:r>
          </w:p>
        </w:tc>
        <w:tc>
          <w:tcPr>
            <w:tcW w:w="100" w:type="dxa"/>
            <w:vAlign w:val="bottom"/>
          </w:tcPr>
          <w:p>
            <w:pPr>
              <w:spacing w:after="0"/>
              <w:rPr>
                <w:sz w:val="17"/>
                <w:szCs w:val="17"/>
                <w:color w:val="auto"/>
              </w:rPr>
            </w:pPr>
          </w:p>
        </w:tc>
        <w:tc>
          <w:tcPr>
            <w:tcW w:w="1520" w:type="dxa"/>
            <w:vAlign w:val="bottom"/>
            <w:gridSpan w:val="2"/>
          </w:tcPr>
          <w:p>
            <w:pPr>
              <w:jc w:val="right"/>
              <w:ind w:right="628"/>
              <w:spacing w:after="0" w:line="202" w:lineRule="exact"/>
              <w:rPr>
                <w:sz w:val="20"/>
                <w:szCs w:val="20"/>
                <w:color w:val="auto"/>
              </w:rPr>
            </w:pPr>
            <w:r>
              <w:rPr>
                <w:rFonts w:ascii="Arial" w:cs="Arial" w:eastAsia="Arial" w:hAnsi="Arial"/>
                <w:sz w:val="18"/>
                <w:szCs w:val="18"/>
                <w:color w:val="auto"/>
              </w:rPr>
              <w:t>88,691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Effect of potentially dilutive warrants for common stock</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23,846</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tcPr>
          <w:p>
            <w:pPr>
              <w:ind w:left="360"/>
              <w:spacing w:after="0" w:line="196" w:lineRule="exact"/>
              <w:rPr>
                <w:sz w:val="20"/>
                <w:szCs w:val="20"/>
                <w:color w:val="auto"/>
              </w:rPr>
            </w:pPr>
            <w:r>
              <w:rPr>
                <w:rFonts w:ascii="Arial" w:cs="Arial" w:eastAsia="Arial" w:hAnsi="Arial"/>
                <w:sz w:val="18"/>
                <w:szCs w:val="18"/>
                <w:color w:val="auto"/>
              </w:rPr>
              <w:t>Weighted average shares outstanding - diluted</w:t>
            </w:r>
          </w:p>
        </w:tc>
        <w:tc>
          <w:tcPr>
            <w:tcW w:w="100" w:type="dxa"/>
            <w:vAlign w:val="bottom"/>
          </w:tcPr>
          <w:p>
            <w:pPr>
              <w:spacing w:after="0"/>
              <w:rPr>
                <w:sz w:val="17"/>
                <w:szCs w:val="17"/>
                <w:color w:val="auto"/>
              </w:rPr>
            </w:pPr>
          </w:p>
        </w:tc>
        <w:tc>
          <w:tcPr>
            <w:tcW w:w="1520" w:type="dxa"/>
            <w:vAlign w:val="bottom"/>
            <w:gridSpan w:val="2"/>
          </w:tcPr>
          <w:p>
            <w:pPr>
              <w:jc w:val="right"/>
              <w:ind w:right="628"/>
              <w:spacing w:after="0" w:line="196" w:lineRule="exact"/>
              <w:rPr>
                <w:sz w:val="20"/>
                <w:szCs w:val="20"/>
                <w:color w:val="auto"/>
              </w:rPr>
            </w:pPr>
            <w:r>
              <w:rPr>
                <w:rFonts w:ascii="Arial" w:cs="Arial" w:eastAsia="Arial" w:hAnsi="Arial"/>
                <w:sz w:val="18"/>
                <w:szCs w:val="18"/>
                <w:color w:val="auto"/>
                <w:w w:val="99"/>
              </w:rPr>
              <w:t>9,083,204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7,033,359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 attributable to common stockholders - basic</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0.13</w:t>
            </w:r>
          </w:p>
        </w:tc>
        <w:tc>
          <w:tcPr>
            <w:tcW w:w="7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tcPr>
          <w:p>
            <w:pPr>
              <w:spacing w:after="0" w:line="196" w:lineRule="exact"/>
              <w:rPr>
                <w:sz w:val="20"/>
                <w:szCs w:val="20"/>
                <w:color w:val="auto"/>
              </w:rPr>
            </w:pPr>
            <w:r>
              <w:rPr>
                <w:rFonts w:ascii="Arial" w:cs="Arial" w:eastAsia="Arial" w:hAnsi="Arial"/>
                <w:sz w:val="18"/>
                <w:szCs w:val="18"/>
                <w:color w:val="auto"/>
              </w:rPr>
              <w:t>Net income (loss) per share attributable to common stockholders - diluted</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0.09</w:t>
            </w:r>
          </w:p>
        </w:tc>
        <w:tc>
          <w:tcPr>
            <w:tcW w:w="700" w:type="dxa"/>
            <w:vAlign w:val="bottom"/>
          </w:tcPr>
          <w:p>
            <w:pPr>
              <w:spacing w:after="0"/>
              <w:rPr>
                <w:sz w:val="17"/>
                <w:szCs w:val="17"/>
                <w:color w:val="auto"/>
              </w:rPr>
            </w:pPr>
          </w:p>
        </w:tc>
        <w:tc>
          <w:tcPr>
            <w:tcW w:w="1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For the three months ended March 31, 2021 the Company’s potential dilutive securities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for the three months ended March 31, 2021 because including them would have had an anti-dilutive effect. There were no anti-dilutive securities for the three months ended March 31, 2020.</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Warrants for the 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Warrants for the purchase of convertible preferred stock (as converted into common stock)</w:t>
      </w:r>
    </w:p>
    <w:p>
      <w:pPr>
        <w:ind w:left="120"/>
        <w:spacing w:after="0" w:line="234" w:lineRule="auto"/>
        <w:rPr>
          <w:sz w:val="20"/>
          <w:szCs w:val="20"/>
          <w:color w:val="auto"/>
        </w:rPr>
      </w:pPr>
      <w:r>
        <w:rPr>
          <w:rFonts w:ascii="Arial" w:cs="Arial" w:eastAsia="Arial" w:hAnsi="Arial"/>
          <w:sz w:val="18"/>
          <w:szCs w:val="18"/>
          <w:color w:val="auto"/>
        </w:rPr>
        <w:t>Redeemable convertible preferred stock (as converted into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Convertible preferred stock (as converted into common stock)</w:t>
      </w:r>
    </w:p>
    <w:p>
      <w:pPr>
        <w:ind w:left="120"/>
        <w:spacing w:after="0" w:line="235" w:lineRule="auto"/>
        <w:rPr>
          <w:sz w:val="20"/>
          <w:szCs w:val="20"/>
          <w:color w:val="auto"/>
        </w:rPr>
      </w:pPr>
      <w:r>
        <w:rPr>
          <w:rFonts w:ascii="Arial" w:cs="Arial" w:eastAsia="Arial" w:hAnsi="Arial"/>
          <w:sz w:val="18"/>
          <w:szCs w:val="18"/>
          <w:color w:val="auto"/>
        </w:rPr>
        <w:t>Unvested 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Stock options to purchase common stock (as converted to common stock)</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Three</w:t>
      </w:r>
    </w:p>
    <w:p>
      <w:pPr>
        <w:spacing w:after="0" w:line="19"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Months</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2021</w:t>
      </w:r>
    </w:p>
    <w:p>
      <w:pPr>
        <w:spacing w:after="0" w:line="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25,000</w:t>
      </w:r>
    </w:p>
    <w:p>
      <w:pPr>
        <w:jc w:val="right"/>
        <w:ind w:right="80"/>
        <w:spacing w:after="0" w:line="234" w:lineRule="auto"/>
        <w:rPr>
          <w:sz w:val="20"/>
          <w:szCs w:val="20"/>
          <w:color w:val="auto"/>
        </w:rPr>
      </w:pPr>
      <w:r>
        <w:rPr>
          <w:rFonts w:ascii="Arial" w:cs="Arial" w:eastAsia="Arial" w:hAnsi="Arial"/>
          <w:sz w:val="18"/>
          <w:szCs w:val="18"/>
          <w:color w:val="auto"/>
        </w:rPr>
        <w:t>127,000</w:t>
      </w:r>
    </w:p>
    <w:p>
      <w:pPr>
        <w:jc w:val="right"/>
        <w:ind w:right="80"/>
        <w:spacing w:after="0" w:line="235" w:lineRule="auto"/>
        <w:rPr>
          <w:sz w:val="20"/>
          <w:szCs w:val="20"/>
          <w:color w:val="auto"/>
        </w:rPr>
      </w:pPr>
      <w:r>
        <w:rPr>
          <w:rFonts w:ascii="Arial" w:cs="Arial" w:eastAsia="Arial" w:hAnsi="Arial"/>
          <w:sz w:val="18"/>
          <w:szCs w:val="18"/>
          <w:color w:val="auto"/>
        </w:rPr>
        <w:t>4,603,952</w:t>
      </w:r>
    </w:p>
    <w:p>
      <w:pPr>
        <w:jc w:val="right"/>
        <w:ind w:right="80"/>
        <w:spacing w:after="0" w:line="235" w:lineRule="auto"/>
        <w:rPr>
          <w:sz w:val="20"/>
          <w:szCs w:val="20"/>
          <w:color w:val="auto"/>
        </w:rPr>
      </w:pPr>
      <w:r>
        <w:rPr>
          <w:rFonts w:ascii="Arial" w:cs="Arial" w:eastAsia="Arial" w:hAnsi="Arial"/>
          <w:sz w:val="18"/>
          <w:szCs w:val="18"/>
          <w:color w:val="auto"/>
        </w:rPr>
        <w:t>18,069,487</w:t>
      </w:r>
    </w:p>
    <w:p>
      <w:pPr>
        <w:jc w:val="right"/>
        <w:ind w:right="80"/>
        <w:spacing w:after="0" w:line="235" w:lineRule="auto"/>
        <w:rPr>
          <w:sz w:val="20"/>
          <w:szCs w:val="20"/>
          <w:color w:val="auto"/>
        </w:rPr>
      </w:pPr>
      <w:r>
        <w:rPr>
          <w:rFonts w:ascii="Arial" w:cs="Arial" w:eastAsia="Arial" w:hAnsi="Arial"/>
          <w:sz w:val="18"/>
          <w:szCs w:val="18"/>
          <w:color w:val="auto"/>
        </w:rPr>
        <w:t>172,184</w:t>
      </w:r>
    </w:p>
    <w:p>
      <w:pPr>
        <w:jc w:val="right"/>
        <w:ind w:right="80"/>
        <w:spacing w:after="0"/>
        <w:rPr>
          <w:sz w:val="20"/>
          <w:szCs w:val="20"/>
          <w:color w:val="auto"/>
        </w:rPr>
      </w:pPr>
      <w:r>
        <w:rPr>
          <w:rFonts w:ascii="Arial" w:cs="Arial" w:eastAsia="Arial" w:hAnsi="Arial"/>
          <w:sz w:val="18"/>
          <w:szCs w:val="18"/>
          <w:color w:val="auto"/>
        </w:rPr>
        <w:t>5,498,741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-1905</wp:posOffset>
            </wp:positionV>
            <wp:extent cx="72834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28,496,364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-1905</wp:posOffset>
            </wp:positionV>
            <wp:extent cx="72834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345" cy="889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14605</wp:posOffset>
            </wp:positionV>
            <wp:extent cx="72834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535" w:lineRule="exact"/>
        <w:rPr>
          <w:sz w:val="20"/>
          <w:szCs w:val="20"/>
          <w:color w:val="auto"/>
        </w:rPr>
      </w:pPr>
    </w:p>
    <w:p>
      <w:pPr>
        <w:sectPr>
          <w:pgSz w:w="11900" w:h="16838" w:orient="portrait"/>
          <w:cols w:equalWidth="0" w:num="2">
            <w:col w:w="9580" w:space="460"/>
            <w:col w:w="11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7"/>
          <w:szCs w:val="17"/>
          <w:color w:val="auto"/>
        </w:rPr>
        <w:t>F-83</w:t>
      </w:r>
    </w:p>
    <w:p>
      <w:pPr>
        <w:sectPr>
          <w:pgSz w:w="11900" w:h="16838" w:orient="portrait"/>
          <w:cols w:equalWidth="0" w:num="1">
            <w:col w:w="11140"/>
          </w:cols>
          <w:pgMar w:left="320" w:top="459" w:right="439" w:bottom="1440" w:gutter="0" w:footer="0" w:header="0"/>
          <w:type w:val="continuous"/>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17</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7"/>
          <w:szCs w:val="17"/>
          <w:b w:val="1"/>
          <w:bCs w:val="1"/>
          <w:i w:val="1"/>
          <w:iCs w:val="1"/>
          <w:color w:val="auto"/>
        </w:rPr>
        <w:t>Income Taxes</w:t>
      </w:r>
    </w:p>
    <w:p>
      <w:pPr>
        <w:spacing w:after="0" w:line="12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Company’s provision for income taxes during the interim periods is determined using an estimate of the Company’s annual effective tax rate, which is adjusted for certain discrete tax items during the interim period. The Company reported an income tax benefit of $7.7 million and an income tax expense of $ 0.2 million for the three months ended March 31, 2020 and 2021, respectively. The tax benefit for the three-months ended March 31, 2020 was primarily attributable to the release of valuation allowance in connection with the acquisition of Simplee. This release was due to taxable temporary differences recorded as part of the Simplee acquisition which are a source of income to realize certain pre-existing federal and state deferred tax assets.</w:t>
      </w:r>
    </w:p>
    <w:p>
      <w:pPr>
        <w:spacing w:after="0" w:line="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income tax expense for the three-months ended March 31, 2021 was primarily attributable to foreign taxes.</w:t>
      </w:r>
    </w:p>
    <w:p>
      <w:pPr>
        <w:spacing w:after="0" w:line="104"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The Company’s effective tax rate differs from the Federal statutory rate primarily due to the change in valuation allowance primarily in the U.S. The Company has not recorded any amounts for unrecognized tax benefits. The Company is open to future tax examinations from 2016 to the present; however, carryforward attributes that were generated prior to 2016 may still be adjusted upon examination by federal, state or local tax authorities to the extent they will be used in a future period.</w:t>
      </w:r>
    </w:p>
    <w:p>
      <w:pPr>
        <w:spacing w:after="0" w:line="9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March 31, 2021, the Company continues to maintain a full valuation allowance of the U.S. net deferred tax assets.</w:t>
      </w:r>
    </w:p>
    <w:p>
      <w:pPr>
        <w:spacing w:after="0" w:line="331" w:lineRule="exact"/>
        <w:rPr>
          <w:sz w:val="20"/>
          <w:szCs w:val="20"/>
          <w:color w:val="auto"/>
        </w:rPr>
      </w:pPr>
    </w:p>
    <w:p>
      <w:pPr>
        <w:ind w:left="120" w:right="7620" w:hanging="4"/>
        <w:spacing w:after="0" w:line="372" w:lineRule="auto"/>
        <w:tabs>
          <w:tab w:leader="none" w:pos="6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spacing w:after="0" w:line="1"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In March 2021, the Company entered into a lease agreement for 680 square feet of office space in Tel Aviv, Israel. The term of the lease commenced on March 15, 2021 and continues until March 25, 2023. The Company has the option to extend the lease for an additional two-year term at market-based rates. The base rent payments commenced in March 2021. The Company is obligated to pay its portion of building operating and tax expenses.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10400" w:type="dxa"/>
            <w:vAlign w:val="bottom"/>
          </w:tcPr>
          <w:p>
            <w:pPr>
              <w:ind w:left="440"/>
              <w:spacing w:after="0"/>
              <w:rPr>
                <w:sz w:val="20"/>
                <w:szCs w:val="20"/>
                <w:color w:val="auto"/>
              </w:rPr>
            </w:pPr>
            <w:r>
              <w:rPr>
                <w:rFonts w:ascii="Arial" w:cs="Arial" w:eastAsia="Arial" w:hAnsi="Arial"/>
                <w:sz w:val="18"/>
                <w:szCs w:val="18"/>
                <w:color w:val="auto"/>
              </w:rPr>
              <w:t>Future minimum lease payments for noncancelable operating leases as of March 31, 2021, are as follows (in thousands):</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10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10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Years Ending December 31,</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0400" w:type="dxa"/>
            <w:vAlign w:val="bottom"/>
          </w:tcPr>
          <w:p>
            <w:pPr>
              <w:spacing w:after="0" w:line="202" w:lineRule="exact"/>
              <w:rPr>
                <w:sz w:val="20"/>
                <w:szCs w:val="20"/>
                <w:color w:val="auto"/>
              </w:rPr>
            </w:pPr>
            <w:r>
              <w:rPr>
                <w:rFonts w:ascii="Arial" w:cs="Arial" w:eastAsia="Arial" w:hAnsi="Arial"/>
                <w:sz w:val="18"/>
                <w:szCs w:val="18"/>
                <w:color w:val="auto"/>
              </w:rPr>
              <w:t>2021 (remaining nine months)</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$1,377</w:t>
            </w:r>
          </w:p>
        </w:tc>
      </w:tr>
      <w:tr>
        <w:trPr>
          <w:trHeight w:val="203"/>
        </w:trPr>
        <w:tc>
          <w:tcPr>
            <w:tcW w:w="10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1,636</w:t>
            </w:r>
          </w:p>
        </w:tc>
      </w:tr>
      <w:tr>
        <w:trPr>
          <w:trHeight w:val="203"/>
        </w:trPr>
        <w:tc>
          <w:tcPr>
            <w:tcW w:w="104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1,424</w:t>
            </w:r>
          </w:p>
        </w:tc>
      </w:tr>
      <w:tr>
        <w:trPr>
          <w:trHeight w:val="203"/>
        </w:trPr>
        <w:tc>
          <w:tcPr>
            <w:tcW w:w="10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426</w:t>
            </w:r>
          </w:p>
        </w:tc>
      </w:tr>
      <w:tr>
        <w:trPr>
          <w:trHeight w:val="209"/>
        </w:trPr>
        <w:tc>
          <w:tcPr>
            <w:tcW w:w="1040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r>
      <w:tr>
        <w:trPr>
          <w:trHeight w:val="203"/>
        </w:trPr>
        <w:tc>
          <w:tcPr>
            <w:tcW w:w="104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4,881</w:t>
            </w:r>
          </w:p>
        </w:tc>
      </w:tr>
      <w:tr>
        <w:trPr>
          <w:trHeight w:val="20"/>
        </w:trPr>
        <w:tc>
          <w:tcPr>
            <w:tcW w:w="10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Rent expense for the three months ending March 31, 2020 and 2021, was $0.6 million and $0.5 million, respectively.</w:t>
      </w:r>
    </w:p>
    <w:p>
      <w:pPr>
        <w:spacing w:after="0" w:line="147"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Company is subject to various legal proceedings and claims, the outcomes of which are subject to significant uncertainty. The Company records an accrual for legal contingencies when it is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20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As of March 31, 2021, the Company was not subject to any pending legal matters or claims that could have a material adverse effect on its financial position, results of operations, or cash flows.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 party claims asserting infringement of certain intellectual property rights, data protection, damages caused to property or persons, or other liabilities relating to or arising from the Company’s payment platform or other contractual obligations.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currently aware of any indemnification claims and had not accrued any liabilities related to such obligations in its consolidated financial statements as of December 31, 2020 and March 31, 2021.</w:t>
      </w:r>
    </w:p>
    <w:p>
      <w:pPr>
        <w:spacing w:after="0" w:line="329" w:lineRule="exact"/>
        <w:rPr>
          <w:sz w:val="20"/>
          <w:szCs w:val="20"/>
          <w:color w:val="auto"/>
        </w:rPr>
      </w:pPr>
    </w:p>
    <w:p>
      <w:pPr>
        <w:ind w:left="660" w:hanging="544"/>
        <w:spacing w:after="0"/>
        <w:tabs>
          <w:tab w:leader="none" w:pos="6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6"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For the Company’s interim condensed consolidated financial statements as of March 31, 2021 and for the three months then ended, the Company has evaluated subsequent events through May 3, 2021, the date on which these unaudited condensed consolidated financial statements were available for issuance.</w:t>
      </w:r>
    </w:p>
    <w:p>
      <w:pPr>
        <w:spacing w:after="0" w:line="203" w:lineRule="exact"/>
        <w:rPr>
          <w:sz w:val="20"/>
          <w:szCs w:val="20"/>
          <w:color w:val="auto"/>
        </w:rPr>
      </w:pPr>
    </w:p>
    <w:p>
      <w:pPr>
        <w:ind w:left="120" w:right="100" w:firstLine="440"/>
        <w:spacing w:after="0" w:line="274" w:lineRule="auto"/>
        <w:rPr>
          <w:sz w:val="20"/>
          <w:szCs w:val="20"/>
          <w:color w:val="auto"/>
        </w:rPr>
      </w:pPr>
      <w:r>
        <w:rPr>
          <w:rFonts w:ascii="Arial" w:cs="Arial" w:eastAsia="Arial" w:hAnsi="Arial"/>
          <w:sz w:val="17"/>
          <w:szCs w:val="17"/>
          <w:color w:val="auto"/>
        </w:rPr>
        <w:t>In April 2021, the Company facilitated a tender offer whereby certain of the Company’s existing investors commenced a tender offer to purchase shares of the Company’s common stock from certain employees of the Company, at an average price of $61.20 per share.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00"/>
          </w:cols>
          <w:pgMar w:left="320" w:top="459" w:right="47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AUDITORS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THE SHAREHOLDERS OF SIMPLIFICARE INC.</w:t>
      </w:r>
    </w:p>
    <w:p>
      <w:pPr>
        <w:spacing w:after="0" w:line="234"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have audited the accompanying consolidated financial statements of Simplificare Inc., which comprise the consolidated balance sheets as of December 31, 2019 and 2018 and the related consolidated statements of operations and comprehensive loss, convertible preferred stocks and stockholders’ deficit and cash flows for the years then ended, and the related notes to the consolidated financial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6" w:lineRule="exact"/>
        <w:rPr>
          <w:sz w:val="20"/>
          <w:szCs w:val="20"/>
          <w:color w:val="auto"/>
        </w:rPr>
      </w:pPr>
    </w:p>
    <w:p>
      <w:pPr>
        <w:jc w:val="both"/>
        <w:ind w:left="120" w:right="200" w:firstLine="440"/>
        <w:spacing w:after="0"/>
        <w:rPr>
          <w:sz w:val="20"/>
          <w:szCs w:val="20"/>
          <w:color w:val="auto"/>
        </w:rPr>
      </w:pPr>
      <w:r>
        <w:rPr>
          <w:rFonts w:ascii="Arial" w:cs="Arial" w:eastAsia="Arial" w:hAnsi="Arial"/>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Auditor’s Responsibility</w:t>
      </w:r>
    </w:p>
    <w:p>
      <w:pPr>
        <w:spacing w:after="0" w:line="12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of material misstatement.</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w:t>
      </w:r>
    </w:p>
    <w:p>
      <w:pPr>
        <w:spacing w:after="0" w:line="126"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Simplificare Inc. at December 31, 2019 and 2018 and the consolidated results of its operations and its cash flows for the years then ended in conformity with U.S. generally accepted accounting principles.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Simplificare Inc.’s Ability to Continue as a Going Concern</w:t>
      </w:r>
    </w:p>
    <w:p>
      <w:pPr>
        <w:spacing w:after="0" w:line="104" w:lineRule="exact"/>
        <w:rPr>
          <w:sz w:val="20"/>
          <w:szCs w:val="20"/>
          <w:color w:val="auto"/>
        </w:rPr>
      </w:pPr>
    </w:p>
    <w:p>
      <w:pPr>
        <w:jc w:val="both"/>
        <w:ind w:left="120" w:right="280" w:firstLine="440"/>
        <w:spacing w:after="0" w:line="275" w:lineRule="auto"/>
        <w:rPr>
          <w:sz w:val="20"/>
          <w:szCs w:val="20"/>
          <w:color w:val="auto"/>
        </w:rPr>
      </w:pPr>
      <w:r>
        <w:rPr>
          <w:rFonts w:ascii="Arial" w:cs="Arial" w:eastAsia="Arial" w:hAnsi="Arial"/>
          <w:sz w:val="17"/>
          <w:szCs w:val="17"/>
          <w:color w:val="auto"/>
        </w:rPr>
        <w:t>The accompanying consolidated financial statements have been prepared assuming that Simplificare Inc</w:t>
      </w:r>
      <w:r>
        <w:rPr>
          <w:rFonts w:ascii="Arial" w:cs="Arial" w:eastAsia="Arial" w:hAnsi="Arial"/>
          <w:sz w:val="17"/>
          <w:szCs w:val="17"/>
          <w:b w:val="1"/>
          <w:bCs w:val="1"/>
          <w:color w:val="auto"/>
        </w:rPr>
        <w:t>.</w:t>
      </w:r>
      <w:r>
        <w:rPr>
          <w:rFonts w:ascii="Arial" w:cs="Arial" w:eastAsia="Arial" w:hAnsi="Arial"/>
          <w:sz w:val="17"/>
          <w:szCs w:val="17"/>
          <w:color w:val="auto"/>
        </w:rPr>
        <w:t xml:space="preserve"> will continue as a going concern. As discussed in Note 1 to the consolidated financial statements, the Company has recurring losses from operations, and has stated that substantial doubt exists about the Company’s ability to continue as a going concern. Management’s evaluation of the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events and conditions and management’s plans regarding these matters are also described in Note 1. The consolidated financial statements do not include any adjustments that might result from the outcome of this uncertainty. Our opinion is not modified with respect to this matter.</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Kost Forer Gabbay &amp; Kasierer</w:t>
      </w:r>
    </w:p>
    <w:p>
      <w:pPr>
        <w:ind w:left="120"/>
        <w:spacing w:after="0"/>
        <w:rPr>
          <w:sz w:val="20"/>
          <w:szCs w:val="20"/>
          <w:color w:val="auto"/>
        </w:rPr>
      </w:pPr>
      <w:r>
        <w:rPr>
          <w:rFonts w:ascii="Arial" w:cs="Arial" w:eastAsia="Arial" w:hAnsi="Arial"/>
          <w:sz w:val="18"/>
          <w:szCs w:val="18"/>
          <w:color w:val="auto"/>
        </w:rPr>
        <w:t>A Member of Ernst &amp; Young Global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Tel-Aviv, Israel</w:t>
      </w:r>
    </w:p>
    <w:p>
      <w:pPr>
        <w:ind w:left="120"/>
        <w:spacing w:after="0"/>
        <w:rPr>
          <w:sz w:val="20"/>
          <w:szCs w:val="20"/>
          <w:color w:val="auto"/>
        </w:rPr>
      </w:pPr>
      <w:r>
        <w:rPr>
          <w:rFonts w:ascii="Arial" w:cs="Arial" w:eastAsia="Arial" w:hAnsi="Arial"/>
          <w:sz w:val="18"/>
          <w:szCs w:val="18"/>
          <w:color w:val="auto"/>
        </w:rPr>
        <w:t>March 10, 2021</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000"/>
          </w:cols>
          <w:pgMar w:left="320" w:top="459" w:right="57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0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183"/>
        </w:trPr>
        <w:tc>
          <w:tcPr>
            <w:tcW w:w="90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4,041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4,951</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77</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7,161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3,893</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Deferred contract acquisition and fulfillment costs</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857</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9,778</w:t>
            </w:r>
          </w:p>
        </w:tc>
      </w:tr>
      <w:tr>
        <w:trPr>
          <w:trHeight w:val="27"/>
        </w:trPr>
        <w:tc>
          <w:tcPr>
            <w:tcW w:w="9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94</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Deferred contract acquisition and fulfillment costs, net of current</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Long term deposits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301</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r>
      <w:tr>
        <w:trPr>
          <w:trHeight w:val="27"/>
        </w:trPr>
        <w:tc>
          <w:tcPr>
            <w:tcW w:w="9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13,155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10,173</w:t>
            </w:r>
          </w:p>
        </w:tc>
      </w:tr>
      <w:tr>
        <w:trPr>
          <w:trHeight w:val="20"/>
        </w:trPr>
        <w:tc>
          <w:tcPr>
            <w:tcW w:w="9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140"/>
          </w:cols>
          <w:pgMar w:left="320" w:top="459" w:right="4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84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83"/>
        </w:trPr>
        <w:tc>
          <w:tcPr>
            <w:tcW w:w="84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 payables</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445</w:t>
            </w: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407</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727</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payroll and related benefits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855</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762</w:t>
            </w: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 and other payables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1,180</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2,200</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1,820</w:t>
            </w:r>
          </w:p>
        </w:tc>
      </w:tr>
      <w:tr>
        <w:trPr>
          <w:trHeight w:val="20"/>
        </w:trPr>
        <w:tc>
          <w:tcPr>
            <w:tcW w:w="8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4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6,662</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4,754</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Long-term debt, net of current portion and net of issuance costs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2,780</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3,158</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 net of current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839</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1,106</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w:t>
            </w:r>
          </w:p>
        </w:tc>
      </w:tr>
      <w:tr>
        <w:trPr>
          <w:trHeight w:val="20"/>
        </w:trPr>
        <w:tc>
          <w:tcPr>
            <w:tcW w:w="8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48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11,498</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7,949</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13)</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Convertible preferred stock (Series A, B, C and C-1), $0.001 par value, 46,307,481 shares authorized at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tcPr>
          <w:p>
            <w:pPr>
              <w:ind w:left="180"/>
              <w:spacing w:after="0" w:line="202" w:lineRule="exact"/>
              <w:rPr>
                <w:sz w:val="20"/>
                <w:szCs w:val="20"/>
                <w:color w:val="auto"/>
              </w:rPr>
            </w:pPr>
            <w:r>
              <w:rPr>
                <w:rFonts w:ascii="Arial" w:cs="Arial" w:eastAsia="Arial" w:hAnsi="Arial"/>
                <w:sz w:val="18"/>
                <w:szCs w:val="18"/>
                <w:color w:val="auto"/>
              </w:rPr>
              <w:t>December 31, 2019 and 2018; 44,058,986 shares issued and outstanding at December 31, 2019 and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8480" w:type="dxa"/>
            <w:vAlign w:val="bottom"/>
          </w:tcPr>
          <w:p>
            <w:pPr>
              <w:ind w:left="180"/>
              <w:spacing w:after="0" w:line="203" w:lineRule="exact"/>
              <w:rPr>
                <w:sz w:val="20"/>
                <w:szCs w:val="20"/>
                <w:color w:val="auto"/>
              </w:rPr>
            </w:pPr>
            <w:r>
              <w:rPr>
                <w:rFonts w:ascii="Arial" w:cs="Arial" w:eastAsia="Arial" w:hAnsi="Arial"/>
                <w:sz w:val="18"/>
                <w:szCs w:val="18"/>
                <w:color w:val="auto"/>
              </w:rPr>
              <w:t>2018. Aggregate liquidation preferences of $38,268 at December 31, 2019 and 2018.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38,268</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38,268</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Common stock, $0.001 par value; 70,500,000 shares authorized at December 31, 2019 and 2018;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tcPr>
          <w:p>
            <w:pPr>
              <w:ind w:left="180"/>
              <w:spacing w:after="0" w:line="202" w:lineRule="exact"/>
              <w:rPr>
                <w:sz w:val="20"/>
                <w:szCs w:val="20"/>
                <w:color w:val="auto"/>
              </w:rPr>
            </w:pPr>
            <w:r>
              <w:rPr>
                <w:rFonts w:ascii="Arial" w:cs="Arial" w:eastAsia="Arial" w:hAnsi="Arial"/>
                <w:sz w:val="18"/>
                <w:szCs w:val="18"/>
                <w:color w:val="auto"/>
              </w:rPr>
              <w:t>11,241,043 and 11,198,077 shares issued and outstanding at December 31, 2019 and 2018,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tcPr>
          <w:p>
            <w:pPr>
              <w:ind w:left="180"/>
              <w:spacing w:after="0" w:line="203" w:lineRule="exact"/>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11</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Additional-paid-in-capital</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3,772</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2,397</w:t>
            </w: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121</w:t>
            </w:r>
          </w:p>
        </w:tc>
        <w:tc>
          <w:tcPr>
            <w:tcW w:w="2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(40,515)</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(38,425)</w:t>
            </w:r>
          </w:p>
        </w:tc>
      </w:tr>
      <w:tr>
        <w:trPr>
          <w:trHeight w:val="20"/>
        </w:trPr>
        <w:tc>
          <w:tcPr>
            <w:tcW w:w="8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4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(36,611)</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(36,044)</w:t>
            </w: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convertible preferred stock and stockholders’ deficit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13,155</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10,173</w:t>
            </w:r>
          </w:p>
        </w:tc>
      </w:tr>
      <w:tr>
        <w:trPr>
          <w:trHeight w:val="20"/>
        </w:trPr>
        <w:tc>
          <w:tcPr>
            <w:tcW w:w="8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140"/>
          </w:cols>
          <w:pgMar w:left="320" w:top="459" w:right="4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0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26,229</w:t>
            </w:r>
          </w:p>
        </w:tc>
        <w:tc>
          <w:tcPr>
            <w:tcW w:w="3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12,437</w:t>
            </w:r>
          </w:p>
        </w:tc>
        <w:tc>
          <w:tcPr>
            <w:tcW w:w="120" w:type="dxa"/>
            <w:vAlign w:val="bottom"/>
            <w:shd w:val="clear" w:color="auto" w:fill="CCEEFF"/>
          </w:tcPr>
          <w:p>
            <w:pPr>
              <w:spacing w:after="0"/>
              <w:rPr>
                <w:sz w:val="17"/>
                <w:szCs w:val="17"/>
                <w:color w:val="auto"/>
              </w:rPr>
            </w:pPr>
          </w:p>
        </w:tc>
      </w:tr>
      <w:tr>
        <w:trPr>
          <w:trHeight w:val="209"/>
        </w:trPr>
        <w:tc>
          <w:tcPr>
            <w:tcW w:w="90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11,489</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2,547</w:t>
            </w: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14,740</w:t>
            </w:r>
          </w:p>
        </w:tc>
        <w:tc>
          <w:tcPr>
            <w:tcW w:w="3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9,890</w:t>
            </w: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6,546</w:t>
            </w:r>
          </w:p>
        </w:tc>
        <w:tc>
          <w:tcPr>
            <w:tcW w:w="3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5,756</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4,993</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5,475</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4,397</w:t>
            </w:r>
          </w:p>
        </w:tc>
        <w:tc>
          <w:tcPr>
            <w:tcW w:w="340" w:type="dxa"/>
            <w:vAlign w:val="bottom"/>
            <w:tcBorders>
              <w:left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3,266</w:t>
            </w:r>
          </w:p>
        </w:tc>
        <w:tc>
          <w:tcPr>
            <w:tcW w:w="120" w:type="dxa"/>
            <w:vAlign w:val="bottom"/>
            <w:shd w:val="clear" w:color="auto" w:fill="CCEEFF"/>
          </w:tcPr>
          <w:p>
            <w:pPr>
              <w:spacing w:after="0"/>
              <w:rPr>
                <w:sz w:val="17"/>
                <w:szCs w:val="17"/>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15,936</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14,497</w:t>
            </w: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(1,196)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(4,607)</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(211)</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(134)</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Total other expenses, net</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r>
      <w:tr>
        <w:trPr>
          <w:trHeight w:val="27"/>
        </w:trPr>
        <w:tc>
          <w:tcPr>
            <w:tcW w:w="9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(1,740)</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(4,942)</w:t>
            </w:r>
          </w:p>
        </w:tc>
      </w:tr>
      <w:tr>
        <w:trPr>
          <w:trHeight w:val="209"/>
        </w:trPr>
        <w:tc>
          <w:tcPr>
            <w:tcW w:w="902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449</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(2,189)</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(5,057)</w:t>
            </w: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comprehensive income (expense) related to foreign currency translation adjustments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3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0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(2,041)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(5,140)</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140"/>
          </w:cols>
          <w:pgMar w:left="32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STOCKS AND STOCKHOLDERS’ DEFICIT</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760" w:type="dxa"/>
            <w:vAlign w:val="bottom"/>
            <w:tcBorders>
              <w:right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Convertible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760" w:type="dxa"/>
            <w:vAlign w:val="bottom"/>
            <w:tcBorders>
              <w:right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4"/>
                <w:szCs w:val="14"/>
                <w:color w:val="auto"/>
              </w:rPr>
            </w:pPr>
          </w:p>
        </w:tc>
        <w:tc>
          <w:tcPr>
            <w:tcW w:w="1420" w:type="dxa"/>
            <w:vAlign w:val="bottom"/>
            <w:gridSpan w:val="4"/>
          </w:tcPr>
          <w:p>
            <w:pPr>
              <w:ind w:left="30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2"/>
                <w:szCs w:val="2"/>
                <w:color w:val="auto"/>
              </w:rPr>
            </w:pPr>
          </w:p>
        </w:tc>
        <w:tc>
          <w:tcPr>
            <w:tcW w:w="12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2"/>
                <w:szCs w:val="2"/>
                <w:color w:val="auto"/>
              </w:rPr>
            </w:pPr>
          </w:p>
        </w:tc>
        <w:tc>
          <w:tcPr>
            <w:tcW w:w="130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rPr>
              <w:t>Income</w:t>
            </w: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5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right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(Loss), Net</w:t>
            </w: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Balance at January 1, 2018</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44,058,986</w:t>
            </w:r>
          </w:p>
        </w:tc>
        <w:tc>
          <w:tcPr>
            <w:tcW w:w="16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$38,268</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11,026,420</w:t>
            </w:r>
          </w:p>
        </w:tc>
        <w:tc>
          <w:tcPr>
            <w:tcW w:w="42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1,570</w:t>
            </w:r>
          </w:p>
        </w:tc>
        <w:tc>
          <w:tcPr>
            <w:tcW w:w="28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6"/>
                <w:szCs w:val="16"/>
                <w:color w:val="auto"/>
              </w:rPr>
              <w:t>(33,368)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00"/>
              <w:spacing w:after="0" w:line="183" w:lineRule="exact"/>
              <w:rPr>
                <w:sz w:val="20"/>
                <w:szCs w:val="20"/>
                <w:color w:val="auto"/>
              </w:rPr>
            </w:pPr>
            <w:r>
              <w:rPr>
                <w:rFonts w:ascii="Arial" w:cs="Arial" w:eastAsia="Arial" w:hAnsi="Arial"/>
                <w:sz w:val="16"/>
                <w:szCs w:val="16"/>
                <w:color w:val="auto"/>
              </w:rPr>
              <w:t>56</w:t>
            </w: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(31,731)</w:t>
            </w:r>
          </w:p>
        </w:tc>
        <w:tc>
          <w:tcPr>
            <w:tcW w:w="0" w:type="dxa"/>
            <w:vAlign w:val="bottom"/>
          </w:tcPr>
          <w:p>
            <w:pPr>
              <w:spacing w:after="0"/>
              <w:rPr>
                <w:sz w:val="1"/>
                <w:szCs w:val="1"/>
                <w:color w:val="auto"/>
              </w:rPr>
            </w:pPr>
          </w:p>
        </w:tc>
      </w:tr>
      <w:tr>
        <w:trPr>
          <w:trHeight w:val="189"/>
        </w:trPr>
        <w:tc>
          <w:tcPr>
            <w:tcW w:w="25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745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91"/>
        </w:trPr>
        <w:tc>
          <w:tcPr>
            <w:tcW w:w="2540" w:type="dxa"/>
            <w:vAlign w:val="bottom"/>
          </w:tcPr>
          <w:p>
            <w:pPr>
              <w:spacing w:after="0"/>
              <w:rPr>
                <w:sz w:val="20"/>
                <w:szCs w:val="20"/>
                <w:color w:val="auto"/>
              </w:rPr>
            </w:pPr>
            <w:r>
              <w:rPr>
                <w:rFonts w:ascii="Arial" w:cs="Arial" w:eastAsia="Arial" w:hAnsi="Arial"/>
                <w:sz w:val="16"/>
                <w:szCs w:val="16"/>
                <w:color w:val="auto"/>
              </w:rPr>
              <w:t>Change in comprehensive loss</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160"/>
              <w:spacing w:after="0"/>
              <w:rPr>
                <w:sz w:val="20"/>
                <w:szCs w:val="20"/>
                <w:color w:val="auto"/>
              </w:rPr>
            </w:pPr>
            <w:r>
              <w:rPr>
                <w:rFonts w:ascii="Arial" w:cs="Arial" w:eastAsia="Arial" w:hAnsi="Arial"/>
                <w:sz w:val="16"/>
                <w:szCs w:val="16"/>
                <w:color w:val="auto"/>
              </w:rPr>
              <w:t>related to foreign currency</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40" w:type="dxa"/>
            <w:vAlign w:val="bottom"/>
          </w:tcPr>
          <w:p>
            <w:pPr>
              <w:ind w:left="160"/>
              <w:spacing w:after="0"/>
              <w:rPr>
                <w:sz w:val="20"/>
                <w:szCs w:val="20"/>
                <w:color w:val="auto"/>
              </w:rPr>
            </w:pPr>
            <w:r>
              <w:rPr>
                <w:rFonts w:ascii="Arial" w:cs="Arial" w:eastAsia="Arial" w:hAnsi="Arial"/>
                <w:sz w:val="16"/>
                <w:szCs w:val="16"/>
                <w:color w:val="auto"/>
              </w:rPr>
              <w:t>translation adjustments</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(5,057)</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(5,057)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Pr>
          <w:p>
            <w:pPr>
              <w:spacing w:after="0"/>
              <w:rPr>
                <w:sz w:val="20"/>
                <w:szCs w:val="20"/>
                <w:color w:val="auto"/>
              </w:rPr>
            </w:pPr>
            <w:r>
              <w:rPr>
                <w:rFonts w:ascii="Arial" w:cs="Arial" w:eastAsia="Arial" w:hAnsi="Arial"/>
                <w:sz w:val="16"/>
                <w:szCs w:val="16"/>
                <w:color w:val="auto"/>
              </w:rPr>
              <w:t>Balance at December 31, 2018</w:t>
            </w:r>
          </w:p>
        </w:tc>
        <w:tc>
          <w:tcPr>
            <w:tcW w:w="880" w:type="dxa"/>
            <w:vAlign w:val="bottom"/>
          </w:tcPr>
          <w:p>
            <w:pPr>
              <w:jc w:val="right"/>
              <w:spacing w:after="0"/>
              <w:rPr>
                <w:sz w:val="20"/>
                <w:szCs w:val="20"/>
                <w:color w:val="auto"/>
              </w:rPr>
            </w:pPr>
            <w:r>
              <w:rPr>
                <w:rFonts w:ascii="Arial" w:cs="Arial" w:eastAsia="Arial" w:hAnsi="Arial"/>
                <w:sz w:val="16"/>
                <w:szCs w:val="16"/>
                <w:color w:val="auto"/>
              </w:rPr>
              <w:t>44,068,986</w:t>
            </w:r>
          </w:p>
        </w:tc>
        <w:tc>
          <w:tcPr>
            <w:tcW w:w="16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38,268</w:t>
            </w:r>
          </w:p>
        </w:tc>
        <w:tc>
          <w:tcPr>
            <w:tcW w:w="1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11,198,077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2,397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(38,425)</w:t>
            </w:r>
          </w:p>
        </w:tc>
        <w:tc>
          <w:tcPr>
            <w:tcW w:w="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(36,044)</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189"/>
        </w:trPr>
        <w:tc>
          <w:tcPr>
            <w:tcW w:w="254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42,966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1"/>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Cumulative effect of adoption of</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new accounting standard</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(Note 2u)</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1"/>
        </w:trPr>
        <w:tc>
          <w:tcPr>
            <w:tcW w:w="2540" w:type="dxa"/>
            <w:vAlign w:val="bottom"/>
          </w:tcPr>
          <w:p>
            <w:pPr>
              <w:spacing w:after="0"/>
              <w:rPr>
                <w:sz w:val="20"/>
                <w:szCs w:val="20"/>
                <w:color w:val="auto"/>
              </w:rPr>
            </w:pPr>
            <w:r>
              <w:rPr>
                <w:rFonts w:ascii="Arial" w:cs="Arial" w:eastAsia="Arial" w:hAnsi="Arial"/>
                <w:sz w:val="16"/>
                <w:szCs w:val="16"/>
                <w:color w:val="auto"/>
              </w:rPr>
              <w:t>Change in comprehensive loss</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160"/>
              <w:spacing w:after="0"/>
              <w:rPr>
                <w:sz w:val="20"/>
                <w:szCs w:val="20"/>
                <w:color w:val="auto"/>
              </w:rPr>
            </w:pPr>
            <w:r>
              <w:rPr>
                <w:rFonts w:ascii="Arial" w:cs="Arial" w:eastAsia="Arial" w:hAnsi="Arial"/>
                <w:sz w:val="16"/>
                <w:szCs w:val="16"/>
                <w:color w:val="auto"/>
              </w:rPr>
              <w:t>related to foreign currency</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40" w:type="dxa"/>
            <w:vAlign w:val="bottom"/>
          </w:tcPr>
          <w:p>
            <w:pPr>
              <w:ind w:left="160"/>
              <w:spacing w:after="0"/>
              <w:rPr>
                <w:sz w:val="20"/>
                <w:szCs w:val="20"/>
                <w:color w:val="auto"/>
              </w:rPr>
            </w:pPr>
            <w:r>
              <w:rPr>
                <w:rFonts w:ascii="Arial" w:cs="Arial" w:eastAsia="Arial" w:hAnsi="Arial"/>
                <w:sz w:val="16"/>
                <w:szCs w:val="16"/>
                <w:color w:val="auto"/>
              </w:rPr>
              <w:t>translation adjustments</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148</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(2,189)</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(2,189)</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880" w:type="dxa"/>
            <w:vAlign w:val="bottom"/>
          </w:tcPr>
          <w:p>
            <w:pPr>
              <w:jc w:val="right"/>
              <w:spacing w:after="0"/>
              <w:rPr>
                <w:sz w:val="20"/>
                <w:szCs w:val="20"/>
                <w:color w:val="auto"/>
              </w:rPr>
            </w:pPr>
            <w:r>
              <w:rPr>
                <w:rFonts w:ascii="Arial" w:cs="Arial" w:eastAsia="Arial" w:hAnsi="Arial"/>
                <w:sz w:val="16"/>
                <w:szCs w:val="16"/>
                <w:color w:val="auto"/>
              </w:rPr>
              <w:t>44,058,986</w:t>
            </w:r>
          </w:p>
        </w:tc>
        <w:tc>
          <w:tcPr>
            <w:tcW w:w="16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38,268</w:t>
            </w:r>
          </w:p>
        </w:tc>
        <w:tc>
          <w:tcPr>
            <w:tcW w:w="1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11,241,043</w:t>
            </w: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3,772</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(40,515)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121</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(36,611)</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hanging="544"/>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Represent an amount lower than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140"/>
          </w:cols>
          <w:pgMar w:left="320" w:top="459"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89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9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(2,189)</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 based compensation</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1,347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Non-cash interest expense</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Remeasurement of warrants to purchase convertible preferred stock</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(3,268)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Deferred contract acquisition and fulfillment costs</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(668)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1,572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Accrued payroll and related benefits</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 and other payables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9"/>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(1,035)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09"/>
        </w:trPr>
        <w:tc>
          <w:tcPr>
            <w:tcW w:w="89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Restricted deposit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0"/>
        </w:trPr>
        <w:tc>
          <w:tcPr>
            <w:tcW w:w="8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warrants to purchase convertible preferred stock</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Proceeds from issuance of term loan</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decrease in cash, cash equivalents and restricted cash</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(1,074)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beginning of year</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5,028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(erosion) due to exchange rate differences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8980" w:type="dxa"/>
            <w:vAlign w:val="bottom"/>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and noncash transactions</w:t>
            </w:r>
            <w:r>
              <w:rPr>
                <w:rFonts w:ascii="Arial" w:cs="Arial" w:eastAsia="Arial" w:hAnsi="Arial"/>
                <w:sz w:val="18"/>
                <w:szCs w:val="18"/>
                <w:u w:val="single" w:color="auto"/>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Issuance of warrants to purchase convertible preferred stocks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 interest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income taxes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cash equivalents, and restricted cash within the Consolidated Balance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980" w:type="dxa"/>
            <w:vAlign w:val="bottom"/>
          </w:tcPr>
          <w:p>
            <w:pPr>
              <w:ind w:left="180"/>
              <w:spacing w:after="0"/>
              <w:rPr>
                <w:sz w:val="20"/>
                <w:szCs w:val="20"/>
                <w:color w:val="auto"/>
              </w:rPr>
            </w:pPr>
            <w:r>
              <w:rPr>
                <w:rFonts w:ascii="Arial" w:cs="Arial" w:eastAsia="Arial" w:hAnsi="Arial"/>
                <w:sz w:val="18"/>
                <w:szCs w:val="18"/>
                <w:b w:val="1"/>
                <w:bCs w:val="1"/>
                <w:color w:val="auto"/>
              </w:rPr>
              <w:t>Sheets to the amounts shown in the Consolidated Statements of Cash Flows above:</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4,041</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09"/>
        </w:trPr>
        <w:tc>
          <w:tcPr>
            <w:tcW w:w="898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cash, cash equivalents, and restricted cash</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4,132</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140"/>
          </w:cols>
          <w:pgMar w:left="320" w:top="459" w:right="4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U.S. dollars in thousands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GENERAL</w:t>
      </w:r>
    </w:p>
    <w:p>
      <w:pPr>
        <w:spacing w:after="0" w:line="126"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Simplificare Inc., a Delaware corporation was founded on August 26, 2010. In 2010, Simplificare Inc. established Simplificare Ltd. (the “Subsidiary”), a wholly owned subsidiary, which was incorporated and has commenced operations in Israel (together with Simplificare Inc. the “Company”).</w:t>
      </w:r>
    </w:p>
    <w:p>
      <w:pPr>
        <w:spacing w:after="0" w:line="203"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The Company provides a software platform to health care providers for patient financial care. The Company’s technology creates a modern billing and payment experience designed to engage patients on financial responsibility in a personalized way, matching needs to options starting with preservice.</w:t>
      </w:r>
    </w:p>
    <w:p>
      <w:pPr>
        <w:spacing w:after="0" w:line="203"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On February 13, 2020, all of the outstanding shares of Simplificare were acquired by Flywire Healthcare Corporation (“Flywire”). All outstanding shares of preferred stock were converted to common stock. Additionally, warrants and vested options were exercised for common stock and outstanding debt was paid off at the acquisition date with proceeds from the acquisition. The Company will continue to operate as a 100% wholly owned subsidiary of Flywire. Historically, the Company has generated losses from operations, and at December 31, 2019 has an accumulated deficit of $40.5 million and negative cash flows from operating activities during the year ended December 31, 2019 is $1 million. The Company requires additional financing in order to continue to fund its current operations and pay existing and future liabilities These conditions raise substantial doubt about the Company’s ability to continue as a going concern. The consolidated financial statements do not include any adjustments to the carrying amounts and classifications of assets and liabilities that would result if the Company was unable to continue as a going concern.</w:t>
      </w:r>
    </w:p>
    <w:p>
      <w:pPr>
        <w:spacing w:after="0" w:line="207"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Post acquisition, the Company has been integrated into Flywire, and determining the results from operations for Simplificare is impractical. Flywire, as the parent company, will fund any deficits incurred by Simplificare into the foreseeable future.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6" w:lineRule="exact"/>
        <w:rPr>
          <w:sz w:val="20"/>
          <w:szCs w:val="20"/>
          <w:color w:val="auto"/>
        </w:rPr>
      </w:pPr>
    </w:p>
    <w:p>
      <w:pPr>
        <w:ind w:left="120" w:right="740" w:firstLine="440"/>
        <w:spacing w:after="0" w:line="246" w:lineRule="auto"/>
        <w:rPr>
          <w:sz w:val="20"/>
          <w:szCs w:val="20"/>
          <w:color w:val="auto"/>
        </w:rPr>
      </w:pPr>
      <w:r>
        <w:rPr>
          <w:rFonts w:ascii="Arial" w:cs="Arial" w:eastAsia="Arial" w:hAnsi="Arial"/>
          <w:sz w:val="18"/>
          <w:szCs w:val="18"/>
          <w:color w:val="auto"/>
        </w:rPr>
        <w:t>The consolidated financial statements have been prepared in accordance with United States generally accepted accounting principles (“U.S. GAAP”).</w:t>
      </w:r>
    </w:p>
    <w:p>
      <w:pPr>
        <w:spacing w:after="0" w:line="102" w:lineRule="exact"/>
        <w:rPr>
          <w:sz w:val="20"/>
          <w:szCs w:val="20"/>
          <w:color w:val="auto"/>
        </w:rPr>
      </w:pPr>
    </w:p>
    <w:p>
      <w:pPr>
        <w:ind w:left="660" w:hanging="544"/>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103" w:lineRule="exact"/>
        <w:rPr>
          <w:rFonts w:ascii="Arial" w:cs="Arial" w:eastAsia="Arial" w:hAnsi="Arial"/>
          <w:sz w:val="18"/>
          <w:szCs w:val="18"/>
          <w:color w:val="auto"/>
        </w:rPr>
      </w:pPr>
    </w:p>
    <w:p>
      <w:pPr>
        <w:ind w:left="660" w:right="240"/>
        <w:spacing w:after="0"/>
        <w:rPr>
          <w:rFonts w:ascii="Arial" w:cs="Arial" w:eastAsia="Arial" w:hAnsi="Arial"/>
          <w:sz w:val="18"/>
          <w:szCs w:val="18"/>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financial statements and accompanying notes. Actual results could differ from those estimates.</w:t>
      </w:r>
    </w:p>
    <w:p>
      <w:pPr>
        <w:spacing w:after="0" w:line="108" w:lineRule="exact"/>
        <w:rPr>
          <w:rFonts w:ascii="Arial" w:cs="Arial" w:eastAsia="Arial" w:hAnsi="Arial"/>
          <w:sz w:val="18"/>
          <w:szCs w:val="18"/>
          <w:color w:val="auto"/>
        </w:rPr>
      </w:pPr>
    </w:p>
    <w:p>
      <w:pPr>
        <w:ind w:left="660" w:hanging="544"/>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103" w:lineRule="exact"/>
        <w:rPr>
          <w:rFonts w:ascii="Arial" w:cs="Arial" w:eastAsia="Arial" w:hAnsi="Arial"/>
          <w:sz w:val="18"/>
          <w:szCs w:val="18"/>
          <w:color w:val="auto"/>
        </w:rPr>
      </w:pPr>
    </w:p>
    <w:p>
      <w:pPr>
        <w:ind w:left="660"/>
        <w:spacing w:after="0" w:line="246" w:lineRule="auto"/>
        <w:rPr>
          <w:rFonts w:ascii="Arial" w:cs="Arial" w:eastAsia="Arial" w:hAnsi="Arial"/>
          <w:sz w:val="18"/>
          <w:szCs w:val="18"/>
          <w:color w:val="auto"/>
        </w:rPr>
      </w:pPr>
      <w:r>
        <w:rPr>
          <w:rFonts w:ascii="Arial" w:cs="Arial" w:eastAsia="Arial" w:hAnsi="Arial"/>
          <w:sz w:val="18"/>
          <w:szCs w:val="18"/>
          <w:color w:val="auto"/>
        </w:rPr>
        <w:t>The functional currency of the Company is the U.S. dollar, as the U.S. dollar is the currency of the primary economic environment in which the Company and its subsidiary has operated and expects to continue to operate in the foreseeable future.</w:t>
      </w:r>
    </w:p>
    <w:p>
      <w:pPr>
        <w:spacing w:after="0" w:line="88" w:lineRule="exact"/>
        <w:rPr>
          <w:rFonts w:ascii="Arial" w:cs="Arial" w:eastAsia="Arial" w:hAnsi="Arial"/>
          <w:sz w:val="18"/>
          <w:szCs w:val="18"/>
          <w:color w:val="auto"/>
        </w:rPr>
      </w:pPr>
    </w:p>
    <w:p>
      <w:pPr>
        <w:jc w:val="both"/>
        <w:ind w:left="660" w:right="320"/>
        <w:spacing w:after="0"/>
        <w:rPr>
          <w:rFonts w:ascii="Arial" w:cs="Arial" w:eastAsia="Arial" w:hAnsi="Arial"/>
          <w:sz w:val="18"/>
          <w:szCs w:val="18"/>
          <w:color w:val="auto"/>
        </w:rPr>
      </w:pPr>
      <w:r>
        <w:rPr>
          <w:rFonts w:ascii="Arial" w:cs="Arial" w:eastAsia="Arial" w:hAnsi="Arial"/>
          <w:sz w:val="18"/>
          <w:szCs w:val="18"/>
          <w:color w:val="auto"/>
        </w:rPr>
        <w:t>Accordingly, monetary accounts maintained in currencies other than the dollar are re-measured into U.S. dollars. All transaction gains and losses of the re-measured monetary balance sheet items are reflected in the consolidated statement of operations as other income or expenses, as appropriate.</w:t>
      </w:r>
    </w:p>
    <w:p>
      <w:pPr>
        <w:spacing w:after="0" w:line="94" w:lineRule="exact"/>
        <w:rPr>
          <w:rFonts w:ascii="Arial" w:cs="Arial" w:eastAsia="Arial" w:hAnsi="Arial"/>
          <w:sz w:val="18"/>
          <w:szCs w:val="18"/>
          <w:color w:val="auto"/>
        </w:rPr>
      </w:pPr>
    </w:p>
    <w:p>
      <w:pPr>
        <w:ind w:left="660" w:right="100"/>
        <w:spacing w:after="0" w:line="246" w:lineRule="auto"/>
        <w:rPr>
          <w:rFonts w:ascii="Arial" w:cs="Arial" w:eastAsia="Arial" w:hAnsi="Arial"/>
          <w:sz w:val="18"/>
          <w:szCs w:val="18"/>
          <w:color w:val="auto"/>
        </w:rPr>
      </w:pPr>
      <w:r>
        <w:rPr>
          <w:rFonts w:ascii="Arial" w:cs="Arial" w:eastAsia="Arial" w:hAnsi="Arial"/>
          <w:sz w:val="18"/>
          <w:szCs w:val="18"/>
          <w:color w:val="auto"/>
        </w:rPr>
        <w:t>NIS is the currency of the primary economic environment in which the Subsidiary expects to operate in the foreseeable future. The Subsidiary’s operations are currently conducted mostly in Israel and its expenses are currently paid in NIS.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40"/>
        <w:spacing w:after="0"/>
        <w:rPr>
          <w:sz w:val="20"/>
          <w:szCs w:val="20"/>
          <w:color w:val="auto"/>
        </w:rPr>
      </w:pPr>
      <w:r>
        <w:rPr>
          <w:rFonts w:ascii="Arial" w:cs="Arial" w:eastAsia="Arial" w:hAnsi="Arial"/>
          <w:sz w:val="18"/>
          <w:szCs w:val="18"/>
          <w:color w:val="auto"/>
        </w:rPr>
        <w:t>Accordingly, monetary accounts maintained in currencies other than NIS are re-measured into NIS. All transaction gains and losses of the re-measurement of monetary balance sheet items are reflected in the consolidated statements of operations and comprehensive loss as other income or expenses, as appropriate.</w:t>
      </w:r>
    </w:p>
    <w:p>
      <w:pPr>
        <w:spacing w:after="0" w:line="108" w:lineRule="exact"/>
        <w:rPr>
          <w:sz w:val="20"/>
          <w:szCs w:val="20"/>
          <w:color w:val="auto"/>
        </w:rPr>
      </w:pPr>
    </w:p>
    <w:p>
      <w:pPr>
        <w:ind w:left="660" w:hanging="544"/>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103" w:lineRule="exact"/>
        <w:rPr>
          <w:rFonts w:ascii="Arial" w:cs="Arial" w:eastAsia="Arial" w:hAnsi="Arial"/>
          <w:sz w:val="18"/>
          <w:szCs w:val="18"/>
          <w:color w:val="auto"/>
        </w:rPr>
      </w:pPr>
    </w:p>
    <w:p>
      <w:pPr>
        <w:ind w:left="660" w:right="240"/>
        <w:spacing w:after="0" w:line="246"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Simplificare Inc. and its Subsidiary. Intercompany transactions and balances have been eliminated upon consolidation.</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103" w:lineRule="exact"/>
        <w:rPr>
          <w:rFonts w:ascii="Arial" w:cs="Arial" w:eastAsia="Arial" w:hAnsi="Arial"/>
          <w:sz w:val="18"/>
          <w:szCs w:val="18"/>
          <w:color w:val="auto"/>
        </w:rPr>
      </w:pPr>
    </w:p>
    <w:p>
      <w:pPr>
        <w:ind w:left="660" w:right="640"/>
        <w:spacing w:after="0" w:line="246" w:lineRule="auto"/>
        <w:rPr>
          <w:rFonts w:ascii="Arial" w:cs="Arial" w:eastAsia="Arial" w:hAnsi="Arial"/>
          <w:sz w:val="18"/>
          <w:szCs w:val="18"/>
          <w:color w:val="auto"/>
        </w:rPr>
      </w:pPr>
      <w:r>
        <w:rPr>
          <w:rFonts w:ascii="Arial" w:cs="Arial" w:eastAsia="Arial" w:hAnsi="Arial"/>
          <w:sz w:val="18"/>
          <w:szCs w:val="18"/>
          <w:color w:val="auto"/>
        </w:rPr>
        <w:t>The Company considers all highly liquid investments, including merchant account and unrestricted short-term bank deposits purchased with stated maturities of three months or less from the date of purchase, to be cash equivalents.</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Restricted cash and deposits:</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Restricted cash and deposits are used as a security for the Company’s lessor and as retention for merchant accounts.</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103" w:lineRule="exact"/>
        <w:rPr>
          <w:rFonts w:ascii="Arial" w:cs="Arial" w:eastAsia="Arial" w:hAnsi="Arial"/>
          <w:sz w:val="18"/>
          <w:szCs w:val="18"/>
          <w:color w:val="auto"/>
        </w:rPr>
      </w:pPr>
    </w:p>
    <w:p>
      <w:pPr>
        <w:ind w:left="660" w:right="560"/>
        <w:spacing w:after="0" w:line="246"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lives:</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7020" w:type="dxa"/>
            <w:vAlign w:val="bottom"/>
            <w:tcBorders>
              <w:bottom w:val="single" w:sz="8" w:color="CCEEFF"/>
            </w:tcBorders>
          </w:tcPr>
          <w:p>
            <w:pPr>
              <w:spacing w:after="0"/>
              <w:rPr>
                <w:sz w:val="15"/>
                <w:szCs w:val="15"/>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r>
      <w:tr>
        <w:trPr>
          <w:trHeight w:val="196"/>
        </w:trPr>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Computers, software and electronic equipment</w:t>
            </w:r>
          </w:p>
        </w:tc>
        <w:tc>
          <w:tcPr>
            <w:tcW w:w="34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Office furniture and equipment</w:t>
            </w:r>
          </w:p>
        </w:tc>
        <w:tc>
          <w:tcPr>
            <w:tcW w:w="346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r>
      <w:tr>
        <w:trPr>
          <w:trHeight w:val="202"/>
        </w:trPr>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3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By the shorter of the term of the</w:t>
            </w:r>
          </w:p>
        </w:tc>
      </w:tr>
      <w:tr>
        <w:trPr>
          <w:trHeight w:val="203"/>
        </w:trPr>
        <w:tc>
          <w:tcPr>
            <w:tcW w:w="7020" w:type="dxa"/>
            <w:vAlign w:val="bottom"/>
            <w:shd w:val="clear" w:color="auto" w:fill="CCEEFF"/>
          </w:tcPr>
          <w:p>
            <w:pPr>
              <w:spacing w:after="0"/>
              <w:rPr>
                <w:sz w:val="17"/>
                <w:szCs w:val="17"/>
                <w:color w:val="auto"/>
              </w:rPr>
            </w:pPr>
          </w:p>
        </w:tc>
        <w:tc>
          <w:tcPr>
            <w:tcW w:w="3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lease or the life of the asset</w:t>
            </w:r>
          </w:p>
        </w:tc>
      </w:tr>
    </w:tbl>
    <w:p>
      <w:pPr>
        <w:spacing w:after="0" w:line="121" w:lineRule="exact"/>
        <w:rPr>
          <w:sz w:val="20"/>
          <w:szCs w:val="20"/>
          <w:color w:val="auto"/>
        </w:rPr>
      </w:pPr>
    </w:p>
    <w:p>
      <w:pPr>
        <w:ind w:left="660" w:hanging="544"/>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103" w:lineRule="exact"/>
        <w:rPr>
          <w:rFonts w:ascii="Arial" w:cs="Arial" w:eastAsia="Arial" w:hAnsi="Arial"/>
          <w:sz w:val="18"/>
          <w:szCs w:val="18"/>
          <w:color w:val="auto"/>
        </w:rPr>
      </w:pPr>
    </w:p>
    <w:p>
      <w:pPr>
        <w:ind w:left="660" w:right="60"/>
        <w:spacing w:after="0" w:line="238" w:lineRule="auto"/>
        <w:rPr>
          <w:rFonts w:ascii="Arial" w:cs="Arial" w:eastAsia="Arial" w:hAnsi="Arial"/>
          <w:sz w:val="18"/>
          <w:szCs w:val="18"/>
          <w:color w:val="auto"/>
        </w:rPr>
      </w:pPr>
      <w:r>
        <w:rPr>
          <w:rFonts w:ascii="Arial" w:cs="Arial" w:eastAsia="Arial" w:hAnsi="Arial"/>
          <w:sz w:val="18"/>
          <w:szCs w:val="18"/>
          <w:color w:val="auto"/>
        </w:rPr>
        <w:t>The Company’s long-lived assets are reviewed for impairment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9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of December 31, 2019, and 2018, no impairment losses have been identified.</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8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Revenue recognized under ASC 606:</w:t>
      </w:r>
    </w:p>
    <w:p>
      <w:pPr>
        <w:spacing w:after="0" w:line="1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Performance obligations and timing of revenue recognition:</w:t>
      </w:r>
    </w:p>
    <w:p>
      <w:pPr>
        <w:spacing w:after="0" w:line="103" w:lineRule="exact"/>
        <w:rPr>
          <w:rFonts w:ascii="Arial" w:cs="Arial" w:eastAsia="Arial" w:hAnsi="Arial"/>
          <w:sz w:val="18"/>
          <w:szCs w:val="18"/>
          <w:color w:val="auto"/>
        </w:rPr>
      </w:pPr>
    </w:p>
    <w:p>
      <w:pPr>
        <w:ind w:left="660" w:right="80"/>
        <w:spacing w:after="0" w:line="238" w:lineRule="auto"/>
        <w:rPr>
          <w:rFonts w:ascii="Arial" w:cs="Arial" w:eastAsia="Arial" w:hAnsi="Arial"/>
          <w:sz w:val="18"/>
          <w:szCs w:val="18"/>
          <w:color w:val="auto"/>
        </w:rPr>
      </w:pPr>
      <w:r>
        <w:rPr>
          <w:rFonts w:ascii="Arial" w:cs="Arial" w:eastAsia="Arial" w:hAnsi="Arial"/>
          <w:sz w:val="18"/>
          <w:szCs w:val="18"/>
          <w:color w:val="auto"/>
        </w:rPr>
        <w:t>The Company provides a software platform to health care providers for patient financial care. The Company’s technology creates a modern billing and payment solution designed to optimize collections, namely, the Company provides its customers a cloud-based access to its software. The customers do not acquire the software to run on their systems, but instead are limited to accessing the platform from the systems of the Company under a hosting arrangement.</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1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300"/>
        <w:spacing w:after="0" w:line="257" w:lineRule="auto"/>
        <w:rPr>
          <w:sz w:val="20"/>
          <w:szCs w:val="20"/>
          <w:color w:val="auto"/>
        </w:rPr>
      </w:pPr>
      <w:r>
        <w:rPr>
          <w:rFonts w:ascii="Arial" w:cs="Arial" w:eastAsia="Arial" w:hAnsi="Arial"/>
          <w:sz w:val="17"/>
          <w:szCs w:val="17"/>
          <w:color w:val="auto"/>
        </w:rPr>
        <w:t>The Company recognizes revenue in accordance with Accounting Standards Codification (“ASC”) 606- Revenue from Contracts with Customers (“ASC 606”) when, or as, control of the promised goods or services is transferred to the customer, in an amount that reflects the consideration it expect to be entitled to in exchange for those goods or services. Revenue is recognized net of allowances for refunds and any taxes collected from customers, which are subsequently remitted to governmental authorities.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17" w:lineRule="exact"/>
        <w:rPr>
          <w:sz w:val="20"/>
          <w:szCs w:val="20"/>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Recognition of revenues when, or as, the Company satisfies a performance obligation.</w:t>
      </w:r>
    </w:p>
    <w:p>
      <w:pPr>
        <w:spacing w:after="0" w:line="104"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The company’s contract is formed when a customer signs a Software Service Agreement and an Order Form. The contracts usually include an automatic renewal option for an additional 12 months period. The nature of the Company’s service is to stand ready to approve its Customers’ online transactions during the contract term. Customers are granted access to the platform under a hosting arrangement and do not acquire a license to run the software on their systems. The customers are obliged to pay a percentage-based amount per transaction. In limited cases the contracts include a minimal monthly fee. As the contracts include an unknown quantity of output (i.e. approved transactions) at a fixed contractual rate per the transactions executed on a monthly basis, the contract price is deemed variable. The Company allocates the variable consideration to the month in which the service is performed which coincides with the month the Company has the contractual right to bill. Invoiced amounts are recorded in accounts receivable and in revenue.</w:t>
      </w:r>
    </w:p>
    <w:p>
      <w:pPr>
        <w:spacing w:after="0" w:line="99" w:lineRule="exact"/>
        <w:rPr>
          <w:sz w:val="20"/>
          <w:szCs w:val="20"/>
          <w:color w:val="auto"/>
        </w:rPr>
      </w:pPr>
    </w:p>
    <w:p>
      <w:pPr>
        <w:ind w:left="660" w:right="160"/>
        <w:spacing w:after="0" w:line="238" w:lineRule="auto"/>
        <w:rPr>
          <w:sz w:val="20"/>
          <w:szCs w:val="20"/>
          <w:color w:val="auto"/>
        </w:rPr>
      </w:pPr>
      <w:r>
        <w:rPr>
          <w:rFonts w:ascii="Arial" w:cs="Arial" w:eastAsia="Arial" w:hAnsi="Arial"/>
          <w:sz w:val="18"/>
          <w:szCs w:val="18"/>
          <w:color w:val="auto"/>
        </w:rPr>
        <w:t>The nature of the Company’s service is to provide its clients’ patients access to a cloud-based payments solution. The Company has determined that it has one performance obligation, the act of standing ready to provide continuous access to the platform and process related payment transactions. To provide those services the Company has to implement the client to the cloud-based solution, provide hosting services, generation and distribution of client patients billing statements, support services and when and updates, if applicable, that constitute inputs of a combined output.</w:t>
      </w:r>
    </w:p>
    <w:p>
      <w:pPr>
        <w:spacing w:after="0" w:line="94"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integration services the Company provides at inception of contracts, are in substance a set-up activity and are being accounted for as costs to fulfil a contract as detailed below.</w:t>
      </w:r>
    </w:p>
    <w:p>
      <w:pPr>
        <w:spacing w:after="0" w:line="89" w:lineRule="exact"/>
        <w:rPr>
          <w:sz w:val="20"/>
          <w:szCs w:val="20"/>
          <w:color w:val="auto"/>
        </w:rPr>
      </w:pPr>
    </w:p>
    <w:p>
      <w:pPr>
        <w:ind w:left="660" w:right="260"/>
        <w:spacing w:after="0" w:line="246" w:lineRule="auto"/>
        <w:rPr>
          <w:sz w:val="20"/>
          <w:szCs w:val="20"/>
          <w:color w:val="auto"/>
        </w:rPr>
      </w:pPr>
      <w:r>
        <w:rPr>
          <w:rFonts w:ascii="Arial" w:cs="Arial" w:eastAsia="Arial" w:hAnsi="Arial"/>
          <w:sz w:val="18"/>
          <w:szCs w:val="18"/>
          <w:color w:val="auto"/>
        </w:rPr>
        <w:t>The Company has determined that it can use the “as-invoiced” practical expedient since the fees vary only within a given month, and the minimal fee is not substantive.</w:t>
      </w:r>
    </w:p>
    <w:p>
      <w:pPr>
        <w:spacing w:after="0" w:line="89" w:lineRule="exact"/>
        <w:rPr>
          <w:sz w:val="20"/>
          <w:szCs w:val="20"/>
          <w:color w:val="auto"/>
        </w:rPr>
      </w:pPr>
    </w:p>
    <w:p>
      <w:pPr>
        <w:ind w:left="660" w:right="220"/>
        <w:spacing w:after="0" w:line="238" w:lineRule="auto"/>
        <w:rPr>
          <w:sz w:val="20"/>
          <w:szCs w:val="20"/>
          <w:color w:val="auto"/>
        </w:rPr>
      </w:pPr>
      <w:r>
        <w:rPr>
          <w:rFonts w:ascii="Arial" w:cs="Arial" w:eastAsia="Arial" w:hAnsi="Arial"/>
          <w:sz w:val="18"/>
          <w:szCs w:val="18"/>
          <w:color w:val="auto"/>
        </w:rPr>
        <w:t>The Company incurs costs in processing payments which may include banking, credit card processing, printing and mailing fees. These fees are direct costs of the Company in providing payment processing services. Since the Company controls the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94" w:lineRule="exact"/>
        <w:rPr>
          <w:sz w:val="20"/>
          <w:szCs w:val="20"/>
          <w:color w:val="auto"/>
        </w:rPr>
      </w:pPr>
    </w:p>
    <w:p>
      <w:pPr>
        <w:ind w:left="660" w:right="440"/>
        <w:spacing w:after="0" w:line="246" w:lineRule="auto"/>
        <w:rPr>
          <w:sz w:val="20"/>
          <w:szCs w:val="20"/>
          <w:color w:val="auto"/>
        </w:rPr>
      </w:pPr>
      <w:r>
        <w:rPr>
          <w:rFonts w:ascii="Arial" w:cs="Arial" w:eastAsia="Arial" w:hAnsi="Arial"/>
          <w:sz w:val="18"/>
          <w:szCs w:val="18"/>
          <w:color w:val="auto"/>
        </w:rPr>
        <w:t>The printing services are part of the performance obligation that comprises a series. In order for an element of a contract to be considered for separate treatment under the gross vs. net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220"/>
        <w:spacing w:after="0"/>
        <w:rPr>
          <w:sz w:val="20"/>
          <w:szCs w:val="20"/>
          <w:color w:val="auto"/>
        </w:rPr>
      </w:pPr>
      <w:r>
        <w:rPr>
          <w:rFonts w:ascii="Arial" w:cs="Arial" w:eastAsia="Arial" w:hAnsi="Arial"/>
          <w:sz w:val="18"/>
          <w:szCs w:val="18"/>
          <w:color w:val="auto"/>
        </w:rPr>
        <w:t>guidance of ASC 606, it would need to be considered a separate performance obligation (i.e. specified good). As the Company is the principal in the series performance obligation to the customer, and the printing services are part of the series, the cost of printing and postage is considered a fulfillment cost of the obligation and recorded gross.</w:t>
      </w:r>
    </w:p>
    <w:p>
      <w:pPr>
        <w:spacing w:after="0" w:line="95" w:lineRule="exact"/>
        <w:rPr>
          <w:sz w:val="20"/>
          <w:szCs w:val="20"/>
          <w:color w:val="auto"/>
        </w:rPr>
      </w:pPr>
    </w:p>
    <w:p>
      <w:pPr>
        <w:ind w:left="660" w:right="120"/>
        <w:spacing w:after="0" w:line="237" w:lineRule="auto"/>
        <w:rPr>
          <w:sz w:val="20"/>
          <w:szCs w:val="20"/>
          <w:color w:val="auto"/>
        </w:rPr>
      </w:pPr>
      <w:r>
        <w:rPr>
          <w:rFonts w:ascii="Arial" w:cs="Arial" w:eastAsia="Arial" w:hAnsi="Arial"/>
          <w:sz w:val="18"/>
          <w:szCs w:val="18"/>
          <w:color w:val="auto"/>
        </w:rPr>
        <w:t>The Company does not disclose the value of remaining performance obligations for (i) contracts with an original contract term of one year or less, (ii) contracts for which the Company recognizes revenue at the amount to which it has 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 The Company has remaining performance obligations associated with contracts with terms greater than one year of $839. Remaining performance obligations range from an additional 1-5 years.</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 from contracts with Customers</w:t>
      </w:r>
    </w:p>
    <w:p>
      <w:pPr>
        <w:spacing w:after="0" w:line="122" w:lineRule="exact"/>
        <w:rPr>
          <w:sz w:val="20"/>
          <w:szCs w:val="20"/>
          <w:color w:val="auto"/>
        </w:rPr>
      </w:pPr>
    </w:p>
    <w:p>
      <w:pPr>
        <w:ind w:left="660" w:right="200"/>
        <w:spacing w:after="0" w:line="246" w:lineRule="auto"/>
        <w:rPr>
          <w:sz w:val="20"/>
          <w:szCs w:val="20"/>
          <w:color w:val="auto"/>
        </w:rPr>
      </w:pPr>
      <w:r>
        <w:rPr>
          <w:rFonts w:ascii="Arial" w:cs="Arial" w:eastAsia="Arial" w:hAnsi="Arial"/>
          <w:sz w:val="18"/>
          <w:szCs w:val="18"/>
          <w:color w:val="auto"/>
        </w:rPr>
        <w:t>The following table provides information above accounts receivable, unbilled receivable and deferred revenue from contracts with customers (in thousands):</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59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7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5940" w:type="dxa"/>
            <w:vAlign w:val="bottom"/>
            <w:tcBorders>
              <w:bottom w:val="single" w:sz="8" w:color="CCEEFF"/>
            </w:tcBorders>
          </w:tcPr>
          <w:p>
            <w:pPr>
              <w:spacing w:after="0"/>
              <w:rPr>
                <w:sz w:val="13"/>
                <w:szCs w:val="13"/>
                <w:color w:val="auto"/>
              </w:rPr>
            </w:pPr>
          </w:p>
        </w:tc>
        <w:tc>
          <w:tcPr>
            <w:tcW w:w="284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 net of allowances</w:t>
            </w:r>
          </w:p>
        </w:tc>
        <w:tc>
          <w:tcPr>
            <w:tcW w:w="28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7,161</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3,893</w:t>
            </w:r>
          </w:p>
        </w:tc>
        <w:tc>
          <w:tcPr>
            <w:tcW w:w="80" w:type="dxa"/>
            <w:vAlign w:val="bottom"/>
            <w:shd w:val="clear" w:color="auto" w:fill="CCEEFF"/>
          </w:tcPr>
          <w:p>
            <w:pPr>
              <w:spacing w:after="0"/>
              <w:rPr>
                <w:sz w:val="17"/>
                <w:szCs w:val="17"/>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Deferred revenue - current</w:t>
            </w:r>
          </w:p>
        </w:tc>
        <w:tc>
          <w:tcPr>
            <w:tcW w:w="37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407</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727</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 non-current</w:t>
            </w:r>
          </w:p>
        </w:tc>
        <w:tc>
          <w:tcPr>
            <w:tcW w:w="28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839</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
        </w:trPr>
        <w:tc>
          <w:tcPr>
            <w:tcW w:w="5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contract acquisition and fulfillment costs</w:t>
      </w:r>
    </w:p>
    <w:p>
      <w:pPr>
        <w:spacing w:after="0" w:line="122"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Some of the sales commissions earned by the Company’s sales force are considered incremental and recoverable costs of obtaining a contract with a customer. Sales commissions for new contracts are deferred and then amortized on a straight-line basis over a period of benefit that is estimated to be four years. The Company determined the period of benefit by taking into consideration its technology’s useful life and other factors. Sales commissions for renewal contracts are deferred and then amortized on a straight-line basis over the related contractual renewal period.</w:t>
      </w:r>
    </w:p>
    <w:p>
      <w:pPr>
        <w:spacing w:after="0" w:line="94" w:lineRule="exact"/>
        <w:rPr>
          <w:sz w:val="20"/>
          <w:szCs w:val="20"/>
          <w:color w:val="auto"/>
        </w:rPr>
      </w:pPr>
    </w:p>
    <w:p>
      <w:pPr>
        <w:ind w:left="660" w:right="360"/>
        <w:spacing w:after="0" w:line="246" w:lineRule="auto"/>
        <w:rPr>
          <w:sz w:val="20"/>
          <w:szCs w:val="20"/>
          <w:color w:val="auto"/>
        </w:rPr>
      </w:pPr>
      <w:r>
        <w:rPr>
          <w:rFonts w:ascii="Arial" w:cs="Arial" w:eastAsia="Arial" w:hAnsi="Arial"/>
          <w:sz w:val="18"/>
          <w:szCs w:val="18"/>
          <w:color w:val="auto"/>
        </w:rPr>
        <w:t>The Company applies the practical expedient to expense costs as incurred for sales commissions when the amortization period would have been one year or less.</w:t>
      </w:r>
    </w:p>
    <w:p>
      <w:pPr>
        <w:spacing w:after="0" w:line="89" w:lineRule="exact"/>
        <w:rPr>
          <w:sz w:val="20"/>
          <w:szCs w:val="20"/>
          <w:color w:val="auto"/>
        </w:rPr>
      </w:pPr>
    </w:p>
    <w:p>
      <w:pPr>
        <w:ind w:left="660" w:right="20"/>
        <w:spacing w:after="0" w:line="238" w:lineRule="auto"/>
        <w:rPr>
          <w:sz w:val="20"/>
          <w:szCs w:val="20"/>
          <w:color w:val="auto"/>
        </w:rPr>
      </w:pPr>
      <w:r>
        <w:rPr>
          <w:rFonts w:ascii="Arial" w:cs="Arial" w:eastAsia="Arial" w:hAnsi="Arial"/>
          <w:sz w:val="18"/>
          <w:szCs w:val="18"/>
          <w:color w:val="auto"/>
        </w:rPr>
        <w:t>In addition, the Company is required to provide integration services in order to be able to fulfil its obligation to provide their services. The integration performed by the Company is in substance a set-up activity rather than a distinct performance obligation that allows the use of the platform and do not provide separate value to the customer. The integration costs incurred by the Company are being accounted for as costs to fulfill a contract.</w:t>
      </w:r>
    </w:p>
    <w:p>
      <w:pPr>
        <w:spacing w:after="0" w:line="97"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The Company assesses on a periodic basis what part of the costs should be capitalized according to the employees’ time allocated to provide integration services.</w:t>
      </w:r>
    </w:p>
    <w:p>
      <w:pPr>
        <w:spacing w:after="0" w:line="89"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The asset recognized from capitalizing the costs to fulfill a contract is amortized on a systematic basis consistent with the pattern of the transfer of the goods or services to which the asset relates.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40"/>
        <w:spacing w:after="0" w:line="246" w:lineRule="auto"/>
        <w:rPr>
          <w:sz w:val="20"/>
          <w:szCs w:val="20"/>
          <w:color w:val="auto"/>
        </w:rPr>
      </w:pPr>
      <w:r>
        <w:rPr>
          <w:rFonts w:ascii="Arial" w:cs="Arial" w:eastAsia="Arial" w:hAnsi="Arial"/>
          <w:sz w:val="18"/>
          <w:szCs w:val="18"/>
          <w:color w:val="auto"/>
        </w:rPr>
        <w:t>The Company incurs the relevant integration costs only at the beginning of the contract or due to upsells. As such, the amortization period was determined to be four years.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recognized under ASC 605:</w:t>
      </w:r>
    </w:p>
    <w:p>
      <w:pPr>
        <w:spacing w:after="0" w:line="122" w:lineRule="exact"/>
        <w:rPr>
          <w:sz w:val="20"/>
          <w:szCs w:val="20"/>
          <w:color w:val="auto"/>
        </w:rPr>
      </w:pPr>
    </w:p>
    <w:p>
      <w:pPr>
        <w:ind w:left="660" w:right="60"/>
        <w:spacing w:after="0" w:line="238" w:lineRule="auto"/>
        <w:rPr>
          <w:sz w:val="20"/>
          <w:szCs w:val="20"/>
          <w:color w:val="auto"/>
        </w:rPr>
      </w:pPr>
      <w:r>
        <w:rPr>
          <w:rFonts w:ascii="Arial" w:cs="Arial" w:eastAsia="Arial" w:hAnsi="Arial"/>
          <w:sz w:val="18"/>
          <w:szCs w:val="18"/>
          <w:color w:val="auto"/>
        </w:rPr>
        <w:t>The Company’s main customers are health systems wishing to facilitate patients billing and collection process. The subscription fees are charged on a per month basis, additionally the company charges a fixed platform fee. Transaction fees are charged to the customer based on the success of collecting patient payments. These transactions fees are recognized in the period the transaction is complete. The company’s transaction processing expenses are recorded as part of cost of revenue.</w:t>
      </w:r>
    </w:p>
    <w:p>
      <w:pPr>
        <w:spacing w:after="0" w:line="2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Company commences revenue recognition when all of the following conditions are satisfied:</w:t>
      </w:r>
    </w:p>
    <w:p>
      <w:pPr>
        <w:spacing w:after="0" w:line="117" w:lineRule="exact"/>
        <w:rPr>
          <w:sz w:val="20"/>
          <w:szCs w:val="20"/>
          <w:color w:val="auto"/>
        </w:rPr>
      </w:pPr>
    </w:p>
    <w:p>
      <w:pPr>
        <w:ind w:left="1320" w:hanging="435"/>
        <w:spacing w:after="0"/>
        <w:tabs>
          <w:tab w:leader="none" w:pos="13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service has been or is being provided to the customer;</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collection of the fees is reasonably assured; and</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amount of fees to be paid by the customer is fixed or determinable.</w:t>
      </w:r>
    </w:p>
    <w:p>
      <w:pPr>
        <w:spacing w:after="0" w:line="104"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Amounts that have been invoiced are recorded in accounts receivable and in deferred revenue or revenue, depending on whether the revenue recognition criteria have been met.</w:t>
      </w:r>
    </w:p>
    <w:p>
      <w:pPr>
        <w:spacing w:after="0" w:line="89" w:lineRule="exact"/>
        <w:rPr>
          <w:sz w:val="20"/>
          <w:szCs w:val="20"/>
          <w:color w:val="auto"/>
        </w:rPr>
      </w:pPr>
    </w:p>
    <w:p>
      <w:pPr>
        <w:ind w:left="660" w:right="160"/>
        <w:spacing w:after="0" w:line="237" w:lineRule="auto"/>
        <w:rPr>
          <w:sz w:val="20"/>
          <w:szCs w:val="20"/>
          <w:color w:val="auto"/>
        </w:rPr>
      </w:pPr>
      <w:r>
        <w:rPr>
          <w:rFonts w:ascii="Arial" w:cs="Arial" w:eastAsia="Arial" w:hAnsi="Arial"/>
          <w:sz w:val="18"/>
          <w:szCs w:val="18"/>
          <w:color w:val="auto"/>
        </w:rPr>
        <w:t>The Company enters into arrangements with multiple deliverables (ASC 605-25) that generally include subscription fees and Professional Services (“PS”) fees. The Company concluded that the PS does not have a standalone value since the implementation process is necessary for the customer in order to access and utilize the service and since the Company has no substantive experience of either (1) selling the service to new customers without the associated PS or (2) other vendors providing similar services. Subscriptions are recognized ratably over the contracted term of delivery, and PS is recognized after completed, over the remaining life of the agreement, assuming that the other revenue recognition criteria have been met.</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majority of the costs billed to the Company by third parties, such as pass-through and printing cost, was reimbursed by the end user (health care providers). The company is not the primary obligor in providing these services, as such, revenue for these transactions is presented net of these costs in the consolidated statements of operations.</w:t>
      </w:r>
    </w:p>
    <w:p>
      <w:pPr>
        <w:spacing w:after="0" w:line="108" w:lineRule="exact"/>
        <w:rPr>
          <w:sz w:val="20"/>
          <w:szCs w:val="20"/>
          <w:color w:val="auto"/>
        </w:rPr>
      </w:pPr>
    </w:p>
    <w:p>
      <w:pPr>
        <w:ind w:left="660" w:hanging="544"/>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Research and development costs:</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Research and development costs are charged to expenses as incurred.</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Other long-term liabilities</w:t>
      </w:r>
    </w:p>
    <w:p>
      <w:pPr>
        <w:spacing w:after="0" w:line="103" w:lineRule="exact"/>
        <w:rPr>
          <w:rFonts w:ascii="Arial" w:cs="Arial" w:eastAsia="Arial" w:hAnsi="Arial"/>
          <w:sz w:val="18"/>
          <w:szCs w:val="18"/>
          <w:color w:val="auto"/>
        </w:rPr>
      </w:pPr>
    </w:p>
    <w:p>
      <w:pPr>
        <w:ind w:left="660" w:right="40"/>
        <w:spacing w:after="0" w:line="246" w:lineRule="auto"/>
        <w:rPr>
          <w:rFonts w:ascii="Arial" w:cs="Arial" w:eastAsia="Arial" w:hAnsi="Arial"/>
          <w:sz w:val="18"/>
          <w:szCs w:val="18"/>
          <w:color w:val="auto"/>
        </w:rPr>
      </w:pPr>
      <w:r>
        <w:rPr>
          <w:rFonts w:ascii="Arial" w:cs="Arial" w:eastAsia="Arial" w:hAnsi="Arial"/>
          <w:sz w:val="18"/>
          <w:szCs w:val="18"/>
          <w:color w:val="auto"/>
        </w:rPr>
        <w:t>The Company receives cash proceeds from customers to offset the deposits the Company makes to printing and postage vendors. These customer deposits are payable back to the customer upon termination of the customer agreement.</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Accounting for stock-based compensation:</w:t>
      </w:r>
    </w:p>
    <w:p>
      <w:pPr>
        <w:spacing w:after="0" w:line="103" w:lineRule="exact"/>
        <w:rPr>
          <w:rFonts w:ascii="Arial" w:cs="Arial" w:eastAsia="Arial" w:hAnsi="Arial"/>
          <w:sz w:val="18"/>
          <w:szCs w:val="18"/>
          <w:color w:val="auto"/>
        </w:rPr>
      </w:pPr>
    </w:p>
    <w:p>
      <w:pPr>
        <w:ind w:left="660" w:right="100"/>
        <w:spacing w:after="0"/>
        <w:rPr>
          <w:rFonts w:ascii="Arial" w:cs="Arial" w:eastAsia="Arial" w:hAnsi="Arial"/>
          <w:sz w:val="18"/>
          <w:szCs w:val="18"/>
          <w:color w:val="auto"/>
        </w:rPr>
      </w:pPr>
      <w:r>
        <w:rPr>
          <w:rFonts w:ascii="Arial" w:cs="Arial" w:eastAsia="Arial" w:hAnsi="Arial"/>
          <w:sz w:val="18"/>
          <w:szCs w:val="18"/>
          <w:color w:val="auto"/>
        </w:rPr>
        <w:t>The Company accounts for stock-based arrangements in accordance with ASC 718, “Compensation—Stock Compensation”. ASC 718 requires companies to estimate the fair value of equity-based payment awards on the date of grant using an option-pricing model. The fair-value of the portion of the award that is ultimately expected to vest is recognized as an expense over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100"/>
          </w:cols>
          <w:pgMar w:left="320" w:top="459" w:right="47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requisite service periods in the Company’s consolidated statement of operations and comprehensive loss.</w:t>
      </w:r>
    </w:p>
    <w:p>
      <w:pPr>
        <w:spacing w:after="0" w:line="104" w:lineRule="exact"/>
        <w:rPr>
          <w:sz w:val="20"/>
          <w:szCs w:val="20"/>
          <w:color w:val="auto"/>
        </w:rPr>
      </w:pPr>
    </w:p>
    <w:p>
      <w:pPr>
        <w:ind w:left="660" w:right="240"/>
        <w:spacing w:after="0" w:line="246" w:lineRule="auto"/>
        <w:rPr>
          <w:sz w:val="20"/>
          <w:szCs w:val="20"/>
          <w:color w:val="auto"/>
        </w:rPr>
      </w:pPr>
      <w:r>
        <w:rPr>
          <w:rFonts w:ascii="Arial" w:cs="Arial" w:eastAsia="Arial" w:hAnsi="Arial"/>
          <w:sz w:val="18"/>
          <w:szCs w:val="18"/>
          <w:color w:val="auto"/>
        </w:rPr>
        <w:t>The Company recognizes compensation expenses for the fair-value of its awards granted based on the straight-line method over the requisite service period of each of the awards.</w:t>
      </w:r>
    </w:p>
    <w:p>
      <w:pPr>
        <w:spacing w:after="0" w:line="89" w:lineRule="exact"/>
        <w:rPr>
          <w:sz w:val="20"/>
          <w:szCs w:val="20"/>
          <w:color w:val="auto"/>
        </w:rPr>
      </w:pPr>
    </w:p>
    <w:p>
      <w:pPr>
        <w:ind w:left="660" w:right="680"/>
        <w:spacing w:after="0" w:line="246" w:lineRule="auto"/>
        <w:rPr>
          <w:sz w:val="20"/>
          <w:szCs w:val="20"/>
          <w:color w:val="auto"/>
        </w:rPr>
      </w:pPr>
      <w:r>
        <w:rPr>
          <w:rFonts w:ascii="Arial" w:cs="Arial" w:eastAsia="Arial" w:hAnsi="Arial"/>
          <w:sz w:val="18"/>
          <w:szCs w:val="18"/>
          <w:color w:val="auto"/>
        </w:rPr>
        <w:t>The fair value of each option award is estimated on the date of grant using the Black-Scholes model that uses the weighted average assumptions noted in the following table:</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8280" w:type="dxa"/>
            <w:vAlign w:val="bottom"/>
          </w:tcPr>
          <w:p>
            <w:pPr>
              <w:spacing w:after="0"/>
              <w:rPr>
                <w:sz w:val="15"/>
                <w:szCs w:val="15"/>
                <w:color w:val="auto"/>
              </w:rPr>
            </w:pPr>
          </w:p>
        </w:tc>
        <w:tc>
          <w:tcPr>
            <w:tcW w:w="22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2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r>
      <w:tr>
        <w:trPr>
          <w:trHeight w:val="196"/>
        </w:trPr>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Volatility</w:t>
            </w:r>
          </w:p>
        </w:tc>
        <w:tc>
          <w:tcPr>
            <w:tcW w:w="1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61%</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1.4%-2.7%</w:t>
            </w:r>
          </w:p>
        </w:tc>
        <w:tc>
          <w:tcPr>
            <w:tcW w:w="12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rPr>
              <w:t>2.7%-3%</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r>
      <w:tr>
        <w:trPr>
          <w:trHeight w:val="217"/>
        </w:trPr>
        <w:tc>
          <w:tcPr>
            <w:tcW w:w="8280" w:type="dxa"/>
            <w:vAlign w:val="bottom"/>
          </w:tcPr>
          <w:p>
            <w:pPr>
              <w:spacing w:after="0"/>
              <w:rPr>
                <w:sz w:val="20"/>
                <w:szCs w:val="20"/>
                <w:color w:val="auto"/>
              </w:rPr>
            </w:pPr>
            <w:r>
              <w:rPr>
                <w:rFonts w:ascii="Arial" w:cs="Arial" w:eastAsia="Arial" w:hAnsi="Arial"/>
                <w:sz w:val="18"/>
                <w:szCs w:val="18"/>
                <w:color w:val="auto"/>
              </w:rPr>
              <w:t>Expected life (years)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6</w:t>
            </w:r>
          </w:p>
        </w:tc>
      </w:tr>
    </w:tbl>
    <w:p>
      <w:pPr>
        <w:spacing w:after="0" w:line="93" w:lineRule="exact"/>
        <w:rPr>
          <w:sz w:val="20"/>
          <w:szCs w:val="20"/>
          <w:color w:val="auto"/>
        </w:rPr>
      </w:pPr>
    </w:p>
    <w:p>
      <w:pPr>
        <w:ind w:left="660" w:right="160"/>
        <w:spacing w:after="0" w:line="238" w:lineRule="auto"/>
        <w:rPr>
          <w:sz w:val="20"/>
          <w:szCs w:val="20"/>
          <w:color w:val="auto"/>
        </w:rPr>
      </w:pPr>
      <w:r>
        <w:rPr>
          <w:rFonts w:ascii="Arial" w:cs="Arial" w:eastAsia="Arial" w:hAnsi="Arial"/>
          <w:sz w:val="18"/>
          <w:szCs w:val="18"/>
          <w:color w:val="auto"/>
        </w:rPr>
        <w:t>Expected volatility is based on the average volatility of similar public entities for which stock price information is available. The expected option term represents the period that the Company’s stock options are expected to be outstanding and was determined based on the average of the vesting period and the contractual term. The risk-free rate is based on observed interest rates appropriate for the term of the Company’s employee stock options. The dividend yield assumption is based on the Company’s historical and expectation of future dividend payouts and may be subject to change in the future.</w:t>
      </w:r>
    </w:p>
    <w:p>
      <w:pPr>
        <w:spacing w:after="0" w:line="108" w:lineRule="exact"/>
        <w:rPr>
          <w:sz w:val="20"/>
          <w:szCs w:val="20"/>
          <w:color w:val="auto"/>
        </w:rPr>
      </w:pPr>
    </w:p>
    <w:p>
      <w:pPr>
        <w:ind w:left="660" w:hanging="544"/>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03" w:lineRule="exact"/>
        <w:rPr>
          <w:rFonts w:ascii="Arial" w:cs="Arial" w:eastAsia="Arial" w:hAnsi="Arial"/>
          <w:sz w:val="18"/>
          <w:szCs w:val="18"/>
          <w:color w:val="auto"/>
        </w:rPr>
      </w:pPr>
    </w:p>
    <w:p>
      <w:pPr>
        <w:ind w:left="660" w:right="40"/>
        <w:spacing w:after="0" w:line="238" w:lineRule="auto"/>
        <w:rPr>
          <w:rFonts w:ascii="Arial" w:cs="Arial" w:eastAsia="Arial" w:hAnsi="Arial"/>
          <w:sz w:val="18"/>
          <w:szCs w:val="18"/>
          <w:color w:val="auto"/>
        </w:rPr>
      </w:pPr>
      <w:r>
        <w:rPr>
          <w:rFonts w:ascii="Arial" w:cs="Arial" w:eastAsia="Arial" w:hAnsi="Arial"/>
          <w:sz w:val="18"/>
          <w:szCs w:val="18"/>
          <w:color w:val="auto"/>
        </w:rPr>
        <w:t>The Company accounts for income taxes in accordance with ASC 740, “Income Taxes”, (“ACS 740”). This statement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Valuation allowance is recorded to reduce the deferred tax assets to the net amount that the Company believes is more likely than not to be realized.</w:t>
      </w:r>
    </w:p>
    <w:p>
      <w:pPr>
        <w:spacing w:after="0" w:line="94" w:lineRule="exact"/>
        <w:rPr>
          <w:rFonts w:ascii="Arial" w:cs="Arial" w:eastAsia="Arial" w:hAnsi="Arial"/>
          <w:sz w:val="18"/>
          <w:szCs w:val="18"/>
          <w:color w:val="auto"/>
        </w:rPr>
      </w:pPr>
    </w:p>
    <w:p>
      <w:pPr>
        <w:ind w:left="660" w:right="60"/>
        <w:spacing w:after="0" w:line="237" w:lineRule="auto"/>
        <w:rPr>
          <w:rFonts w:ascii="Arial" w:cs="Arial" w:eastAsia="Arial" w:hAnsi="Arial"/>
          <w:sz w:val="18"/>
          <w:szCs w:val="18"/>
          <w:color w:val="auto"/>
        </w:rPr>
      </w:pPr>
      <w:r>
        <w:rPr>
          <w:rFonts w:ascii="Arial" w:cs="Arial" w:eastAsia="Arial" w:hAnsi="Arial"/>
          <w:sz w:val="18"/>
          <w:szCs w:val="18"/>
          <w:color w:val="auto"/>
        </w:rPr>
        <w:t>The Company accounts for its uncertain tax positions using a two-step approach to determine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includes interest and penalties in the provision for income taxes.</w:t>
      </w:r>
    </w:p>
    <w:p>
      <w:pPr>
        <w:spacing w:after="0" w:line="110" w:lineRule="exact"/>
        <w:rPr>
          <w:rFonts w:ascii="Arial" w:cs="Arial" w:eastAsia="Arial" w:hAnsi="Arial"/>
          <w:sz w:val="18"/>
          <w:szCs w:val="18"/>
          <w:color w:val="auto"/>
        </w:rPr>
      </w:pPr>
    </w:p>
    <w:p>
      <w:pPr>
        <w:ind w:left="660" w:hanging="544"/>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Advertising Costs:</w:t>
      </w:r>
    </w:p>
    <w:p>
      <w:pPr>
        <w:spacing w:after="0" w:line="103" w:lineRule="exact"/>
        <w:rPr>
          <w:rFonts w:ascii="Arial" w:cs="Arial" w:eastAsia="Arial" w:hAnsi="Arial"/>
          <w:sz w:val="18"/>
          <w:szCs w:val="18"/>
          <w:color w:val="auto"/>
        </w:rPr>
      </w:pPr>
    </w:p>
    <w:p>
      <w:pPr>
        <w:ind w:left="660" w:right="220"/>
        <w:spacing w:after="0" w:line="246" w:lineRule="auto"/>
        <w:rPr>
          <w:rFonts w:ascii="Arial" w:cs="Arial" w:eastAsia="Arial" w:hAnsi="Arial"/>
          <w:sz w:val="18"/>
          <w:szCs w:val="18"/>
          <w:color w:val="auto"/>
        </w:rPr>
      </w:pPr>
      <w:r>
        <w:rPr>
          <w:rFonts w:ascii="Arial" w:cs="Arial" w:eastAsia="Arial" w:hAnsi="Arial"/>
          <w:sz w:val="18"/>
          <w:szCs w:val="18"/>
          <w:color w:val="auto"/>
        </w:rPr>
        <w:t>Advertising costs are expensed as incurred and are included in selling and marketing expenses in the consolidated statements of operations and comprehensive loss.</w:t>
      </w:r>
    </w:p>
    <w:p>
      <w:pPr>
        <w:spacing w:after="0" w:line="8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Advertising expenses were $762 and $601 for the years ended December 31, 2018 and 2019, respectively.</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103" w:lineRule="exact"/>
        <w:rPr>
          <w:rFonts w:ascii="Arial" w:cs="Arial" w:eastAsia="Arial" w:hAnsi="Arial"/>
          <w:sz w:val="18"/>
          <w:szCs w:val="18"/>
          <w:color w:val="auto"/>
        </w:rPr>
      </w:pPr>
    </w:p>
    <w:p>
      <w:pPr>
        <w:ind w:left="660" w:right="280"/>
        <w:spacing w:after="0" w:line="246" w:lineRule="auto"/>
        <w:rPr>
          <w:rFonts w:ascii="Arial" w:cs="Arial" w:eastAsia="Arial" w:hAnsi="Arial"/>
          <w:sz w:val="18"/>
          <w:szCs w:val="18"/>
          <w:color w:val="auto"/>
        </w:rPr>
      </w:pPr>
      <w:r>
        <w:rPr>
          <w:rFonts w:ascii="Arial" w:cs="Arial" w:eastAsia="Arial" w:hAnsi="Arial"/>
          <w:sz w:val="18"/>
          <w:szCs w:val="18"/>
          <w:color w:val="auto"/>
        </w:rPr>
        <w:t>All of the Israeli subsidiary’s employees are included under section 14 of the Severance Compensation Law, 1963 (“section 14”). Pursuant to section 14, employees are entitled only to</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140"/>
          </w:cols>
          <w:pgMar w:left="32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5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40"/>
        <w:spacing w:after="0" w:line="238" w:lineRule="auto"/>
        <w:rPr>
          <w:sz w:val="20"/>
          <w:szCs w:val="20"/>
          <w:color w:val="auto"/>
        </w:rPr>
      </w:pPr>
      <w:r>
        <w:rPr>
          <w:rFonts w:ascii="Arial" w:cs="Arial" w:eastAsia="Arial" w:hAnsi="Arial"/>
          <w:sz w:val="18"/>
          <w:szCs w:val="18"/>
          <w:color w:val="auto"/>
        </w:rPr>
        <w:t>monthly deposits, at a rate of 8.33% of their monthly salary, made in their name with insurance companies. Payments in accordance with section 14 release the Company from any future severance payments in respect of those employees. The severance pay liabilities and deposits covered under the Company’s severance pay plans are not reflected in the balance sheet as the severance pay risks have been irrevocably transferred to the severance funds.</w:t>
      </w:r>
    </w:p>
    <w:p>
      <w:pPr>
        <w:spacing w:after="0" w:line="110" w:lineRule="exact"/>
        <w:rPr>
          <w:sz w:val="20"/>
          <w:szCs w:val="20"/>
          <w:color w:val="auto"/>
        </w:rPr>
      </w:pPr>
    </w:p>
    <w:p>
      <w:pPr>
        <w:ind w:left="660" w:hanging="544"/>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Concentration of credit risks, Financial Instruments and Significant Customers:</w:t>
      </w:r>
    </w:p>
    <w:p>
      <w:pPr>
        <w:spacing w:after="0" w:line="103" w:lineRule="exact"/>
        <w:rPr>
          <w:rFonts w:ascii="Arial" w:cs="Arial" w:eastAsia="Arial" w:hAnsi="Arial"/>
          <w:sz w:val="18"/>
          <w:szCs w:val="18"/>
          <w:color w:val="auto"/>
        </w:rPr>
      </w:pPr>
    </w:p>
    <w:p>
      <w:pPr>
        <w:ind w:left="660" w:right="280"/>
        <w:spacing w:after="0" w:line="237" w:lineRule="auto"/>
        <w:rPr>
          <w:rFonts w:ascii="Arial" w:cs="Arial" w:eastAsia="Arial" w:hAnsi="Arial"/>
          <w:sz w:val="18"/>
          <w:szCs w:val="18"/>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short-term deposits. The Company maintains its cash and cash equivalents with financial institutions that management believes are of high credit quality. To manage credit risk related to accounts receivable, the Company evaluations credit worthiness of its customers and maintains allowances, to the extent necessary, for potential credit losses based upon the aging of its accounts receivable balances and known collection issues. The Company has not experienced any significant credit losses to date.</w:t>
      </w:r>
    </w:p>
    <w:p>
      <w:pPr>
        <w:spacing w:after="0" w:line="96" w:lineRule="exact"/>
        <w:rPr>
          <w:rFonts w:ascii="Arial" w:cs="Arial" w:eastAsia="Arial" w:hAnsi="Arial"/>
          <w:sz w:val="18"/>
          <w:szCs w:val="18"/>
          <w:color w:val="auto"/>
        </w:rPr>
      </w:pPr>
    </w:p>
    <w:p>
      <w:pPr>
        <w:ind w:left="660" w:right="20"/>
        <w:spacing w:after="0"/>
        <w:rPr>
          <w:rFonts w:ascii="Arial" w:cs="Arial" w:eastAsia="Arial" w:hAnsi="Arial"/>
          <w:sz w:val="18"/>
          <w:szCs w:val="18"/>
          <w:color w:val="auto"/>
        </w:rPr>
      </w:pPr>
      <w:r>
        <w:rPr>
          <w:rFonts w:ascii="Arial" w:cs="Arial" w:eastAsia="Arial" w:hAnsi="Arial"/>
          <w:sz w:val="18"/>
          <w:szCs w:val="18"/>
          <w:color w:val="auto"/>
        </w:rPr>
        <w:t>From time to time, the Company may have corporate deposit balances with financial services institutions which exceed the Federal Deposit Insurance Corporation (“FDIC”) insurance limit of $250,000. As part of the cash management process, the Company performs periodic reviews of the financial institution credit standing.</w:t>
      </w:r>
    </w:p>
    <w:p>
      <w:pPr>
        <w:spacing w:after="0" w:line="94" w:lineRule="exact"/>
        <w:rPr>
          <w:rFonts w:ascii="Arial" w:cs="Arial" w:eastAsia="Arial" w:hAnsi="Arial"/>
          <w:sz w:val="18"/>
          <w:szCs w:val="18"/>
          <w:color w:val="auto"/>
        </w:rPr>
      </w:pPr>
    </w:p>
    <w:p>
      <w:pPr>
        <w:ind w:left="660" w:right="140"/>
        <w:spacing w:after="0" w:line="246" w:lineRule="auto"/>
        <w:rPr>
          <w:rFonts w:ascii="Arial" w:cs="Arial" w:eastAsia="Arial" w:hAnsi="Arial"/>
          <w:sz w:val="18"/>
          <w:szCs w:val="18"/>
          <w:color w:val="auto"/>
        </w:rPr>
      </w:pPr>
      <w:r>
        <w:rPr>
          <w:rFonts w:ascii="Arial" w:cs="Arial" w:eastAsia="Arial" w:hAnsi="Arial"/>
          <w:sz w:val="18"/>
          <w:szCs w:val="18"/>
          <w:color w:val="auto"/>
        </w:rPr>
        <w:t>The Company had no off-balance sheet concentration of credit risk, such as foreign exchange contracts, option contracts or other foreign hedging agreements.</w:t>
      </w:r>
    </w:p>
    <w:p>
      <w:pPr>
        <w:spacing w:after="0" w:line="88"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18"/>
          <w:szCs w:val="18"/>
          <w:color w:val="auto"/>
        </w:rPr>
        <w:t>Accounts receivable are derived from revenue earned from customers located in the U.S. As of December 31, 2018 there are three customers that account for more than 10% of net accounts receivable and aggregated to 36.7% of net accounts receivable, and as of December 31, 2019, there is one customer that accounted for 21.5% of net accounts receivable.</w:t>
      </w:r>
    </w:p>
    <w:p>
      <w:pPr>
        <w:spacing w:after="0" w:line="94" w:lineRule="exact"/>
        <w:rPr>
          <w:rFonts w:ascii="Arial" w:cs="Arial" w:eastAsia="Arial" w:hAnsi="Arial"/>
          <w:sz w:val="18"/>
          <w:szCs w:val="18"/>
          <w:color w:val="auto"/>
        </w:rPr>
      </w:pPr>
    </w:p>
    <w:p>
      <w:pPr>
        <w:ind w:left="660" w:right="80"/>
        <w:spacing w:after="0" w:line="246" w:lineRule="auto"/>
        <w:rPr>
          <w:rFonts w:ascii="Arial" w:cs="Arial" w:eastAsia="Arial" w:hAnsi="Arial"/>
          <w:sz w:val="18"/>
          <w:szCs w:val="18"/>
          <w:color w:val="auto"/>
        </w:rPr>
      </w:pPr>
      <w:r>
        <w:rPr>
          <w:rFonts w:ascii="Arial" w:cs="Arial" w:eastAsia="Arial" w:hAnsi="Arial"/>
          <w:sz w:val="18"/>
          <w:szCs w:val="18"/>
          <w:color w:val="auto"/>
        </w:rPr>
        <w:t>During the year ended December 31, 2018 there are two customers that account for 24.4% of revenue, and during the year ended December 31, 2019 there are no customers that account for 10% or more of revenue.</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103" w:lineRule="exact"/>
        <w:rPr>
          <w:rFonts w:ascii="Arial" w:cs="Arial" w:eastAsia="Arial" w:hAnsi="Arial"/>
          <w:sz w:val="18"/>
          <w:szCs w:val="18"/>
          <w:color w:val="auto"/>
        </w:rPr>
      </w:pPr>
    </w:p>
    <w:p>
      <w:pPr>
        <w:ind w:left="660" w:right="60"/>
        <w:spacing w:after="0" w:line="237" w:lineRule="auto"/>
        <w:rPr>
          <w:rFonts w:ascii="Arial" w:cs="Arial" w:eastAsia="Arial" w:hAnsi="Arial"/>
          <w:sz w:val="18"/>
          <w:szCs w:val="18"/>
          <w:color w:val="auto"/>
        </w:rPr>
      </w:pPr>
      <w:r>
        <w:rPr>
          <w:rFonts w:ascii="Arial" w:cs="Arial" w:eastAsia="Arial" w:hAnsi="Arial"/>
          <w:sz w:val="18"/>
          <w:szCs w:val="18"/>
          <w:color w:val="auto"/>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9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03" w:lineRule="exact"/>
        <w:rPr>
          <w:rFonts w:ascii="Arial" w:cs="Arial" w:eastAsia="Arial" w:hAnsi="Arial"/>
          <w:sz w:val="18"/>
          <w:szCs w:val="18"/>
          <w:color w:val="auto"/>
        </w:rPr>
      </w:pPr>
    </w:p>
    <w:p>
      <w:pPr>
        <w:ind w:left="660" w:right="100"/>
        <w:spacing w:after="0"/>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94" w:lineRule="exact"/>
        <w:rPr>
          <w:rFonts w:ascii="Arial" w:cs="Arial" w:eastAsia="Arial" w:hAnsi="Arial"/>
          <w:sz w:val="18"/>
          <w:szCs w:val="18"/>
          <w:color w:val="auto"/>
        </w:rPr>
      </w:pPr>
    </w:p>
    <w:p>
      <w:pPr>
        <w:ind w:left="660" w:right="100"/>
        <w:spacing w:after="0" w:line="246" w:lineRule="auto"/>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080"/>
          </w:cols>
          <w:pgMar w:left="320" w:top="459" w:right="49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The carrying amounts of the Company’s long-term debt approximates the fair value as it bears interest at a rate approximating a market interest rate (Level 2 inputs). The Company’s cash equivalents are carried at fair value (Level 1) as determined according to the fair value hierarchy described above. The carrying values of cash equivalents, accounts receivable, accounts payables, and accrued payroll and related benefits and accrued expenses and other payables approximate their respective fair values due to the short-term nature of these assets and liabilities. The Company’s warrants to purchase convertible preferred stock are carried at fair value, determined using Level 3 inputs in the fair value hierarchy.</w:t>
      </w:r>
    </w:p>
    <w:p>
      <w:pPr>
        <w:spacing w:after="0" w:line="110" w:lineRule="exact"/>
        <w:rPr>
          <w:sz w:val="20"/>
          <w:szCs w:val="20"/>
          <w:color w:val="auto"/>
        </w:rPr>
      </w:pPr>
    </w:p>
    <w:p>
      <w:pPr>
        <w:ind w:left="660" w:hanging="544"/>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Software Developed for Internal Use</w:t>
      </w:r>
    </w:p>
    <w:p>
      <w:pPr>
        <w:spacing w:after="0" w:line="103" w:lineRule="exact"/>
        <w:rPr>
          <w:rFonts w:ascii="Arial" w:cs="Arial" w:eastAsia="Arial" w:hAnsi="Arial"/>
          <w:sz w:val="18"/>
          <w:szCs w:val="18"/>
          <w:color w:val="auto"/>
        </w:rPr>
      </w:pPr>
    </w:p>
    <w:p>
      <w:pPr>
        <w:ind w:left="660"/>
        <w:spacing w:after="0" w:line="236" w:lineRule="auto"/>
        <w:rPr>
          <w:rFonts w:ascii="Arial" w:cs="Arial" w:eastAsia="Arial" w:hAnsi="Arial"/>
          <w:sz w:val="18"/>
          <w:szCs w:val="18"/>
          <w:color w:val="auto"/>
        </w:rPr>
      </w:pPr>
      <w:r>
        <w:rPr>
          <w:rFonts w:ascii="Arial" w:cs="Arial" w:eastAsia="Arial" w:hAnsi="Arial"/>
          <w:sz w:val="18"/>
          <w:szCs w:val="18"/>
          <w:color w:val="auto"/>
        </w:rPr>
        <w:t>The Company capitalizes costs related to internal-use software during the application development stage including consulting costs and compensation expenses related to employees who devote time to the development of the projects. The Company records software development costs in property and equipment. Costs incurred in the preliminary stages of development activities and post implementation activities are expensed in the period incurred and they are included in technology and development expense in the consolidated statements of operations and comprehensive loss. The Company also capitalizes costs related to specific upgrades and enhancements when it is probable the expenditures will result in additional functionality. Once the product is available for general use, capitalization ceases and the asset begins being amortized. Software developed for internal use is amortized over its estimated useful life, which ranges between three and five years, in a manner that best depicts the pattern of economic use of assets which approximates straight-line.</w:t>
      </w:r>
    </w:p>
    <w:p>
      <w:pPr>
        <w:spacing w:after="0" w:line="98" w:lineRule="exact"/>
        <w:rPr>
          <w:rFonts w:ascii="Arial" w:cs="Arial" w:eastAsia="Arial" w:hAnsi="Arial"/>
          <w:sz w:val="18"/>
          <w:szCs w:val="18"/>
          <w:color w:val="auto"/>
        </w:rPr>
      </w:pPr>
    </w:p>
    <w:p>
      <w:pPr>
        <w:ind w:left="660" w:right="40"/>
        <w:spacing w:after="0" w:line="246" w:lineRule="auto"/>
        <w:rPr>
          <w:rFonts w:ascii="Arial" w:cs="Arial" w:eastAsia="Arial" w:hAnsi="Arial"/>
          <w:sz w:val="18"/>
          <w:szCs w:val="18"/>
          <w:color w:val="auto"/>
        </w:rPr>
      </w:pPr>
      <w:r>
        <w:rPr>
          <w:rFonts w:ascii="Arial" w:cs="Arial" w:eastAsia="Arial" w:hAnsi="Arial"/>
          <w:sz w:val="18"/>
          <w:szCs w:val="18"/>
          <w:color w:val="auto"/>
        </w:rPr>
        <w:t>Due to immateriality the Company did not capitalize any cost related to internal use software during the years ended December 31, 2019 and 2018.</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Warrants to purchase Convertible Preferred Stock:</w:t>
      </w:r>
    </w:p>
    <w:p>
      <w:pPr>
        <w:spacing w:after="0" w:line="103" w:lineRule="exact"/>
        <w:rPr>
          <w:rFonts w:ascii="Arial" w:cs="Arial" w:eastAsia="Arial" w:hAnsi="Arial"/>
          <w:sz w:val="18"/>
          <w:szCs w:val="18"/>
          <w:color w:val="auto"/>
        </w:rPr>
      </w:pPr>
    </w:p>
    <w:p>
      <w:pPr>
        <w:ind w:left="660"/>
        <w:spacing w:after="0" w:line="236" w:lineRule="auto"/>
        <w:rPr>
          <w:rFonts w:ascii="Arial" w:cs="Arial" w:eastAsia="Arial" w:hAnsi="Arial"/>
          <w:sz w:val="18"/>
          <w:szCs w:val="18"/>
          <w:color w:val="auto"/>
        </w:rPr>
      </w:pPr>
      <w:r>
        <w:rPr>
          <w:rFonts w:ascii="Arial" w:cs="Arial" w:eastAsia="Arial" w:hAnsi="Arial"/>
          <w:sz w:val="18"/>
          <w:szCs w:val="18"/>
          <w:color w:val="auto"/>
        </w:rPr>
        <w:t>The warrants to purchase convertible preferred stock provide for net share settlement under which the maximum number of shares that could be issued represents the total amount of shares under the warrant agreements. These warrants are classified as liabilities and are marked to market each reporting period based on changes in the warrants’ fair value calculating using the Black-Scholes model. Inputs used in the fair value calculation include exercise price, risk-free interest rate, expected dividend yield, remaining contractual term and expected volatility. The Company determines the fair value per share of the underlying convertible preferred stock by taking into consideration the most recent sales of its convertible preferred stock, results obtained from third-party valuations and additional factors that the Company deems relevant. The Company is a private company and lacks company-specific historical and implied volatility information of its stock. Therefore, it estimates its expected stock volatility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w:t>
      </w:r>
    </w:p>
    <w:p>
      <w:pPr>
        <w:spacing w:after="0" w:line="96" w:lineRule="exact"/>
        <w:rPr>
          <w:rFonts w:ascii="Arial" w:cs="Arial" w:eastAsia="Arial" w:hAnsi="Arial"/>
          <w:sz w:val="18"/>
          <w:szCs w:val="18"/>
          <w:color w:val="auto"/>
        </w:rPr>
      </w:pPr>
    </w:p>
    <w:p>
      <w:pPr>
        <w:ind w:left="660" w:right="280"/>
        <w:spacing w:after="0" w:line="246" w:lineRule="auto"/>
        <w:rPr>
          <w:rFonts w:ascii="Arial" w:cs="Arial" w:eastAsia="Arial" w:hAnsi="Arial"/>
          <w:sz w:val="18"/>
          <w:szCs w:val="18"/>
          <w:color w:val="auto"/>
        </w:rPr>
      </w:pPr>
      <w:r>
        <w:rPr>
          <w:rFonts w:ascii="Arial" w:cs="Arial" w:eastAsia="Arial" w:hAnsi="Arial"/>
          <w:sz w:val="18"/>
          <w:szCs w:val="18"/>
          <w:color w:val="auto"/>
        </w:rPr>
        <w:t>Changes in fair value of the warrants are recognized as a component of other income (expense), net on the on the consolidated statements of operations and comprehensive loss.</w:t>
      </w:r>
    </w:p>
    <w:p>
      <w:pPr>
        <w:spacing w:after="0" w:line="88" w:lineRule="exact"/>
        <w:rPr>
          <w:rFonts w:ascii="Arial" w:cs="Arial" w:eastAsia="Arial" w:hAnsi="Arial"/>
          <w:sz w:val="18"/>
          <w:szCs w:val="18"/>
          <w:color w:val="auto"/>
        </w:rPr>
      </w:pPr>
    </w:p>
    <w:p>
      <w:pPr>
        <w:ind w:left="660" w:right="900"/>
        <w:spacing w:after="0" w:line="246" w:lineRule="auto"/>
        <w:rPr>
          <w:rFonts w:ascii="Arial" w:cs="Arial" w:eastAsia="Arial" w:hAnsi="Arial"/>
          <w:sz w:val="18"/>
          <w:szCs w:val="18"/>
          <w:color w:val="auto"/>
        </w:rPr>
      </w:pPr>
      <w:r>
        <w:rPr>
          <w:rFonts w:ascii="Arial" w:cs="Arial" w:eastAsia="Arial" w:hAnsi="Arial"/>
          <w:sz w:val="18"/>
          <w:szCs w:val="18"/>
          <w:color w:val="auto"/>
        </w:rPr>
        <w:t>The company issued 356,009 and 95,174 warrants to purchase Series C Convertible Preferred Stock in 2019 and 2018, respectively (see also Note 9).</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100"/>
          </w:cols>
          <w:pgMar w:left="320" w:top="459" w:right="4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1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hanging="544"/>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Funds receivable and funds payable:</w:t>
      </w:r>
    </w:p>
    <w:p>
      <w:pPr>
        <w:spacing w:after="0" w:line="103" w:lineRule="exact"/>
        <w:rPr>
          <w:rFonts w:ascii="Arial" w:cs="Arial" w:eastAsia="Arial" w:hAnsi="Arial"/>
          <w:sz w:val="18"/>
          <w:szCs w:val="18"/>
          <w:color w:val="auto"/>
        </w:rPr>
      </w:pPr>
    </w:p>
    <w:p>
      <w:pPr>
        <w:ind w:left="660" w:right="760"/>
        <w:spacing w:after="0" w:line="246" w:lineRule="auto"/>
        <w:rPr>
          <w:rFonts w:ascii="Arial" w:cs="Arial" w:eastAsia="Arial" w:hAnsi="Arial"/>
          <w:sz w:val="18"/>
          <w:szCs w:val="18"/>
          <w:color w:val="auto"/>
        </w:rPr>
      </w:pPr>
      <w:r>
        <w:rPr>
          <w:rFonts w:ascii="Arial" w:cs="Arial" w:eastAsia="Arial" w:hAnsi="Arial"/>
          <w:sz w:val="18"/>
          <w:szCs w:val="18"/>
          <w:color w:val="auto"/>
        </w:rPr>
        <w:t>Funds receivable and payable arise due to the time taken to clear transactions through external payment networks. Funds receivable and payable are treated as a receivable or payable, as the case may be, until the cash is settled.</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Recently adopted accounting pronouncements</w:t>
      </w:r>
    </w:p>
    <w:p>
      <w:pPr>
        <w:spacing w:after="0" w:line="117" w:lineRule="exact"/>
        <w:rPr>
          <w:rFonts w:ascii="Arial" w:cs="Arial" w:eastAsia="Arial" w:hAnsi="Arial"/>
          <w:sz w:val="18"/>
          <w:szCs w:val="18"/>
          <w:color w:val="auto"/>
        </w:rPr>
      </w:pPr>
    </w:p>
    <w:p>
      <w:pPr>
        <w:ind w:left="1300" w:hanging="644"/>
        <w:spacing w:after="0" w:line="236" w:lineRule="auto"/>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 August 2016, the FASB issued Accounting Standards Update (“ASU”) No. 2016-15, “Classification of Certain Cash Receipts and Cash Payments,” which addresses eight classification issues related to the statement of cash flows. In November 2016, the FASB issued ASU 2016-18, “Statement of Cash Flows: Restricted Cash,” which addresses classification and presentation of changes in restricted cash on the statement of cash flows. The standard requires that restricted cash and restricted cash equivalents be included as components of total cash and cash equivalents as presented on the statement of cash flows. The Company adopted ASU 2016-15 and ASU 2016-18 on January 1, 2019 using a retrospective transition method and applied to the period presented on the consolidated statement of cash flows. Restricted cash includes cash and cash equivalents that is restricted through legal contracts, regulations or the Company’s intention to use the cash for a specific purpose. The Company’s restricted cash primarily relates to refundable deposits.</w:t>
      </w:r>
    </w:p>
    <w:p>
      <w:pPr>
        <w:spacing w:after="0" w:line="112" w:lineRule="exact"/>
        <w:rPr>
          <w:rFonts w:ascii="Arial" w:cs="Arial" w:eastAsia="Arial" w:hAnsi="Arial"/>
          <w:sz w:val="18"/>
          <w:szCs w:val="18"/>
          <w:color w:val="auto"/>
        </w:rPr>
      </w:pPr>
    </w:p>
    <w:p>
      <w:pPr>
        <w:ind w:left="1300" w:right="140" w:hanging="644"/>
        <w:spacing w:after="0" w:line="237" w:lineRule="auto"/>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 June 2018, the FASB issued Accounting Standards Update (“ASU”) ASU 2018-07, Stock Compensation (Topic 718): Improvements to Nonemployee Share-Based Payment Accounting, which simplifies the accounting for share-based payments granted to nonemployees for goods and services and aligns most of the guidance on such payments to nonemployees with the requirements for share-based payments granted to employees. ASU 2018-07 is effective on January 1, 2019. Early adoption is permitted. The Company adopted this ASU on January 1, 2019 with no material impact on the Company’s consolidated financial statements.</w:t>
      </w:r>
    </w:p>
    <w:p>
      <w:pPr>
        <w:spacing w:after="0" w:line="110" w:lineRule="exact"/>
        <w:rPr>
          <w:rFonts w:ascii="Arial" w:cs="Arial" w:eastAsia="Arial" w:hAnsi="Arial"/>
          <w:sz w:val="18"/>
          <w:szCs w:val="18"/>
          <w:color w:val="auto"/>
        </w:rPr>
      </w:pPr>
    </w:p>
    <w:p>
      <w:pPr>
        <w:ind w:left="1300" w:right="20" w:hanging="644"/>
        <w:spacing w:after="0" w:line="236" w:lineRule="auto"/>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 November 2019, the FASB issued ASU No. 2019-08, “Compensation—Stock Compensation (Topic 718) and Revenue from Contract with Customers (Topic 606): Codification Improvements Share-Based Consideration Payable to a Customer.” These amendments expand the scope of Topic 718, Compensation—Stock Compensation to include share-based payments issued to customers in conjunction with selling goods or services. Consequently, the accounting for share-based payments to customers will be measured and classified according to Topic 718. The guidance is effective for fiscal years beginning after December 15, 2019, and interim periods within fiscal years beginning after December 15, 2020, and early adoption is permitted. The Company adopted this update as of January 1, 2019 with no material impact on its consolidated financial statements.</w:t>
      </w:r>
    </w:p>
    <w:p>
      <w:pPr>
        <w:spacing w:after="0" w:line="113" w:lineRule="exact"/>
        <w:rPr>
          <w:rFonts w:ascii="Arial" w:cs="Arial" w:eastAsia="Arial" w:hAnsi="Arial"/>
          <w:sz w:val="18"/>
          <w:szCs w:val="18"/>
          <w:color w:val="auto"/>
        </w:rPr>
      </w:pPr>
    </w:p>
    <w:p>
      <w:pPr>
        <w:ind w:left="1300" w:hanging="644"/>
        <w:spacing w:after="0"/>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Adoption of ASC 606, “Revenue from Contracts with Customers”:</w:t>
      </w:r>
    </w:p>
    <w:p>
      <w:pPr>
        <w:spacing w:after="0" w:line="104" w:lineRule="exact"/>
        <w:rPr>
          <w:sz w:val="20"/>
          <w:szCs w:val="20"/>
          <w:color w:val="auto"/>
        </w:rPr>
      </w:pPr>
    </w:p>
    <w:p>
      <w:pPr>
        <w:ind w:left="1320" w:right="780"/>
        <w:spacing w:after="0" w:line="246" w:lineRule="auto"/>
        <w:rPr>
          <w:sz w:val="20"/>
          <w:szCs w:val="20"/>
          <w:color w:val="auto"/>
        </w:rPr>
      </w:pPr>
      <w:r>
        <w:rPr>
          <w:rFonts w:ascii="Arial" w:cs="Arial" w:eastAsia="Arial" w:hAnsi="Arial"/>
          <w:sz w:val="18"/>
          <w:szCs w:val="18"/>
          <w:color w:val="auto"/>
        </w:rPr>
        <w:t>In May 2014, the FASB issued ASU 2014-09 guidance on revenue from contracts with customers (Topic 606) that supersedes the existing revenue recognition guidance and clarifies the principles for recognizing revenue.</w:t>
      </w:r>
    </w:p>
    <w:p>
      <w:pPr>
        <w:spacing w:after="0" w:line="89" w:lineRule="exact"/>
        <w:rPr>
          <w:sz w:val="20"/>
          <w:szCs w:val="20"/>
          <w:color w:val="auto"/>
        </w:rPr>
      </w:pPr>
    </w:p>
    <w:p>
      <w:pPr>
        <w:jc w:val="both"/>
        <w:ind w:left="1320" w:right="380"/>
        <w:spacing w:after="0"/>
        <w:rPr>
          <w:sz w:val="20"/>
          <w:szCs w:val="20"/>
          <w:color w:val="auto"/>
        </w:rPr>
      </w:pPr>
      <w:r>
        <w:rPr>
          <w:rFonts w:ascii="Arial" w:cs="Arial" w:eastAsia="Arial" w:hAnsi="Arial"/>
          <w:sz w:val="18"/>
          <w:szCs w:val="18"/>
          <w:color w:val="auto"/>
        </w:rPr>
        <w:t>The Company adopted this standard on January 1, 2019 using the modified retrospective method of adoption to those contracts which were not completed as of January 1, 2019. This means that the cumulative impact of the adoption was recognized in accumulated deficit as of January 1, 2019 and that comparatives were not restated.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320" w:right="40"/>
        <w:spacing w:after="0" w:line="236" w:lineRule="auto"/>
        <w:rPr>
          <w:sz w:val="20"/>
          <w:szCs w:val="20"/>
          <w:color w:val="auto"/>
        </w:rPr>
      </w:pPr>
      <w:r>
        <w:rPr>
          <w:rFonts w:ascii="Arial" w:cs="Arial" w:eastAsia="Arial" w:hAnsi="Arial"/>
          <w:sz w:val="18"/>
          <w:szCs w:val="18"/>
          <w:color w:val="auto"/>
        </w:rPr>
        <w:t>The most significant impact of the standard on the Company’s financial statements is the accounting for costs to obtain a contract and costs to fulfill a contract. Additionally, printing and postage revenue and cost of revenue that was previously recorded as net revenue under ASC 605, are now recorded as gross revenue and gross cost of revenue. The printing services are part of the performance obligation that comprises a series. In order for an element of a contract to be considered for separate treatment under the gross vs. net guidance of ASC 606, it would need to be considered a separate performance obligation (i.e. specified good). As Simplee is the principal in the series performance obligation to the customer, and the printing services are part of the series, the cost of printing and postage is considered a fulfillment cost of the obligation and recorded gross. These fees are direct costs of the Company in providing payment processing services. Since the Company controls the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97" w:lineRule="exact"/>
        <w:rPr>
          <w:sz w:val="20"/>
          <w:szCs w:val="20"/>
          <w:color w:val="auto"/>
        </w:rPr>
      </w:pPr>
    </w:p>
    <w:p>
      <w:pPr>
        <w:ind w:left="1320" w:right="220"/>
        <w:spacing w:after="0" w:line="237" w:lineRule="auto"/>
        <w:rPr>
          <w:sz w:val="20"/>
          <w:szCs w:val="20"/>
          <w:color w:val="auto"/>
        </w:rPr>
      </w:pPr>
      <w:r>
        <w:rPr>
          <w:rFonts w:ascii="Arial" w:cs="Arial" w:eastAsia="Arial" w:hAnsi="Arial"/>
          <w:sz w:val="18"/>
          <w:szCs w:val="18"/>
          <w:color w:val="auto"/>
        </w:rPr>
        <w:t>According to ASC 606, incremental costs of obtaining a contract are those costs that the entity would not have incurred if the contract had not been obtained (for example, sales commissions). Incremental costs of obtaining a contract with a customer are recognized as assets if they are recoverable. Expensing these costs as they are incurred is not permitted unless they qualify for the practical expedient that permits an entity to expense the costs to obtain a contract as incurred when the expected amortization period is one year or less. The Company chose to apply the practical expedient when applicable.</w:t>
      </w:r>
    </w:p>
    <w:p>
      <w:pPr>
        <w:spacing w:after="0" w:line="97" w:lineRule="exact"/>
        <w:rPr>
          <w:sz w:val="20"/>
          <w:szCs w:val="20"/>
          <w:color w:val="auto"/>
        </w:rPr>
      </w:pPr>
    </w:p>
    <w:p>
      <w:pPr>
        <w:ind w:left="1320" w:right="240"/>
        <w:spacing w:after="0" w:line="238" w:lineRule="auto"/>
        <w:rPr>
          <w:sz w:val="20"/>
          <w:szCs w:val="20"/>
          <w:color w:val="auto"/>
        </w:rPr>
      </w:pPr>
      <w:r>
        <w:rPr>
          <w:rFonts w:ascii="Arial" w:cs="Arial" w:eastAsia="Arial" w:hAnsi="Arial"/>
          <w:sz w:val="18"/>
          <w:szCs w:val="18"/>
          <w:color w:val="auto"/>
        </w:rPr>
        <w:t>The guidance in the revenue standard for costs to fulfill a contract only applies to those costs not addressed by other standards. Costs that are required to be expensed in accordance with other standards cannot be recognized as an asset under the revenue standard. Fulfillment costs not addressed by other standards qualify for capitalization if the following criteria are met:</w:t>
      </w:r>
    </w:p>
    <w:p>
      <w:pPr>
        <w:spacing w:after="0" w:line="110" w:lineRule="exact"/>
        <w:rPr>
          <w:sz w:val="20"/>
          <w:szCs w:val="20"/>
          <w:color w:val="auto"/>
        </w:rPr>
      </w:pPr>
    </w:p>
    <w:p>
      <w:pPr>
        <w:ind w:left="1860" w:hanging="543"/>
        <w:spacing w:after="0"/>
        <w:tabs>
          <w:tab w:leader="none" w:pos="18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costs relate directly to a contract or an anticipated contract that the entity can specifically identify.</w:t>
      </w:r>
    </w:p>
    <w:p>
      <w:pPr>
        <w:spacing w:after="0" w:line="117" w:lineRule="exact"/>
        <w:rPr>
          <w:rFonts w:ascii="Arial" w:cs="Arial" w:eastAsia="Arial" w:hAnsi="Arial"/>
          <w:sz w:val="18"/>
          <w:szCs w:val="18"/>
          <w:color w:val="auto"/>
        </w:rPr>
      </w:pPr>
    </w:p>
    <w:p>
      <w:pPr>
        <w:ind w:left="1860" w:right="680" w:hanging="543"/>
        <w:spacing w:after="0" w:line="246" w:lineRule="auto"/>
        <w:tabs>
          <w:tab w:leader="none" w:pos="18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costs generate or enhance resources of the entity that will be used in satisfying (or continuing to satisfy) performance obligations in the future.</w:t>
      </w:r>
    </w:p>
    <w:p>
      <w:pPr>
        <w:spacing w:after="0" w:line="102" w:lineRule="exact"/>
        <w:rPr>
          <w:rFonts w:ascii="Arial" w:cs="Arial" w:eastAsia="Arial" w:hAnsi="Arial"/>
          <w:sz w:val="18"/>
          <w:szCs w:val="18"/>
          <w:color w:val="auto"/>
        </w:rPr>
      </w:pPr>
    </w:p>
    <w:p>
      <w:pPr>
        <w:ind w:left="1860" w:hanging="543"/>
        <w:spacing w:after="0"/>
        <w:tabs>
          <w:tab w:leader="none" w:pos="18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costs are expected to be recovered.</w:t>
      </w:r>
    </w:p>
    <w:p>
      <w:pPr>
        <w:spacing w:after="0" w:line="212" w:lineRule="exact"/>
        <w:rPr>
          <w:sz w:val="20"/>
          <w:szCs w:val="20"/>
          <w:color w:val="auto"/>
        </w:rPr>
      </w:pPr>
    </w:p>
    <w:p>
      <w:pPr>
        <w:ind w:left="1320" w:right="180"/>
        <w:spacing w:after="0" w:line="246" w:lineRule="auto"/>
        <w:rPr>
          <w:sz w:val="20"/>
          <w:szCs w:val="20"/>
          <w:color w:val="auto"/>
        </w:rPr>
      </w:pPr>
      <w:r>
        <w:rPr>
          <w:rFonts w:ascii="Arial" w:cs="Arial" w:eastAsia="Arial" w:hAnsi="Arial"/>
          <w:sz w:val="18"/>
          <w:szCs w:val="18"/>
          <w:color w:val="auto"/>
        </w:rPr>
        <w:t>The cumulative effect of the changes made to the January 1, 2019 consolidated balance sheet as a result of the adoption of ASC 606 were as follows:</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Balance at</w:t>
            </w: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December 31,</w:t>
            </w:r>
          </w:p>
        </w:tc>
        <w:tc>
          <w:tcPr>
            <w:tcW w:w="18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Adjustments due</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January 1,</w:t>
            </w:r>
          </w:p>
        </w:tc>
      </w:tr>
      <w:tr>
        <w:trPr>
          <w:trHeight w:val="175"/>
        </w:trPr>
        <w:tc>
          <w:tcPr>
            <w:tcW w:w="3940" w:type="dxa"/>
            <w:vAlign w:val="bottom"/>
          </w:tcPr>
          <w:p>
            <w:pPr>
              <w:spacing w:after="0"/>
              <w:rPr>
                <w:sz w:val="15"/>
                <w:szCs w:val="15"/>
                <w:color w:val="auto"/>
              </w:rPr>
            </w:pPr>
          </w:p>
        </w:tc>
        <w:tc>
          <w:tcPr>
            <w:tcW w:w="2340" w:type="dxa"/>
            <w:vAlign w:val="bottom"/>
            <w:gridSpan w:val="2"/>
          </w:tcPr>
          <w:p>
            <w:pPr>
              <w:jc w:val="center"/>
              <w:ind w:left="1336"/>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5"/>
                <w:szCs w:val="15"/>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to Topic 606</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Deferred contract acquisition and fulfillment costs</w:t>
            </w:r>
          </w:p>
        </w:tc>
        <w:tc>
          <w:tcPr>
            <w:tcW w:w="1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6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Deferred revenues</w:t>
            </w:r>
          </w:p>
        </w:tc>
        <w:tc>
          <w:tcPr>
            <w:tcW w:w="304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(727)</w:t>
            </w:r>
          </w:p>
        </w:tc>
        <w:tc>
          <w:tcPr>
            <w:tcW w:w="18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(155)</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(882)</w:t>
            </w:r>
          </w:p>
        </w:tc>
      </w:tr>
      <w:tr>
        <w:trPr>
          <w:trHeight w:val="20"/>
        </w:trPr>
        <w:tc>
          <w:tcPr>
            <w:tcW w:w="3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deficit</w:t>
            </w:r>
          </w:p>
        </w:tc>
        <w:tc>
          <w:tcPr>
            <w:tcW w:w="1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(38,425)</w:t>
            </w:r>
          </w:p>
        </w:tc>
        <w:tc>
          <w:tcPr>
            <w:tcW w:w="186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99</w:t>
            </w:r>
          </w:p>
        </w:tc>
        <w:tc>
          <w:tcPr>
            <w:tcW w:w="8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(38,326)</w:t>
            </w:r>
          </w:p>
        </w:tc>
      </w:tr>
      <w:tr>
        <w:trPr>
          <w:trHeight w:val="20"/>
        </w:trPr>
        <w:tc>
          <w:tcPr>
            <w:tcW w:w="3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3040" w:type="dxa"/>
            <w:vAlign w:val="bottom"/>
            <w:gridSpan w:val="3"/>
          </w:tcPr>
          <w:p>
            <w:pPr>
              <w:jc w:val="right"/>
              <w:ind w:right="2560"/>
              <w:spacing w:after="0"/>
              <w:rPr>
                <w:sz w:val="20"/>
                <w:szCs w:val="20"/>
                <w:color w:val="auto"/>
              </w:rPr>
            </w:pPr>
            <w:r>
              <w:rPr>
                <w:rFonts w:ascii="Arial" w:cs="Arial" w:eastAsia="Arial" w:hAnsi="Arial"/>
                <w:sz w:val="18"/>
                <w:szCs w:val="18"/>
                <w:color w:val="auto"/>
                <w:w w:val="97"/>
              </w:rPr>
              <w:t>F-102</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320" w:right="240"/>
        <w:spacing w:after="0" w:line="246" w:lineRule="auto"/>
        <w:rPr>
          <w:sz w:val="20"/>
          <w:szCs w:val="20"/>
          <w:color w:val="auto"/>
        </w:rPr>
      </w:pPr>
      <w:r>
        <w:rPr>
          <w:rFonts w:ascii="Arial" w:cs="Arial" w:eastAsia="Arial" w:hAnsi="Arial"/>
          <w:sz w:val="18"/>
          <w:szCs w:val="18"/>
          <w:color w:val="auto"/>
        </w:rPr>
        <w:t>In accordance with the new revenue standard requirements, the disclosure of the impact of adoption on the consolidated statement of operation and balance sheet for the year ended December 31, 2019 was as follows:</w:t>
      </w:r>
    </w:p>
    <w:p>
      <w:pPr>
        <w:spacing w:after="0" w:line="89"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Income statement:</w:t>
      </w:r>
    </w:p>
    <w:p>
      <w:pPr>
        <w:spacing w:after="0" w:line="226"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rPr>
              <w:t>Fiscal Year 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0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rPr>
              <w:t>Fiscal Year Ended</w:t>
            </w:r>
          </w:p>
        </w:tc>
        <w:tc>
          <w:tcPr>
            <w:tcW w:w="204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December 31, 2019</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rPr>
              <w:t>Before Adoption</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0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rPr>
              <w:t>2019 as Reported</w:t>
            </w:r>
          </w:p>
        </w:tc>
        <w:tc>
          <w:tcPr>
            <w:tcW w:w="20" w:type="dxa"/>
            <w:vAlign w:val="bottom"/>
          </w:tcPr>
          <w:p>
            <w:pPr>
              <w:spacing w:after="0"/>
              <w:rPr>
                <w:sz w:val="14"/>
                <w:szCs w:val="14"/>
                <w:color w:val="auto"/>
              </w:rPr>
            </w:pPr>
          </w:p>
        </w:tc>
        <w:tc>
          <w:tcPr>
            <w:tcW w:w="20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rPr>
              <w:t>of Topic 606</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Effect of</w:t>
            </w:r>
          </w:p>
        </w:tc>
      </w:tr>
      <w:tr>
        <w:trPr>
          <w:trHeight w:val="175"/>
        </w:trPr>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rPr>
              <w:t>(ASC 606)</w:t>
            </w:r>
          </w:p>
        </w:tc>
        <w:tc>
          <w:tcPr>
            <w:tcW w:w="20" w:type="dxa"/>
            <w:vAlign w:val="bottom"/>
          </w:tcPr>
          <w:p>
            <w:pPr>
              <w:spacing w:after="0"/>
              <w:rPr>
                <w:sz w:val="15"/>
                <w:szCs w:val="15"/>
                <w:color w:val="auto"/>
              </w:rPr>
            </w:pPr>
          </w:p>
        </w:tc>
        <w:tc>
          <w:tcPr>
            <w:tcW w:w="20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rPr>
              <w:t>(ASC 605)</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r>
      <w:tr>
        <w:trPr>
          <w:trHeight w:val="196"/>
        </w:trPr>
        <w:tc>
          <w:tcPr>
            <w:tcW w:w="120" w:type="dxa"/>
            <w:vAlign w:val="bottom"/>
          </w:tcPr>
          <w:p>
            <w:pPr>
              <w:spacing w:after="0"/>
              <w:rPr>
                <w:sz w:val="17"/>
                <w:szCs w:val="17"/>
                <w:color w:val="auto"/>
              </w:rPr>
            </w:pPr>
          </w:p>
        </w:tc>
        <w:tc>
          <w:tcPr>
            <w:tcW w:w="49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(26,229)</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(17,931)</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(8,298)</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940" w:type="dxa"/>
            <w:vAlign w:val="bottom"/>
            <w:gridSpan w:val="2"/>
          </w:tcPr>
          <w:p>
            <w:pPr>
              <w:spacing w:after="0" w:line="202" w:lineRule="exact"/>
              <w:rPr>
                <w:sz w:val="20"/>
                <w:szCs w:val="20"/>
                <w:color w:val="auto"/>
              </w:rPr>
            </w:pPr>
            <w:r>
              <w:rPr>
                <w:rFonts w:ascii="Arial" w:cs="Arial" w:eastAsia="Arial" w:hAnsi="Arial"/>
                <w:sz w:val="18"/>
                <w:szCs w:val="18"/>
                <w:color w:val="auto"/>
              </w:rPr>
              <w:t>Cost of revenue</w:t>
            </w:r>
          </w:p>
        </w:tc>
        <w:tc>
          <w:tcPr>
            <w:tcW w:w="12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11,489</w:t>
            </w:r>
          </w:p>
        </w:tc>
        <w:tc>
          <w:tcPr>
            <w:tcW w:w="740" w:type="dxa"/>
            <w:vAlign w:val="bottom"/>
          </w:tcPr>
          <w:p>
            <w:pPr>
              <w:spacing w:after="0"/>
              <w:rPr>
                <w:sz w:val="17"/>
                <w:szCs w:val="17"/>
                <w:color w:val="auto"/>
              </w:rPr>
            </w:pPr>
          </w:p>
        </w:tc>
        <w:tc>
          <w:tcPr>
            <w:tcW w:w="13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3,303</w:t>
            </w:r>
          </w:p>
        </w:tc>
        <w:tc>
          <w:tcPr>
            <w:tcW w:w="72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8,186</w:t>
            </w:r>
          </w:p>
        </w:tc>
      </w:tr>
      <w:tr>
        <w:trPr>
          <w:trHeight w:val="203"/>
        </w:trPr>
        <w:tc>
          <w:tcPr>
            <w:tcW w:w="120" w:type="dxa"/>
            <w:vAlign w:val="bottom"/>
          </w:tcPr>
          <w:p>
            <w:pPr>
              <w:spacing w:after="0"/>
              <w:rPr>
                <w:sz w:val="17"/>
                <w:szCs w:val="17"/>
                <w:color w:val="auto"/>
              </w:rPr>
            </w:pPr>
          </w:p>
        </w:tc>
        <w:tc>
          <w:tcPr>
            <w:tcW w:w="4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12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4,993</w:t>
            </w:r>
          </w:p>
        </w:tc>
        <w:tc>
          <w:tcPr>
            <w:tcW w:w="74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5,185</w:t>
            </w:r>
          </w:p>
        </w:tc>
        <w:tc>
          <w:tcPr>
            <w:tcW w:w="7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(192)</w:t>
            </w:r>
          </w:p>
        </w:tc>
      </w:tr>
      <w:tr>
        <w:trPr>
          <w:trHeight w:val="392"/>
        </w:trPr>
        <w:tc>
          <w:tcPr>
            <w:tcW w:w="5060" w:type="dxa"/>
            <w:vAlign w:val="bottom"/>
            <w:gridSpan w:val="3"/>
          </w:tcPr>
          <w:p>
            <w:pPr>
              <w:spacing w:after="0"/>
              <w:rPr>
                <w:sz w:val="20"/>
                <w:szCs w:val="20"/>
                <w:color w:val="auto"/>
              </w:rPr>
            </w:pPr>
            <w:r>
              <w:rPr>
                <w:rFonts w:ascii="Arial" w:cs="Arial" w:eastAsia="Arial" w:hAnsi="Arial"/>
                <w:sz w:val="18"/>
                <w:szCs w:val="18"/>
                <w:color w:val="auto"/>
              </w:rPr>
              <w:t>Balance sheet</w:t>
            </w: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9"/>
        </w:trPr>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Balance at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Balance at</w:t>
            </w:r>
          </w:p>
        </w:tc>
        <w:tc>
          <w:tcPr>
            <w:tcW w:w="20" w:type="dxa"/>
            <w:vAlign w:val="bottom"/>
          </w:tcPr>
          <w:p>
            <w:pPr>
              <w:spacing w:after="0"/>
              <w:rPr>
                <w:sz w:val="14"/>
                <w:szCs w:val="14"/>
                <w:color w:val="auto"/>
              </w:rPr>
            </w:pPr>
          </w:p>
        </w:tc>
        <w:tc>
          <w:tcPr>
            <w:tcW w:w="20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December 31, 2019</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Before Adoption</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2019 as Reported</w:t>
            </w:r>
          </w:p>
        </w:tc>
        <w:tc>
          <w:tcPr>
            <w:tcW w:w="20" w:type="dxa"/>
            <w:vAlign w:val="bottom"/>
          </w:tcPr>
          <w:p>
            <w:pPr>
              <w:spacing w:after="0"/>
              <w:rPr>
                <w:sz w:val="14"/>
                <w:szCs w:val="14"/>
                <w:color w:val="auto"/>
              </w:rPr>
            </w:pPr>
          </w:p>
        </w:tc>
        <w:tc>
          <w:tcPr>
            <w:tcW w:w="20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of Topic 606</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Effect of</w:t>
            </w:r>
          </w:p>
        </w:tc>
      </w:tr>
      <w:tr>
        <w:trPr>
          <w:trHeight w:val="175"/>
        </w:trPr>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(ASC 606)</w:t>
            </w:r>
          </w:p>
        </w:tc>
        <w:tc>
          <w:tcPr>
            <w:tcW w:w="20" w:type="dxa"/>
            <w:vAlign w:val="bottom"/>
          </w:tcPr>
          <w:p>
            <w:pPr>
              <w:spacing w:after="0"/>
              <w:rPr>
                <w:sz w:val="15"/>
                <w:szCs w:val="15"/>
                <w:color w:val="auto"/>
              </w:rPr>
            </w:pPr>
          </w:p>
        </w:tc>
        <w:tc>
          <w:tcPr>
            <w:tcW w:w="20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(ASC 605)</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r>
      <w:tr>
        <w:trPr>
          <w:trHeight w:val="196"/>
        </w:trPr>
        <w:tc>
          <w:tcPr>
            <w:tcW w:w="120" w:type="dxa"/>
            <w:vAlign w:val="bottom"/>
          </w:tcPr>
          <w:p>
            <w:pPr>
              <w:spacing w:after="0"/>
              <w:rPr>
                <w:sz w:val="17"/>
                <w:szCs w:val="17"/>
                <w:color w:val="auto"/>
              </w:rPr>
            </w:pPr>
          </w:p>
        </w:tc>
        <w:tc>
          <w:tcPr>
            <w:tcW w:w="49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contract acquisition and fulfillment cost</w:t>
            </w:r>
          </w:p>
        </w:tc>
        <w:tc>
          <w:tcPr>
            <w:tcW w:w="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922</w:t>
            </w:r>
          </w:p>
        </w:tc>
        <w:tc>
          <w:tcPr>
            <w:tcW w:w="7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940" w:type="dxa"/>
            <w:vAlign w:val="bottom"/>
            <w:gridSpan w:val="2"/>
          </w:tcPr>
          <w:p>
            <w:pPr>
              <w:spacing w:after="0" w:line="202" w:lineRule="exact"/>
              <w:rPr>
                <w:sz w:val="20"/>
                <w:szCs w:val="20"/>
                <w:color w:val="auto"/>
              </w:rPr>
            </w:pPr>
            <w:r>
              <w:rPr>
                <w:rFonts w:ascii="Arial" w:cs="Arial" w:eastAsia="Arial" w:hAnsi="Arial"/>
                <w:sz w:val="18"/>
                <w:szCs w:val="18"/>
                <w:color w:val="auto"/>
              </w:rPr>
              <w:t>Deferred revenue</w:t>
            </w:r>
          </w:p>
        </w:tc>
        <w:tc>
          <w:tcPr>
            <w:tcW w:w="2000" w:type="dxa"/>
            <w:vAlign w:val="bottom"/>
            <w:gridSpan w:val="4"/>
          </w:tcPr>
          <w:p>
            <w:pPr>
              <w:jc w:val="right"/>
              <w:ind w:right="680"/>
              <w:spacing w:after="0" w:line="202" w:lineRule="exact"/>
              <w:rPr>
                <w:sz w:val="20"/>
                <w:szCs w:val="20"/>
                <w:color w:val="auto"/>
              </w:rPr>
            </w:pPr>
            <w:r>
              <w:rPr>
                <w:rFonts w:ascii="Arial" w:cs="Arial" w:eastAsia="Arial" w:hAnsi="Arial"/>
                <w:sz w:val="18"/>
                <w:szCs w:val="18"/>
                <w:color w:val="auto"/>
              </w:rPr>
              <w:t>(1,246)</w:t>
            </w:r>
          </w:p>
        </w:tc>
        <w:tc>
          <w:tcPr>
            <w:tcW w:w="2040" w:type="dxa"/>
            <w:vAlign w:val="bottom"/>
            <w:gridSpan w:val="4"/>
          </w:tcPr>
          <w:p>
            <w:pPr>
              <w:jc w:val="right"/>
              <w:ind w:right="680"/>
              <w:spacing w:after="0" w:line="202" w:lineRule="exact"/>
              <w:rPr>
                <w:sz w:val="20"/>
                <w:szCs w:val="20"/>
                <w:color w:val="auto"/>
              </w:rPr>
            </w:pPr>
            <w:r>
              <w:rPr>
                <w:rFonts w:ascii="Arial" w:cs="Arial" w:eastAsia="Arial" w:hAnsi="Arial"/>
                <w:sz w:val="18"/>
                <w:szCs w:val="18"/>
                <w:color w:val="auto"/>
              </w:rPr>
              <w:t>(727)</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(519)</w:t>
            </w:r>
          </w:p>
        </w:tc>
      </w:tr>
      <w:tr>
        <w:trPr>
          <w:trHeight w:val="20"/>
        </w:trPr>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4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Accumulated deficit</w:t>
            </w:r>
          </w:p>
        </w:tc>
        <w:tc>
          <w:tcPr>
            <w:tcW w:w="2000" w:type="dxa"/>
            <w:vAlign w:val="bottom"/>
            <w:gridSpan w:val="4"/>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(40,515)</w:t>
            </w:r>
          </w:p>
        </w:tc>
        <w:tc>
          <w:tcPr>
            <w:tcW w:w="2040" w:type="dxa"/>
            <w:vAlign w:val="bottom"/>
            <w:gridSpan w:val="4"/>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(40,112)</w:t>
            </w:r>
          </w:p>
        </w:tc>
        <w:tc>
          <w:tcPr>
            <w:tcW w:w="7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403</w:t>
            </w:r>
          </w:p>
        </w:tc>
      </w:tr>
      <w:tr>
        <w:trPr>
          <w:trHeight w:val="20"/>
        </w:trPr>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20" w:right="100"/>
        <w:spacing w:after="0" w:line="246" w:lineRule="auto"/>
        <w:rPr>
          <w:sz w:val="20"/>
          <w:szCs w:val="20"/>
          <w:color w:val="auto"/>
        </w:rPr>
      </w:pPr>
      <w:r>
        <w:rPr>
          <w:rFonts w:ascii="Arial" w:cs="Arial" w:eastAsia="Arial" w:hAnsi="Arial"/>
          <w:sz w:val="18"/>
          <w:szCs w:val="18"/>
          <w:color w:val="auto"/>
        </w:rPr>
        <w:t>The adoption of ASC 606 had no impact on cash provided by or used in operating, investing, and financing activities in the Company’s consolidated statement of cash flows.</w:t>
      </w:r>
    </w:p>
    <w:p>
      <w:pPr>
        <w:spacing w:after="0" w:line="102" w:lineRule="exact"/>
        <w:rPr>
          <w:sz w:val="20"/>
          <w:szCs w:val="20"/>
          <w:color w:val="auto"/>
        </w:rPr>
      </w:pPr>
    </w:p>
    <w:p>
      <w:pPr>
        <w:ind w:left="660" w:hanging="544"/>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Recently issued accounting pronouncements, not yet adopted:</w:t>
      </w:r>
    </w:p>
    <w:p>
      <w:pPr>
        <w:spacing w:after="0" w:line="117" w:lineRule="exact"/>
        <w:rPr>
          <w:sz w:val="20"/>
          <w:szCs w:val="20"/>
          <w:color w:val="auto"/>
        </w:rPr>
      </w:pPr>
    </w:p>
    <w:p>
      <w:pPr>
        <w:ind w:left="1300" w:right="20" w:hanging="644"/>
        <w:spacing w:after="0" w:line="236" w:lineRule="auto"/>
        <w:tabs>
          <w:tab w:leader="none" w:pos="1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February 2016, the FASB issued ASU 2016-02 (Topic 842), “Leases” related to how an entity should recognize lease assets and lease liabilities. Topic 842 supersedes the lease requirements in Accounting Standards Codification (ASC) Topic 840, “Leases”. Under Topic 842, The guidance specifies that an entity that is a lessee under lease agreements should recognize lease assets and lease liabilities on the balance sheet for most leases. Accounting for leases by lessors is largely unchanged under the new guidance. In September 2017, FASB issued additional amendments providing clarification and implementation guidance. In January 2018, the FASB issued an update that permits an entity to elect an optional transition practical expedient to not evaluate land easements that existed or expired before the entity’s adoption of the new standard and that were not previously accounted for as leases.</w:t>
      </w:r>
    </w:p>
    <w:p>
      <w:pPr>
        <w:spacing w:after="0" w:line="100" w:lineRule="exact"/>
        <w:rPr>
          <w:sz w:val="20"/>
          <w:szCs w:val="20"/>
          <w:color w:val="auto"/>
        </w:rPr>
      </w:pPr>
    </w:p>
    <w:p>
      <w:pPr>
        <w:ind w:left="1320" w:right="180"/>
        <w:spacing w:after="0" w:line="238" w:lineRule="auto"/>
        <w:rPr>
          <w:sz w:val="20"/>
          <w:szCs w:val="20"/>
          <w:color w:val="auto"/>
        </w:rPr>
      </w:pPr>
      <w:r>
        <w:rPr>
          <w:rFonts w:ascii="Arial" w:cs="Arial" w:eastAsia="Arial" w:hAnsi="Arial"/>
          <w:sz w:val="18"/>
          <w:szCs w:val="18"/>
          <w:color w:val="auto"/>
        </w:rPr>
        <w:t>The provisions of ASU 2016-02 are to be applied using a modified retrospective approach. In July 2018, the FASB issued an update, which provides entities with an additional (and optional) transition method to adopt the new leases standard. Under this method, an entity initially applies the new leases standard at the adoption date and recognizes a cumulative effect adjustment to the opening balance of retained earnings in the period of adoption. Consequently, the prior comparative period’s financials will remain the same as those previously presented.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320" w:right="60"/>
        <w:spacing w:after="0" w:line="238" w:lineRule="auto"/>
        <w:rPr>
          <w:sz w:val="20"/>
          <w:szCs w:val="20"/>
          <w:color w:val="auto"/>
        </w:rPr>
      </w:pPr>
      <w:r>
        <w:rPr>
          <w:rFonts w:ascii="Arial" w:cs="Arial" w:eastAsia="Arial" w:hAnsi="Arial"/>
          <w:sz w:val="18"/>
          <w:szCs w:val="18"/>
          <w:color w:val="auto"/>
        </w:rPr>
        <w:t>In June 2020, the FASB issued ASU 2020-05, “Revenue with contracts with contracts with customers and leases” which defer the effective date of the adoption in one year for non-public entities that have not yet issued their financial statements (i.e. annual reporting periods beginning after December 15, 2021, including interim reporting periods beginning after December 15, 2022).</w:t>
      </w:r>
    </w:p>
    <w:p>
      <w:pPr>
        <w:spacing w:after="0" w:line="97" w:lineRule="exact"/>
        <w:rPr>
          <w:sz w:val="20"/>
          <w:szCs w:val="20"/>
          <w:color w:val="auto"/>
        </w:rPr>
      </w:pPr>
    </w:p>
    <w:p>
      <w:pPr>
        <w:ind w:left="1320" w:right="320"/>
        <w:spacing w:after="0"/>
        <w:rPr>
          <w:sz w:val="20"/>
          <w:szCs w:val="20"/>
          <w:color w:val="auto"/>
        </w:rPr>
      </w:pPr>
      <w:r>
        <w:rPr>
          <w:rFonts w:ascii="Arial" w:cs="Arial" w:eastAsia="Arial" w:hAnsi="Arial"/>
          <w:sz w:val="18"/>
          <w:szCs w:val="18"/>
          <w:color w:val="auto"/>
        </w:rPr>
        <w:t>The new standard becomes effective for the Company for the annual period beginning after December 15, 2021, and interim periods within fiscal years beginning after December 15, 2022. The provisions of ASU 2016-02 are to be applied using a modified retrospective approach.</w:t>
      </w:r>
    </w:p>
    <w:p>
      <w:pPr>
        <w:spacing w:after="0" w:line="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Company is currently evaluating the impact of adopting this new guidance on its financial statements.</w:t>
      </w:r>
    </w:p>
    <w:p>
      <w:pPr>
        <w:spacing w:after="0" w:line="117" w:lineRule="exact"/>
        <w:rPr>
          <w:sz w:val="20"/>
          <w:szCs w:val="20"/>
          <w:color w:val="auto"/>
        </w:rPr>
      </w:pPr>
    </w:p>
    <w:p>
      <w:pPr>
        <w:ind w:left="1300" w:right="100" w:hanging="644"/>
        <w:spacing w:after="0" w:line="237" w:lineRule="auto"/>
        <w:tabs>
          <w:tab w:leader="none" w:pos="13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June 2016, the FASB issued ASU No. 2016-13 (Topic 326), “Financial Instruments—Credit Losses: Measurement of Credit Losses on Financial Instruments”, which replaces the existing incurred loss impairment model with an expected credit loss model and requires a financial asset measured at amortized cost to be presented at the net amount expected to be collected. The guidance will be effective for the Company beginning January 1, 2023, and interim periods therein. Early adoption is permitted. The Company is currently evaluating the effect that ASU 2016-13 will have on its consolidated financial statements and related disclosures.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ACCOUNTS RECEIVABLE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accounts receivable, net, as of December 31, 2019 and 2020 is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7"/>
          </w:tcPr>
          <w:p>
            <w:pPr>
              <w:jc w:val="center"/>
              <w:ind w:left="39"/>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7"/>
          </w:tcPr>
          <w:p>
            <w:pPr>
              <w:jc w:val="center"/>
              <w:ind w:left="3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800" w:type="dxa"/>
            <w:vAlign w:val="bottom"/>
            <w:tcBorders>
              <w:bottom w:val="single" w:sz="8" w:color="CCEEFF"/>
            </w:tcBorders>
          </w:tcPr>
          <w:p>
            <w:pPr>
              <w:spacing w:after="0"/>
              <w:rPr>
                <w:sz w:val="13"/>
                <w:szCs w:val="13"/>
                <w:color w:val="auto"/>
              </w:rPr>
            </w:pPr>
          </w:p>
        </w:tc>
        <w:tc>
          <w:tcPr>
            <w:tcW w:w="15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01"/>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7,216</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3,893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4"/>
          </w:tcPr>
          <w:p>
            <w:pPr>
              <w:jc w:val="right"/>
              <w:ind w:right="130"/>
              <w:spacing w:after="0" w:line="202"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accounts receivable, net</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7,161</w:t>
            </w:r>
          </w:p>
        </w:tc>
        <w:tc>
          <w:tcPr>
            <w:tcW w:w="50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Changes in the allowance for doubtful accounts were as follows (in thousands):</w:t>
            </w: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6"/>
          </w:tcPr>
          <w:p>
            <w:pPr>
              <w:jc w:val="center"/>
              <w:ind w:left="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7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Allowance for doubtful accounts at the beginning of the year</w:t>
            </w:r>
          </w:p>
        </w:tc>
        <w:tc>
          <w:tcPr>
            <w:tcW w:w="1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vMerge w:val="continue"/>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vMerge w:val="continue"/>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w w:val="93"/>
              </w:rPr>
              <w:t>(55)</w:t>
            </w:r>
          </w:p>
        </w:tc>
        <w:tc>
          <w:tcPr>
            <w:tcW w:w="220" w:type="dxa"/>
            <w:vAlign w:val="bottom"/>
          </w:tcPr>
          <w:p>
            <w:pPr>
              <w:spacing w:after="0"/>
              <w:rPr>
                <w:sz w:val="17"/>
                <w:szCs w:val="17"/>
                <w:color w:val="auto"/>
              </w:rPr>
            </w:pPr>
          </w:p>
        </w:tc>
        <w:tc>
          <w:tcPr>
            <w:tcW w:w="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Write-offs, net of recoveries</w:t>
            </w: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tcPr>
          <w:p>
            <w:pPr>
              <w:spacing w:after="0"/>
              <w:rPr>
                <w:sz w:val="20"/>
                <w:szCs w:val="20"/>
                <w:color w:val="auto"/>
              </w:rPr>
            </w:pPr>
            <w:r>
              <w:rPr>
                <w:rFonts w:ascii="Arial" w:cs="Arial" w:eastAsia="Arial" w:hAnsi="Arial"/>
                <w:sz w:val="18"/>
                <w:szCs w:val="18"/>
                <w:color w:val="auto"/>
              </w:rPr>
              <w:t>Allowance for doubtful accounts at the end of the year</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500" w:type="dxa"/>
            <w:vAlign w:val="bottom"/>
            <w:gridSpan w:val="3"/>
          </w:tcPr>
          <w:p>
            <w:pPr>
              <w:jc w:val="right"/>
              <w:ind w:right="90"/>
              <w:spacing w:after="0"/>
              <w:rPr>
                <w:sz w:val="20"/>
                <w:szCs w:val="20"/>
                <w:color w:val="auto"/>
              </w:rPr>
            </w:pPr>
            <w:r>
              <w:rPr>
                <w:rFonts w:ascii="Arial" w:cs="Arial" w:eastAsia="Arial" w:hAnsi="Arial"/>
                <w:sz w:val="18"/>
                <w:szCs w:val="18"/>
                <w:color w:val="auto"/>
                <w:w w:val="93"/>
              </w:rPr>
              <w:t>(55)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ind w:left="5260"/>
              <w:spacing w:after="0"/>
              <w:rPr>
                <w:sz w:val="20"/>
                <w:szCs w:val="20"/>
                <w:color w:val="auto"/>
              </w:rPr>
            </w:pPr>
            <w:r>
              <w:rPr>
                <w:rFonts w:ascii="Arial" w:cs="Arial" w:eastAsia="Arial" w:hAnsi="Arial"/>
                <w:sz w:val="18"/>
                <w:szCs w:val="18"/>
                <w:color w:val="auto"/>
              </w:rPr>
              <w:t>F-104</w:t>
            </w: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PREPAID EXPENSES AND OTHER CURRENT ASSETS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prepaid expenses and other current assets, as of December 31, 2019 and 2020 were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66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6"/>
        </w:trPr>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Prepaid expenses and others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487</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759</w:t>
            </w:r>
          </w:p>
        </w:tc>
        <w:tc>
          <w:tcPr>
            <w:tcW w:w="60" w:type="dxa"/>
            <w:vAlign w:val="bottom"/>
            <w:shd w:val="clear" w:color="auto" w:fill="CCEEFF"/>
          </w:tcPr>
          <w:p>
            <w:pPr>
              <w:spacing w:after="0"/>
              <w:rPr>
                <w:sz w:val="17"/>
                <w:szCs w:val="17"/>
                <w:color w:val="auto"/>
              </w:rPr>
            </w:pPr>
          </w:p>
        </w:tc>
      </w:tr>
      <w:tr>
        <w:trPr>
          <w:trHeight w:val="210"/>
        </w:trPr>
        <w:tc>
          <w:tcPr>
            <w:tcW w:w="9660" w:type="dxa"/>
            <w:vAlign w:val="bottom"/>
          </w:tcPr>
          <w:p>
            <w:pPr>
              <w:spacing w:after="0" w:line="202" w:lineRule="exact"/>
              <w:rPr>
                <w:sz w:val="20"/>
                <w:szCs w:val="20"/>
                <w:color w:val="auto"/>
              </w:rPr>
            </w:pPr>
            <w:r>
              <w:rPr>
                <w:rFonts w:ascii="Arial" w:cs="Arial" w:eastAsia="Arial" w:hAnsi="Arial"/>
                <w:sz w:val="18"/>
                <w:szCs w:val="18"/>
                <w:color w:val="auto"/>
              </w:rPr>
              <w:t>Government institutions</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03"/>
        </w:trPr>
        <w:tc>
          <w:tcPr>
            <w:tcW w:w="96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771</w:t>
            </w:r>
          </w:p>
        </w:tc>
      </w:tr>
      <w:tr>
        <w:trPr>
          <w:trHeight w:val="20"/>
        </w:trPr>
        <w:tc>
          <w:tcPr>
            <w:tcW w:w="9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FAIR VALUE MEASURAMENTS</w:t>
      </w:r>
    </w:p>
    <w:p>
      <w:pPr>
        <w:spacing w:after="0" w:line="126"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11"/>
          </w:tcPr>
          <w:p>
            <w:pPr>
              <w:jc w:val="right"/>
              <w:ind w:right="180"/>
              <w:spacing w:after="0"/>
              <w:rPr>
                <w:sz w:val="20"/>
                <w:szCs w:val="20"/>
                <w:color w:val="auto"/>
              </w:rPr>
            </w:pPr>
            <w:r>
              <w:rPr>
                <w:rFonts w:ascii="Arial" w:cs="Arial" w:eastAsia="Arial" w:hAnsi="Arial"/>
                <w:sz w:val="14"/>
                <w:szCs w:val="14"/>
                <w:b w:val="1"/>
                <w:bCs w:val="1"/>
                <w:color w:val="auto"/>
              </w:rPr>
              <w:t>Fair Value Measurements at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11"/>
          </w:tcPr>
          <w:p>
            <w:pPr>
              <w:jc w:val="right"/>
              <w:ind w:right="240"/>
              <w:spacing w:after="0"/>
              <w:rPr>
                <w:sz w:val="20"/>
                <w:szCs w:val="20"/>
                <w:color w:val="auto"/>
              </w:rPr>
            </w:pPr>
            <w:r>
              <w:rPr>
                <w:rFonts w:ascii="Arial" w:cs="Arial" w:eastAsia="Arial" w:hAnsi="Arial"/>
                <w:sz w:val="14"/>
                <w:szCs w:val="14"/>
                <w:b w:val="1"/>
                <w:bCs w:val="1"/>
                <w:color w:val="auto"/>
              </w:rPr>
              <w:t>December 31, 2018 Using:</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7660" w:type="dxa"/>
            <w:vAlign w:val="bottom"/>
          </w:tcPr>
          <w:p>
            <w:pPr>
              <w:spacing w:after="0"/>
              <w:rPr>
                <w:sz w:val="13"/>
                <w:szCs w:val="13"/>
                <w:color w:val="auto"/>
              </w:rPr>
            </w:pPr>
          </w:p>
        </w:tc>
        <w:tc>
          <w:tcPr>
            <w:tcW w:w="68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76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83"/>
        </w:trPr>
        <w:tc>
          <w:tcPr>
            <w:tcW w:w="7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Liabilities</w:t>
            </w:r>
          </w:p>
        </w:tc>
        <w:tc>
          <w:tcPr>
            <w:tcW w:w="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37</w:t>
            </w:r>
          </w:p>
        </w:tc>
        <w:tc>
          <w:tcPr>
            <w:tcW w:w="5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$ 37</w:t>
            </w:r>
          </w:p>
        </w:tc>
      </w:tr>
      <w:tr>
        <w:trPr>
          <w:trHeight w:val="20"/>
        </w:trPr>
        <w:tc>
          <w:tcPr>
            <w:tcW w:w="7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11"/>
          </w:tcPr>
          <w:p>
            <w:pPr>
              <w:jc w:val="right"/>
              <w:ind w:right="100"/>
              <w:spacing w:after="0"/>
              <w:rPr>
                <w:sz w:val="20"/>
                <w:szCs w:val="20"/>
                <w:color w:val="auto"/>
              </w:rPr>
            </w:pPr>
            <w:r>
              <w:rPr>
                <w:rFonts w:ascii="Arial" w:cs="Arial" w:eastAsia="Arial" w:hAnsi="Arial"/>
                <w:sz w:val="14"/>
                <w:szCs w:val="14"/>
                <w:b w:val="1"/>
                <w:bCs w:val="1"/>
                <w:color w:val="auto"/>
              </w:rPr>
              <w:t>Fair Value Measurements at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7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11"/>
          </w:tcPr>
          <w:p>
            <w:pPr>
              <w:jc w:val="right"/>
              <w:ind w:right="140"/>
              <w:spacing w:after="0"/>
              <w:rPr>
                <w:sz w:val="20"/>
                <w:szCs w:val="20"/>
                <w:color w:val="auto"/>
              </w:rPr>
            </w:pPr>
            <w:r>
              <w:rPr>
                <w:rFonts w:ascii="Arial" w:cs="Arial" w:eastAsia="Arial" w:hAnsi="Arial"/>
                <w:sz w:val="14"/>
                <w:szCs w:val="14"/>
                <w:b w:val="1"/>
                <w:bCs w:val="1"/>
                <w:color w:val="auto"/>
              </w:rPr>
              <w:t>December 31, 2019 Using:</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7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88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Level 3</w:t>
            </w:r>
          </w:p>
        </w:tc>
        <w:tc>
          <w:tcPr>
            <w:tcW w:w="520" w:type="dxa"/>
            <w:vAlign w:val="bottom"/>
            <w:gridSpan w:val="2"/>
          </w:tcPr>
          <w:p>
            <w:pPr>
              <w:jc w:val="right"/>
              <w:ind w:right="28"/>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82"/>
        </w:trPr>
        <w:tc>
          <w:tcPr>
            <w:tcW w:w="7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Liabilities</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111</w:t>
            </w:r>
          </w:p>
        </w:tc>
        <w:tc>
          <w:tcPr>
            <w:tcW w:w="5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$ 111</w:t>
            </w:r>
          </w:p>
        </w:tc>
      </w:tr>
      <w:tr>
        <w:trPr>
          <w:trHeight w:val="20"/>
        </w:trPr>
        <w:tc>
          <w:tcPr>
            <w:tcW w:w="7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 ended December 31, 2019 and 2018, there were no transfers between Level 1, Level 2 or Level 3.</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Warrants to purchase convertible Preferred stock:</w:t>
      </w:r>
    </w:p>
    <w:p>
      <w:pPr>
        <w:spacing w:after="0" w:line="212" w:lineRule="exact"/>
        <w:rPr>
          <w:sz w:val="20"/>
          <w:szCs w:val="20"/>
          <w:color w:val="auto"/>
        </w:rPr>
      </w:pPr>
    </w:p>
    <w:p>
      <w:pPr>
        <w:jc w:val="both"/>
        <w:ind w:left="120" w:right="840" w:firstLine="440"/>
        <w:spacing w:after="0"/>
        <w:rPr>
          <w:sz w:val="20"/>
          <w:szCs w:val="20"/>
          <w:color w:val="auto"/>
        </w:rPr>
      </w:pPr>
      <w:r>
        <w:rPr>
          <w:rFonts w:ascii="Arial" w:cs="Arial" w:eastAsia="Arial" w:hAnsi="Arial"/>
          <w:sz w:val="18"/>
          <w:szCs w:val="18"/>
          <w:color w:val="auto"/>
        </w:rPr>
        <w:t>The warrants to purchase convertible preferred stock in the table above consisted of the fair value of warrants to purchase convertible preferred stock (Note 9) and was based on significant inputs not observable in the market, which represent a Level 3 measurement within the fair value hierarchy.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the significant inputs used to fair value the warrants to purchase convertible preferred stock:</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42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220" w:type="dxa"/>
            <w:vAlign w:val="bottom"/>
            <w:tcBorders>
              <w:bottom w:val="single" w:sz="8" w:color="CCEEFF"/>
            </w:tcBorders>
          </w:tcPr>
          <w:p>
            <w:pPr>
              <w:spacing w:after="0"/>
              <w:rPr>
                <w:sz w:val="13"/>
                <w:szCs w:val="13"/>
                <w:color w:val="auto"/>
              </w:rPr>
            </w:pPr>
          </w:p>
        </w:tc>
        <w:tc>
          <w:tcPr>
            <w:tcW w:w="490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44"/>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CCEEFF"/>
            </w:tcBorders>
          </w:tcPr>
          <w:p>
            <w:pPr>
              <w:spacing w:after="0"/>
              <w:rPr>
                <w:sz w:val="13"/>
                <w:szCs w:val="13"/>
                <w:color w:val="auto"/>
              </w:rPr>
            </w:pPr>
          </w:p>
        </w:tc>
      </w:tr>
      <w:tr>
        <w:trPr>
          <w:trHeight w:val="196"/>
        </w:trPr>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convertible preferred stock</w:t>
            </w:r>
          </w:p>
        </w:tc>
        <w:tc>
          <w:tcPr>
            <w:tcW w:w="4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$ 1.30</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7"/>
                <w:szCs w:val="17"/>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600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2.6%</w:t>
            </w:r>
          </w:p>
        </w:tc>
        <w:tc>
          <w:tcPr>
            <w:tcW w:w="14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600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60.7%</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600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contractual term (in years)</w:t>
            </w:r>
          </w:p>
        </w:tc>
        <w:tc>
          <w:tcPr>
            <w:tcW w:w="60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w:t>
            </w:r>
          </w:p>
        </w:tc>
      </w:tr>
      <w:tr>
        <w:trPr>
          <w:trHeight w:val="365"/>
        </w:trPr>
        <w:tc>
          <w:tcPr>
            <w:tcW w:w="4220" w:type="dxa"/>
            <w:vAlign w:val="bottom"/>
          </w:tcPr>
          <w:p>
            <w:pPr>
              <w:spacing w:after="0"/>
              <w:rPr>
                <w:sz w:val="24"/>
                <w:szCs w:val="24"/>
                <w:color w:val="auto"/>
              </w:rPr>
            </w:pPr>
          </w:p>
        </w:tc>
        <w:tc>
          <w:tcPr>
            <w:tcW w:w="6000" w:type="dxa"/>
            <w:vAlign w:val="bottom"/>
            <w:gridSpan w:val="3"/>
          </w:tcPr>
          <w:p>
            <w:pPr>
              <w:jc w:val="right"/>
              <w:ind w:right="4480"/>
              <w:spacing w:after="0"/>
              <w:rPr>
                <w:sz w:val="20"/>
                <w:szCs w:val="20"/>
                <w:color w:val="auto"/>
              </w:rPr>
            </w:pPr>
            <w:r>
              <w:rPr>
                <w:rFonts w:ascii="Arial" w:cs="Arial" w:eastAsia="Arial" w:hAnsi="Arial"/>
                <w:sz w:val="18"/>
                <w:szCs w:val="18"/>
                <w:color w:val="auto"/>
              </w:rPr>
              <w:t>F-105</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PROPERTY AND EQUIPMENT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6"/>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66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6"/>
        </w:trPr>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Computers, software and electronic equipment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7"/>
                <w:szCs w:val="17"/>
                <w:color w:val="auto"/>
              </w:rPr>
            </w:pPr>
          </w:p>
        </w:tc>
      </w:tr>
      <w:tr>
        <w:trPr>
          <w:trHeight w:val="203"/>
        </w:trPr>
        <w:tc>
          <w:tcPr>
            <w:tcW w:w="9660" w:type="dxa"/>
            <w:vAlign w:val="bottom"/>
          </w:tcPr>
          <w:p>
            <w:pPr>
              <w:spacing w:after="0" w:line="202" w:lineRule="exact"/>
              <w:rPr>
                <w:sz w:val="20"/>
                <w:szCs w:val="20"/>
                <w:color w:val="auto"/>
              </w:rPr>
            </w:pPr>
            <w:r>
              <w:rPr>
                <w:rFonts w:ascii="Arial" w:cs="Arial" w:eastAsia="Arial" w:hAnsi="Arial"/>
                <w:sz w:val="18"/>
                <w:szCs w:val="18"/>
                <w:color w:val="auto"/>
              </w:rPr>
              <w:t>Office furniture and equipment</w:t>
            </w:r>
          </w:p>
        </w:tc>
        <w:tc>
          <w:tcPr>
            <w:tcW w:w="140" w:type="dxa"/>
            <w:vAlign w:val="bottom"/>
          </w:tcPr>
          <w:p>
            <w:pPr>
              <w:spacing w:after="0"/>
              <w:rPr>
                <w:sz w:val="17"/>
                <w:szCs w:val="17"/>
                <w:color w:val="auto"/>
              </w:rPr>
            </w:pPr>
          </w:p>
        </w:tc>
        <w:tc>
          <w:tcPr>
            <w:tcW w:w="6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w:t>
            </w:r>
          </w:p>
        </w:tc>
      </w:tr>
      <w:tr>
        <w:trPr>
          <w:trHeight w:val="203"/>
        </w:trPr>
        <w:tc>
          <w:tcPr>
            <w:tcW w:w="9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289</w:t>
            </w:r>
          </w:p>
        </w:tc>
        <w:tc>
          <w:tcPr>
            <w:tcW w:w="60" w:type="dxa"/>
            <w:vAlign w:val="bottom"/>
            <w:shd w:val="clear" w:color="auto" w:fill="CCEEFF"/>
          </w:tcPr>
          <w:p>
            <w:pPr>
              <w:spacing w:after="0"/>
              <w:rPr>
                <w:sz w:val="17"/>
                <w:szCs w:val="17"/>
                <w:color w:val="auto"/>
              </w:rPr>
            </w:pPr>
          </w:p>
        </w:tc>
      </w:tr>
      <w:tr>
        <w:trPr>
          <w:trHeight w:val="217"/>
        </w:trPr>
        <w:tc>
          <w:tcPr>
            <w:tcW w:w="9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18"/>
                <w:szCs w:val="18"/>
                <w:color w:val="auto"/>
              </w:rPr>
            </w:pPr>
          </w:p>
        </w:tc>
      </w:tr>
      <w:tr>
        <w:trPr>
          <w:trHeight w:val="203"/>
        </w:trPr>
        <w:tc>
          <w:tcPr>
            <w:tcW w:w="9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Accumulated amortization and depreciation</w:t>
            </w: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7"/>
                <w:szCs w:val="17"/>
                <w:color w:val="auto"/>
              </w:rPr>
            </w:pPr>
          </w:p>
        </w:tc>
      </w:tr>
      <w:tr>
        <w:trPr>
          <w:trHeight w:val="209"/>
        </w:trPr>
        <w:tc>
          <w:tcPr>
            <w:tcW w:w="9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r>
      <w:tr>
        <w:trPr>
          <w:trHeight w:val="20"/>
        </w:trPr>
        <w:tc>
          <w:tcPr>
            <w:tcW w:w="9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and amortization expense were $72 and $81 for the years ended December 31, 2019 and 2018, respectively.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ACCRUED PAYROLL AND RELATED BENEFITS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related benefits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6"/>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6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6"/>
        </w:trPr>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Bonus provision</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639</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7"/>
                <w:szCs w:val="17"/>
                <w:color w:val="auto"/>
              </w:rPr>
            </w:pPr>
          </w:p>
        </w:tc>
      </w:tr>
      <w:tr>
        <w:trPr>
          <w:trHeight w:val="203"/>
        </w:trPr>
        <w:tc>
          <w:tcPr>
            <w:tcW w:w="9660" w:type="dxa"/>
            <w:vAlign w:val="bottom"/>
          </w:tcPr>
          <w:p>
            <w:pPr>
              <w:spacing w:after="0" w:line="202" w:lineRule="exact"/>
              <w:rPr>
                <w:sz w:val="20"/>
                <w:szCs w:val="20"/>
                <w:color w:val="auto"/>
              </w:rPr>
            </w:pPr>
            <w:r>
              <w:rPr>
                <w:rFonts w:ascii="Arial" w:cs="Arial" w:eastAsia="Arial" w:hAnsi="Arial"/>
                <w:sz w:val="18"/>
                <w:szCs w:val="18"/>
                <w:color w:val="auto"/>
              </w:rPr>
              <w:t>Employees and payroll accruals</w:t>
            </w:r>
          </w:p>
        </w:tc>
        <w:tc>
          <w:tcPr>
            <w:tcW w:w="140" w:type="dxa"/>
            <w:vAlign w:val="bottom"/>
          </w:tcPr>
          <w:p>
            <w:pPr>
              <w:spacing w:after="0"/>
              <w:rPr>
                <w:sz w:val="17"/>
                <w:szCs w:val="17"/>
                <w:color w:val="auto"/>
              </w:rPr>
            </w:pPr>
          </w:p>
        </w:tc>
        <w:tc>
          <w:tcPr>
            <w:tcW w:w="6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72</w:t>
            </w:r>
          </w:p>
        </w:tc>
        <w:tc>
          <w:tcPr>
            <w:tcW w:w="1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184</w:t>
            </w:r>
          </w:p>
        </w:tc>
      </w:tr>
      <w:tr>
        <w:trPr>
          <w:trHeight w:val="203"/>
        </w:trPr>
        <w:tc>
          <w:tcPr>
            <w:tcW w:w="9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vacation</w:t>
            </w: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7"/>
                <w:szCs w:val="17"/>
                <w:color w:val="auto"/>
              </w:rPr>
            </w:pPr>
          </w:p>
        </w:tc>
      </w:tr>
      <w:tr>
        <w:trPr>
          <w:trHeight w:val="209"/>
        </w:trPr>
        <w:tc>
          <w:tcPr>
            <w:tcW w:w="9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855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762</w:t>
            </w:r>
          </w:p>
        </w:tc>
      </w:tr>
      <w:tr>
        <w:trPr>
          <w:trHeight w:val="20"/>
        </w:trPr>
        <w:tc>
          <w:tcPr>
            <w:tcW w:w="9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CONVERTIBLE PREFERRED STOCK</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has issued Series A convertible preferred stock (the “Series A Preferred Stock), Series B convertible preferred stock (the “Series B Preferred Stock”), Series C convertible preferred stock (the “Series C Preferred Stock”) and Series C-1 convertible preferred stock (the “Series C-1 Preferred Stock”) The Series A Preferred Stock, the Series B Preferred Stock, the Series C Preferred Stock and the Series C-1 Preferred Stock, are collectively referred to as the “Preferred Stock”.</w:t>
      </w:r>
    </w:p>
    <w:p>
      <w:pPr>
        <w:spacing w:after="0" w:line="205"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Since inception, the Company has been funded through several private placements of preferred stock. The Company’s Article of Incorporation authorize the issuance of 46,307,481 of Preferred Stock with a par value of NIS 0.001.</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and 2018, the Company’s Preferred Stock consisted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December 31, 2019 and 2018</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60" w:type="dxa"/>
            <w:vAlign w:val="bottom"/>
          </w:tcPr>
          <w:p>
            <w:pPr>
              <w:spacing w:after="0"/>
              <w:rPr>
                <w:sz w:val="12"/>
                <w:szCs w:val="12"/>
                <w:color w:val="auto"/>
              </w:rPr>
            </w:pPr>
          </w:p>
        </w:tc>
        <w:tc>
          <w:tcPr>
            <w:tcW w:w="112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rPr>
              <w:t>Preferred</w:t>
            </w:r>
          </w:p>
        </w:tc>
        <w:tc>
          <w:tcPr>
            <w:tcW w:w="200" w:type="dxa"/>
            <w:vAlign w:val="bottom"/>
          </w:tcPr>
          <w:p>
            <w:pPr>
              <w:spacing w:after="0"/>
              <w:rPr>
                <w:sz w:val="12"/>
                <w:szCs w:val="12"/>
                <w:color w:val="auto"/>
              </w:rPr>
            </w:pPr>
          </w:p>
        </w:tc>
        <w:tc>
          <w:tcPr>
            <w:tcW w:w="14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616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Issued and</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616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Authorized</w:t>
            </w:r>
          </w:p>
        </w:tc>
        <w:tc>
          <w:tcPr>
            <w:tcW w:w="20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5"/>
                <w:szCs w:val="15"/>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Preference</w:t>
            </w:r>
          </w:p>
        </w:tc>
      </w:tr>
      <w:tr>
        <w:trPr>
          <w:trHeight w:val="156"/>
        </w:trPr>
        <w:tc>
          <w:tcPr>
            <w:tcW w:w="616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40" w:type="dxa"/>
            <w:vAlign w:val="bottom"/>
            <w:tcBorders>
              <w:top w:val="single" w:sz="8" w:color="auto"/>
              <w:bottom w:val="single" w:sz="8" w:color="auto"/>
            </w:tcBorders>
            <w:gridSpan w:val="6"/>
          </w:tcPr>
          <w:p>
            <w:pPr>
              <w:jc w:val="right"/>
              <w:ind w:right="180"/>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1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14,538,281</w:t>
            </w:r>
          </w:p>
        </w:tc>
        <w:tc>
          <w:tcPr>
            <w:tcW w:w="1660" w:type="dxa"/>
            <w:vAlign w:val="bottom"/>
            <w:gridSpan w:val="3"/>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14,538,281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8,969</w:t>
            </w:r>
          </w:p>
        </w:tc>
        <w:tc>
          <w:tcPr>
            <w:tcW w:w="360" w:type="dxa"/>
            <w:vAlign w:val="bottom"/>
            <w:gridSpan w:val="2"/>
            <w:shd w:val="clear" w:color="auto" w:fill="CCEEFF"/>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8,969</w:t>
            </w:r>
          </w:p>
        </w:tc>
        <w:tc>
          <w:tcPr>
            <w:tcW w:w="80" w:type="dxa"/>
            <w:vAlign w:val="bottom"/>
            <w:shd w:val="clear" w:color="auto" w:fill="CCEEFF"/>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11,152,001</w:t>
            </w:r>
          </w:p>
        </w:tc>
        <w:tc>
          <w:tcPr>
            <w:tcW w:w="16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11,152,001</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10,000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19,082,508</w:t>
            </w:r>
          </w:p>
        </w:tc>
        <w:tc>
          <w:tcPr>
            <w:tcW w:w="166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16,834,013</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17,687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17,687</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Series C-1 Preferred Stock</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1,534,691</w:t>
            </w:r>
          </w:p>
        </w:tc>
        <w:tc>
          <w:tcPr>
            <w:tcW w:w="16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1,534,691</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1,612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1,612</w:t>
            </w:r>
          </w:p>
        </w:tc>
      </w:tr>
      <w:tr>
        <w:trPr>
          <w:trHeight w:val="27"/>
        </w:trPr>
        <w:tc>
          <w:tcPr>
            <w:tcW w:w="6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Preferred Stock</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46,307,481</w:t>
            </w:r>
          </w:p>
        </w:tc>
        <w:tc>
          <w:tcPr>
            <w:tcW w:w="166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44,058,986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38,268</w:t>
            </w:r>
          </w:p>
        </w:tc>
        <w:tc>
          <w:tcPr>
            <w:tcW w:w="36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38,268</w:t>
            </w:r>
          </w:p>
        </w:tc>
      </w:tr>
      <w:tr>
        <w:trPr>
          <w:trHeight w:val="20"/>
        </w:trPr>
        <w:tc>
          <w:tcPr>
            <w:tcW w:w="6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40" w:firstLine="440"/>
        <w:spacing w:after="0" w:line="274" w:lineRule="auto"/>
        <w:rPr>
          <w:sz w:val="20"/>
          <w:szCs w:val="20"/>
          <w:color w:val="auto"/>
        </w:rPr>
      </w:pPr>
      <w:r>
        <w:rPr>
          <w:rFonts w:ascii="Arial" w:cs="Arial" w:eastAsia="Arial" w:hAnsi="Arial"/>
          <w:sz w:val="17"/>
          <w:szCs w:val="17"/>
          <w:color w:val="auto"/>
        </w:rPr>
        <w:t>Preferred stock shall confer upon the holders thereof all of the rights accruing to holders of common shares, on an as-converted basis, and, in addition, shall confer the following powers, preferences and rights and any other special rights as detailed below: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w:t>
      </w:r>
    </w:p>
    <w:p>
      <w:pPr>
        <w:spacing w:after="0" w:line="12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Preferred shareholders are entitled to receive, when declared by the board, out of any funds and assets of the corporation legally available therefore, noncumulative dividends at the annual dividend rate for such series of Preferred Stock, prior and in preference to the payment of any dividends on the common stock. Dividends on the Preferred Stock shall not be mandatory or cumulative.</w:t>
      </w:r>
    </w:p>
    <w:p>
      <w:pPr>
        <w:spacing w:after="0" w:line="95"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After dividend in the full preferential amounts for the Preferred Stock have been paid or declared, additional dividends shall be declared pro rata on the Common Stock and the Preferred Stock.</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22"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Each holder of Preferred Stock are entitled to the number of votes equal to the number of whole shares of Common Stock into which such shares of Preferred Stock could be converted.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preference</w:t>
      </w:r>
    </w:p>
    <w:p>
      <w:pPr>
        <w:spacing w:after="0" w:line="122"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In the event of any liquidation, dissolution or winding up the corporation, the funds and assets that may be legally distributed to the corporation stockholders shall be distributed to stockholder in the following manner:</w:t>
      </w:r>
    </w:p>
    <w:p>
      <w:pPr>
        <w:spacing w:after="0" w:line="197"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The holders of each share of Preferred Stock shall be entitled to be paid, out of the available funds and assets, and prior to any payment or distribution of any available funds and assets on any shares of common stock, an amount per share equal to the original issue price of such series plus all declared but unpaid dividends on such of series of Preferred Stock.</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the funds available in a liquidation event to preferred and common stockholders (“Distributable Proceeds”) are insufficient to permit the payment to holders of the Preferred Stock of their full preferential amount, then the entire available funds and assets are distributed among the holders of the then outstanding Preferred Stock pro rata according to the number of outstanding shares of Preferred Stock held by each holder thereof. Following payment of the Preferred Stock in full, the remaining</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140"/>
          </w:cols>
          <w:pgMar w:left="320" w:top="459"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5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Distributable Proceeds, if any, shall be distributed among the holders of common shares on a pro rata according to the number of shares of common stock held by each holder thereof.</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Series A, B, C and C-1 Preferred Stock are not redeemable at the option of the holder thereof.</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Classification of Convertible Preferred Stock</w:t>
      </w:r>
    </w:p>
    <w:p>
      <w:pPr>
        <w:spacing w:after="0" w:line="122" w:lineRule="exact"/>
        <w:rPr>
          <w:sz w:val="20"/>
          <w:szCs w:val="20"/>
          <w:color w:val="auto"/>
        </w:rPr>
      </w:pPr>
    </w:p>
    <w:p>
      <w:pPr>
        <w:jc w:val="both"/>
        <w:ind w:left="120" w:right="60" w:firstLine="440"/>
        <w:spacing w:after="0" w:line="274" w:lineRule="auto"/>
        <w:rPr>
          <w:sz w:val="20"/>
          <w:szCs w:val="20"/>
          <w:color w:val="auto"/>
        </w:rPr>
      </w:pPr>
      <w:r>
        <w:rPr>
          <w:rFonts w:ascii="Arial" w:cs="Arial" w:eastAsia="Arial" w:hAnsi="Arial"/>
          <w:sz w:val="17"/>
          <w:szCs w:val="17"/>
          <w:color w:val="auto"/>
        </w:rPr>
        <w:t>The Preferred Stock is contingently redeemable upon certain deemed liquidation events outside of the Company’s control such as a dissolution, winding up of the Company, merger or consolidation, or other disposition of all or substantially all the assets of the Company.</w:t>
      </w:r>
    </w:p>
    <w:p>
      <w:pPr>
        <w:spacing w:after="0" w:line="175"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Accordingly, all shares of convertible Preferred Stock have been presented outside of permanent equity in mezzanine equity on the consolidated balance sheets.</w:t>
      </w:r>
    </w:p>
    <w:p>
      <w:pPr>
        <w:spacing w:after="0" w:line="19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Company recorded the convertible preferred stock at fair value on the dates of issuance, net of issuance costs. Shares of convertible preferred stock are not currently redeemable. The Company’s carrying values of the convertible preferred stock is equal to the deemed liquidation values of such shares. Subsequent adjustments to increase or decrease the carrying values to the ultimate liquidation values will be made only if, and when, it becomes probable that such a liquidation event will occur.</w:t>
      </w:r>
    </w:p>
    <w:p>
      <w:pPr>
        <w:spacing w:after="0" w:line="205"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The Company will evaluate the redemption contingency at each reporting period, reclassifying the instrument to a liability when the contingency is resolved and the convertible preferred stock becomes mandatorily redeemable.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WARRANTS TO PURCHASE CONVERTIBLE PREFERRED STOCK</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accounts for freestanding warrants to purchase shares of its preferred stock as a liability at fair value. The warrants to purchase preferred stock are recorded as a liability because of the obligation to issue a variable number of shares where the monetary value is predominantly fixed. The value of the warrant was calculated based on the value of the warrant at issuance and at reporting periods using the Black-Scholes model.</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On January 29, 2018 The Company entered into a loan and security agreement with a financial institution (see also Note 12). On the date of the loan and security agreement the Company issued warrants to the financial institution to purchase shares at the amount of $ 100 at an exercise price per share that will be determined as the lower of: (i) $ 1.0507 and (ii) the price per share at which the Company sells and issues shares of Preferred Stock to investors in the Company’s next preferred stock financing following the issue date of these warrants.</w:t>
      </w:r>
    </w:p>
    <w:p>
      <w:pPr>
        <w:spacing w:after="0" w:line="20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On April 10, 2019, the Company entered into an amendment agreement to the loan and security agreement, which deferred the principal repayment date to February 2020. To facilitate the closing of this amendment, the Company issued 95,174 additional Series C Preferred Stock Warrants.</w:t>
      </w:r>
    </w:p>
    <w:p>
      <w:pPr>
        <w:spacing w:after="0" w:line="203"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On December 20, 2019, The Company granted a warrant to purchase 260,835 shares of Series C Preferred Stock (“Warrant Shares”) for a purchase price of $1.05 per share to one of its customers. Fifty percent of the Warrant Shares shall become purchasable upon the date the revenue received by</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1080"/>
          </w:cols>
          <w:pgMar w:left="320" w:top="459" w:right="49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20" w:right="320"/>
        <w:spacing w:after="0" w:line="257" w:lineRule="auto"/>
        <w:rPr>
          <w:sz w:val="20"/>
          <w:szCs w:val="20"/>
          <w:color w:val="auto"/>
        </w:rPr>
      </w:pPr>
      <w:r>
        <w:rPr>
          <w:rFonts w:ascii="Arial" w:cs="Arial" w:eastAsia="Arial" w:hAnsi="Arial"/>
          <w:sz w:val="17"/>
          <w:szCs w:val="17"/>
          <w:color w:val="auto"/>
        </w:rPr>
        <w:t>the Company from the holder, on a trailing twelve-month basis first equals or exceeds $3,000. Fifty percent of the Warrant Shares shall become purchasable upon the date that the annual revenue first equals or exceeds $ 5,000, or if there is a change in ownership of the Company. On February 13, 2020, Flywire Corporation acquired all of the stock of the Company. At December 31, 2019, the Company estimated that it was probable there would be a change in control of the Company and accelerated the vesting of the warrants issued.</w:t>
      </w:r>
    </w:p>
    <w:p>
      <w:pPr>
        <w:spacing w:after="0" w:line="189"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fair value of warrants on the issuance date and subsequent reporting dates was determined using the Option Pricing Method. In determining the fair value of the warrants, management considered among other factors the valuation of invested capital (both preferred and common capital stock) from its 409A valuation as of December 31, 2017 to make the calculation. As of December 31, 2019, the liability associated with these warrants measured at fair value was $111.</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4"/>
                <w:szCs w:val="14"/>
                <w:color w:val="auto"/>
              </w:rPr>
            </w:pPr>
          </w:p>
        </w:tc>
        <w:tc>
          <w:tcPr>
            <w:tcW w:w="900" w:type="dxa"/>
            <w:vAlign w:val="bottom"/>
            <w:gridSpan w:val="3"/>
          </w:tcPr>
          <w:p>
            <w:pPr>
              <w:jc w:val="center"/>
              <w:ind w:left="23"/>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 of</w:t>
            </w: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Preferred</w:t>
            </w:r>
          </w:p>
        </w:tc>
        <w:tc>
          <w:tcPr>
            <w:tcW w:w="420" w:type="dxa"/>
            <w:vAlign w:val="bottom"/>
          </w:tcPr>
          <w:p>
            <w:pPr>
              <w:spacing w:after="0"/>
              <w:rPr>
                <w:sz w:val="14"/>
                <w:szCs w:val="14"/>
                <w:color w:val="auto"/>
              </w:rPr>
            </w:pPr>
          </w:p>
        </w:tc>
        <w:tc>
          <w:tcPr>
            <w:tcW w:w="900" w:type="dxa"/>
            <w:vAlign w:val="bottom"/>
            <w:gridSpan w:val="3"/>
          </w:tcPr>
          <w:p>
            <w:pPr>
              <w:jc w:val="center"/>
              <w:ind w:left="23"/>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8"/>
              </w:rPr>
              <w:t>Weight</w:t>
            </w:r>
          </w:p>
        </w:tc>
        <w:tc>
          <w:tcPr>
            <w:tcW w:w="32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29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2"/>
                <w:szCs w:val="12"/>
                <w:color w:val="auto"/>
              </w:rPr>
            </w:pPr>
          </w:p>
        </w:tc>
        <w:tc>
          <w:tcPr>
            <w:tcW w:w="106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rPr>
              <w:t>Shares Vested</w:t>
            </w:r>
          </w:p>
        </w:tc>
        <w:tc>
          <w:tcPr>
            <w:tcW w:w="400" w:type="dxa"/>
            <w:vAlign w:val="bottom"/>
          </w:tcPr>
          <w:p>
            <w:pPr>
              <w:spacing w:after="0"/>
              <w:rPr>
                <w:sz w:val="12"/>
                <w:szCs w:val="12"/>
                <w:color w:val="auto"/>
              </w:rPr>
            </w:pPr>
          </w:p>
        </w:tc>
        <w:tc>
          <w:tcPr>
            <w:tcW w:w="7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2"/>
                <w:szCs w:val="12"/>
                <w:color w:val="auto"/>
              </w:rPr>
            </w:pP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of Warrants</w:t>
            </w:r>
          </w:p>
        </w:tc>
        <w:tc>
          <w:tcPr>
            <w:tcW w:w="0" w:type="dxa"/>
            <w:vAlign w:val="bottom"/>
          </w:tcPr>
          <w:p>
            <w:pPr>
              <w:spacing w:after="0"/>
              <w:rPr>
                <w:sz w:val="1"/>
                <w:szCs w:val="1"/>
                <w:color w:val="auto"/>
              </w:rPr>
            </w:pPr>
          </w:p>
        </w:tc>
      </w:tr>
      <w:tr>
        <w:trPr>
          <w:trHeight w:val="162"/>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Preferred</w:t>
            </w: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Issuable Under</w:t>
            </w:r>
          </w:p>
        </w:tc>
        <w:tc>
          <w:tcPr>
            <w:tcW w:w="420" w:type="dxa"/>
            <w:vAlign w:val="bottom"/>
          </w:tcPr>
          <w:p>
            <w:pPr>
              <w:spacing w:after="0"/>
              <w:rPr>
                <w:sz w:val="14"/>
                <w:szCs w:val="14"/>
                <w:color w:val="auto"/>
              </w:rPr>
            </w:pPr>
          </w:p>
        </w:tc>
        <w:tc>
          <w:tcPr>
            <w:tcW w:w="900" w:type="dxa"/>
            <w:vAlign w:val="bottom"/>
            <w:gridSpan w:val="3"/>
          </w:tcPr>
          <w:p>
            <w:pPr>
              <w:jc w:val="center"/>
              <w:ind w:left="23"/>
              <w:spacing w:after="0"/>
              <w:rPr>
                <w:sz w:val="20"/>
                <w:szCs w:val="20"/>
                <w:color w:val="auto"/>
              </w:rPr>
            </w:pPr>
            <w:r>
              <w:rPr>
                <w:rFonts w:ascii="Arial" w:cs="Arial" w:eastAsia="Arial" w:hAnsi="Arial"/>
                <w:sz w:val="14"/>
                <w:szCs w:val="14"/>
                <w:b w:val="1"/>
                <w:bCs w:val="1"/>
                <w:color w:val="auto"/>
                <w:w w:val="98"/>
              </w:rPr>
              <w:t>Under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7"/>
              </w:rPr>
              <w:t>Exercise</w:t>
            </w:r>
          </w:p>
        </w:tc>
        <w:tc>
          <w:tcPr>
            <w:tcW w:w="32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9"/>
              </w:rPr>
              <w:t>Term</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900" w:type="dxa"/>
            <w:vAlign w:val="bottom"/>
            <w:gridSpan w:val="2"/>
          </w:tcPr>
          <w:p>
            <w:pPr>
              <w:ind w:left="240"/>
              <w:spacing w:after="0"/>
              <w:rPr>
                <w:sz w:val="20"/>
                <w:szCs w:val="20"/>
                <w:color w:val="auto"/>
              </w:rPr>
            </w:pPr>
            <w:r>
              <w:rPr>
                <w:rFonts w:ascii="Arial" w:cs="Arial" w:eastAsia="Arial" w:hAnsi="Arial"/>
                <w:sz w:val="14"/>
                <w:szCs w:val="14"/>
                <w:b w:val="1"/>
                <w:bCs w:val="1"/>
                <w:color w:val="auto"/>
              </w:rPr>
              <w:t>Issuance Date</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rPr>
              <w:t>Warrant</w:t>
            </w:r>
          </w:p>
        </w:tc>
        <w:tc>
          <w:tcPr>
            <w:tcW w:w="420" w:type="dxa"/>
            <w:vAlign w:val="bottom"/>
          </w:tcPr>
          <w:p>
            <w:pPr>
              <w:spacing w:after="0"/>
              <w:rPr>
                <w:sz w:val="16"/>
                <w:szCs w:val="16"/>
                <w:color w:val="auto"/>
              </w:rPr>
            </w:pPr>
          </w:p>
        </w:tc>
        <w:tc>
          <w:tcPr>
            <w:tcW w:w="900" w:type="dxa"/>
            <w:vAlign w:val="bottom"/>
            <w:gridSpan w:val="3"/>
          </w:tcPr>
          <w:p>
            <w:pPr>
              <w:jc w:val="center"/>
              <w:ind w:left="23"/>
              <w:spacing w:after="0"/>
              <w:rPr>
                <w:sz w:val="20"/>
                <w:szCs w:val="20"/>
                <w:color w:val="auto"/>
              </w:rPr>
            </w:pPr>
            <w:r>
              <w:rPr>
                <w:rFonts w:ascii="Arial" w:cs="Arial" w:eastAsia="Arial" w:hAnsi="Arial"/>
                <w:sz w:val="14"/>
                <w:szCs w:val="14"/>
                <w:b w:val="1"/>
                <w:bCs w:val="1"/>
                <w:color w:val="auto"/>
                <w:w w:val="98"/>
              </w:rPr>
              <w:t>Warrant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9"/>
              </w:rPr>
              <w:t>Price</w:t>
            </w:r>
          </w:p>
        </w:tc>
        <w:tc>
          <w:tcPr>
            <w:tcW w:w="320" w:type="dxa"/>
            <w:vAlign w:val="bottom"/>
          </w:tcPr>
          <w:p>
            <w:pPr>
              <w:spacing w:after="0"/>
              <w:rPr>
                <w:sz w:val="16"/>
                <w:szCs w:val="16"/>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(In Years)</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190"/>
        </w:trPr>
        <w:tc>
          <w:tcPr>
            <w:tcW w:w="29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Series C</w:t>
            </w:r>
          </w:p>
        </w:tc>
        <w:tc>
          <w:tcPr>
            <w:tcW w:w="1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January 23, 2018</w:t>
            </w:r>
          </w:p>
        </w:tc>
        <w:tc>
          <w:tcPr>
            <w:tcW w:w="4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95,174</w:t>
            </w: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95,174</w:t>
            </w:r>
          </w:p>
        </w:tc>
        <w:tc>
          <w:tcPr>
            <w:tcW w:w="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1.05</w:t>
            </w:r>
          </w:p>
        </w:tc>
        <w:tc>
          <w:tcPr>
            <w:tcW w:w="1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8.06</w:t>
            </w:r>
          </w:p>
        </w:tc>
        <w:tc>
          <w:tcPr>
            <w:tcW w:w="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80" w:type="dxa"/>
            <w:vAlign w:val="bottom"/>
            <w:gridSpan w:val="3"/>
          </w:tcPr>
          <w:p>
            <w:pPr>
              <w:spacing w:after="0" w:line="202" w:lineRule="exact"/>
              <w:rPr>
                <w:sz w:val="20"/>
                <w:szCs w:val="20"/>
                <w:color w:val="auto"/>
              </w:rPr>
            </w:pPr>
            <w:r>
              <w:rPr>
                <w:rFonts w:ascii="Arial" w:cs="Arial" w:eastAsia="Arial" w:hAnsi="Arial"/>
                <w:sz w:val="18"/>
                <w:szCs w:val="18"/>
                <w:color w:val="auto"/>
              </w:rPr>
              <w:t>Series C</w:t>
            </w:r>
          </w:p>
        </w:tc>
        <w:tc>
          <w:tcPr>
            <w:tcW w:w="1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April 8, 2019</w:t>
            </w:r>
          </w:p>
        </w:tc>
        <w:tc>
          <w:tcPr>
            <w:tcW w:w="10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95,174</w:t>
            </w:r>
          </w:p>
        </w:tc>
        <w:tc>
          <w:tcPr>
            <w:tcW w:w="148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95,174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1.05</w:t>
            </w:r>
          </w:p>
        </w:tc>
        <w:tc>
          <w:tcPr>
            <w:tcW w:w="11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9.27</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29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Series C*)</w:t>
            </w:r>
          </w:p>
        </w:tc>
        <w:tc>
          <w:tcPr>
            <w:tcW w:w="190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December 20,</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2020</w:t>
            </w:r>
          </w:p>
        </w:tc>
        <w:tc>
          <w:tcPr>
            <w:tcW w:w="10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260,835</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130,418</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1.05</w:t>
            </w:r>
          </w:p>
        </w:tc>
        <w:tc>
          <w:tcPr>
            <w:tcW w:w="1180" w:type="dxa"/>
            <w:vAlign w:val="bottom"/>
            <w:gridSpan w:val="4"/>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9.97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451,183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320,765</w:t>
            </w: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1.05</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9.20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10220" w:type="dxa"/>
            <w:vAlign w:val="bottom"/>
            <w:gridSpan w:val="27"/>
          </w:tcPr>
          <w:p>
            <w:pPr>
              <w:ind w:left="140"/>
              <w:spacing w:after="0"/>
              <w:rPr>
                <w:sz w:val="20"/>
                <w:szCs w:val="20"/>
                <w:color w:val="auto"/>
              </w:rPr>
            </w:pPr>
            <w:r>
              <w:rPr>
                <w:rFonts w:ascii="Arial" w:cs="Arial" w:eastAsia="Arial" w:hAnsi="Arial"/>
                <w:sz w:val="18"/>
                <w:szCs w:val="18"/>
                <w:color w:val="auto"/>
              </w:rPr>
              <w:t>Warrants issued to a customer were to vest upon the earlier of achieving certain revenue targets or a change in control. The</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9320" w:type="dxa"/>
            <w:vAlign w:val="bottom"/>
            <w:gridSpan w:val="22"/>
          </w:tcPr>
          <w:p>
            <w:pPr>
              <w:ind w:left="140"/>
              <w:spacing w:after="0"/>
              <w:rPr>
                <w:sz w:val="20"/>
                <w:szCs w:val="20"/>
                <w:color w:val="auto"/>
              </w:rPr>
            </w:pPr>
            <w:r>
              <w:rPr>
                <w:rFonts w:ascii="Arial" w:cs="Arial" w:eastAsia="Arial" w:hAnsi="Arial"/>
                <w:sz w:val="18"/>
                <w:szCs w:val="18"/>
                <w:color w:val="auto"/>
              </w:rPr>
              <w:t>Company accelerated the vesting of 50% of the issued warrants based on the probable change in control.</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00" w:type="dxa"/>
            <w:vAlign w:val="bottom"/>
          </w:tcPr>
          <w:p>
            <w:pPr>
              <w:spacing w:after="0"/>
              <w:rPr>
                <w:sz w:val="24"/>
                <w:szCs w:val="24"/>
                <w:color w:val="auto"/>
              </w:rPr>
            </w:pPr>
          </w:p>
        </w:tc>
        <w:tc>
          <w:tcPr>
            <w:tcW w:w="10220" w:type="dxa"/>
            <w:vAlign w:val="bottom"/>
            <w:gridSpan w:val="27"/>
          </w:tcPr>
          <w:p>
            <w:pPr>
              <w:ind w:left="40"/>
              <w:spacing w:after="0"/>
              <w:rPr>
                <w:sz w:val="20"/>
                <w:szCs w:val="20"/>
                <w:color w:val="auto"/>
              </w:rPr>
            </w:pPr>
            <w:r>
              <w:rPr>
                <w:rFonts w:ascii="Arial" w:cs="Arial" w:eastAsia="Arial" w:hAnsi="Arial"/>
                <w:sz w:val="18"/>
                <w:szCs w:val="18"/>
                <w:color w:val="auto"/>
              </w:rPr>
              <w:t>The following table provides a roll forward of the aggregate fair value of the Company’s preferred stock warrants (in thousands):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5"/>
          </w:tcPr>
          <w:p>
            <w:pPr>
              <w:jc w:val="center"/>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480" w:type="dxa"/>
            <w:vAlign w:val="bottom"/>
            <w:tcBorders>
              <w:top w:val="single" w:sz="8" w:color="auto"/>
            </w:tcBorders>
            <w:gridSpan w:val="3"/>
          </w:tcPr>
          <w:p>
            <w:pPr>
              <w:jc w:val="right"/>
              <w:ind w:right="1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4"/>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98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1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gridSpan w:val="2"/>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8"/>
          </w:tcPr>
          <w:p>
            <w:pPr>
              <w:spacing w:after="0" w:line="202" w:lineRule="exact"/>
              <w:rPr>
                <w:sz w:val="20"/>
                <w:szCs w:val="20"/>
                <w:color w:val="auto"/>
              </w:rPr>
            </w:pPr>
            <w:r>
              <w:rPr>
                <w:rFonts w:ascii="Arial" w:cs="Arial" w:eastAsia="Arial" w:hAnsi="Arial"/>
                <w:sz w:val="18"/>
                <w:szCs w:val="18"/>
                <w:color w:val="auto"/>
              </w:rPr>
              <w:t>Issuance of warrants to purchase Convertible Preferred Stock</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Changes in fair value</w:t>
            </w:r>
          </w:p>
        </w:tc>
        <w:tc>
          <w:tcPr>
            <w:tcW w:w="1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80" w:type="dxa"/>
            <w:vAlign w:val="bottom"/>
            <w:gridSpan w:val="3"/>
          </w:tcPr>
          <w:p>
            <w:pPr>
              <w:spacing w:after="0"/>
              <w:rPr>
                <w:sz w:val="20"/>
                <w:szCs w:val="20"/>
                <w:color w:val="auto"/>
              </w:rPr>
            </w:pPr>
            <w:r>
              <w:rPr>
                <w:rFonts w:ascii="Arial" w:cs="Arial" w:eastAsia="Arial" w:hAnsi="Arial"/>
                <w:sz w:val="18"/>
                <w:szCs w:val="18"/>
                <w:color w:val="auto"/>
              </w:rPr>
              <w:t>Balance at end of period</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c>
          <w:tcPr>
            <w:tcW w:w="80" w:type="dxa"/>
            <w:vAlign w:val="bottom"/>
          </w:tcPr>
          <w:p>
            <w:pPr>
              <w:spacing w:after="0"/>
              <w:rPr>
                <w:sz w:val="18"/>
                <w:szCs w:val="18"/>
                <w:color w:val="auto"/>
              </w:rPr>
            </w:pPr>
          </w:p>
        </w:tc>
        <w:tc>
          <w:tcPr>
            <w:tcW w:w="50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10:- COMMON STOCK</w:t>
            </w: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980" w:type="dxa"/>
            <w:vAlign w:val="bottom"/>
            <w:gridSpan w:val="3"/>
            <w:vMerge w:val="continue"/>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4480" w:type="dxa"/>
            <w:vAlign w:val="bottom"/>
            <w:gridSpan w:val="4"/>
          </w:tcPr>
          <w:p>
            <w:pPr>
              <w:ind w:left="140"/>
              <w:spacing w:after="0"/>
              <w:rPr>
                <w:sz w:val="20"/>
                <w:szCs w:val="20"/>
                <w:color w:val="auto"/>
              </w:rPr>
            </w:pPr>
            <w:r>
              <w:rPr>
                <w:rFonts w:ascii="Arial" w:cs="Arial" w:eastAsia="Arial" w:hAnsi="Arial"/>
                <w:sz w:val="18"/>
                <w:szCs w:val="18"/>
                <w:color w:val="auto"/>
              </w:rPr>
              <w:t>Composition of Common Stock:</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jc w:val="center"/>
              <w:ind w:left="23"/>
              <w:spacing w:after="0"/>
              <w:rPr>
                <w:sz w:val="20"/>
                <w:szCs w:val="20"/>
                <w:color w:val="auto"/>
              </w:rPr>
            </w:pPr>
            <w:r>
              <w:rPr>
                <w:rFonts w:ascii="Arial" w:cs="Arial" w:eastAsia="Arial" w:hAnsi="Arial"/>
                <w:sz w:val="14"/>
                <w:szCs w:val="14"/>
                <w:b w:val="1"/>
                <w:bCs w:val="1"/>
                <w:color w:val="auto"/>
              </w:rPr>
              <w:t>Authorized</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jc w:val="right"/>
              <w:ind w:right="79"/>
              <w:spacing w:after="0"/>
              <w:rPr>
                <w:sz w:val="20"/>
                <w:szCs w:val="20"/>
                <w:color w:val="auto"/>
              </w:rPr>
            </w:pPr>
            <w:r>
              <w:rPr>
                <w:rFonts w:ascii="Arial" w:cs="Arial" w:eastAsia="Arial" w:hAnsi="Arial"/>
                <w:sz w:val="14"/>
                <w:szCs w:val="14"/>
                <w:b w:val="1"/>
                <w:bCs w:val="1"/>
                <w:color w:val="auto"/>
              </w:rPr>
              <w:t>Issued and Outstanding</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5"/>
          </w:tcPr>
          <w:p>
            <w:pPr>
              <w:jc w:val="center"/>
              <w:ind w:left="3"/>
              <w:spacing w:after="0" w:line="155" w:lineRule="exact"/>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36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36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4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Shares of NIS 0.001, par value:</w:t>
            </w: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Pr>
          <w:p>
            <w:pPr>
              <w:ind w:left="360"/>
              <w:spacing w:after="0" w:line="202" w:lineRule="exact"/>
              <w:rPr>
                <w:sz w:val="20"/>
                <w:szCs w:val="20"/>
                <w:color w:val="auto"/>
              </w:rPr>
            </w:pPr>
            <w:r>
              <w:rPr>
                <w:rFonts w:ascii="Arial" w:cs="Arial" w:eastAsia="Arial" w:hAnsi="Arial"/>
                <w:sz w:val="18"/>
                <w:szCs w:val="18"/>
                <w:color w:val="auto"/>
              </w:rPr>
              <w:t>Common Stocks</w:t>
            </w: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w w:val="99"/>
              </w:rPr>
              <w:t>70,500,000</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5"/>
          </w:tcPr>
          <w:p>
            <w:pPr>
              <w:jc w:val="right"/>
              <w:spacing w:after="0" w:line="202" w:lineRule="exact"/>
              <w:rPr>
                <w:sz w:val="20"/>
                <w:szCs w:val="20"/>
                <w:color w:val="auto"/>
              </w:rPr>
            </w:pPr>
            <w:r>
              <w:rPr>
                <w:rFonts w:ascii="Arial" w:cs="Arial" w:eastAsia="Arial" w:hAnsi="Arial"/>
                <w:sz w:val="18"/>
                <w:szCs w:val="18"/>
                <w:color w:val="auto"/>
              </w:rPr>
              <w:t>70,500,000</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11,241,043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bottom w:val="single" w:sz="8" w:color="auto"/>
            </w:tcBorders>
            <w:gridSpan w:val="7"/>
          </w:tcPr>
          <w:p>
            <w:pPr>
              <w:jc w:val="right"/>
              <w:ind w:right="20"/>
              <w:spacing w:after="0" w:line="202" w:lineRule="exact"/>
              <w:rPr>
                <w:sz w:val="20"/>
                <w:szCs w:val="20"/>
                <w:color w:val="auto"/>
              </w:rPr>
            </w:pPr>
            <w:r>
              <w:rPr>
                <w:rFonts w:ascii="Arial" w:cs="Arial" w:eastAsia="Arial" w:hAnsi="Arial"/>
                <w:sz w:val="18"/>
                <w:szCs w:val="18"/>
                <w:color w:val="auto"/>
              </w:rPr>
              <w:t>11,203,077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F-109</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180"/>
        <w:spacing w:after="0"/>
        <w:rPr>
          <w:sz w:val="20"/>
          <w:szCs w:val="20"/>
          <w:color w:val="auto"/>
        </w:rPr>
      </w:pPr>
      <w:r>
        <w:rPr>
          <w:rFonts w:ascii="Arial" w:cs="Arial" w:eastAsia="Arial" w:hAnsi="Arial"/>
          <w:sz w:val="18"/>
          <w:szCs w:val="18"/>
          <w:color w:val="auto"/>
        </w:rPr>
        <w:t>Each share of common stock entitles the holders the right to receive notice to participate and vote in general meetings of the Company, and the right to receive dividends, if declared and to participate in the distribution of the surplus assets of the Company upon liquidation of the Company, after the distribution of the preferred shares liquidation preference.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w:t>
      </w:r>
    </w:p>
    <w:p>
      <w:pPr>
        <w:spacing w:after="0" w:line="139" w:lineRule="exact"/>
        <w:rPr>
          <w:sz w:val="20"/>
          <w:szCs w:val="20"/>
          <w:color w:val="auto"/>
        </w:rPr>
      </w:pPr>
    </w:p>
    <w:p>
      <w:pPr>
        <w:ind w:left="660" w:hanging="544"/>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Stock option plan:</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On April 26, 2011, the Board of Directors of the Company adopted a share option plan (the “2011 Plan”).</w:t>
      </w:r>
    </w:p>
    <w:p>
      <w:pPr>
        <w:spacing w:after="0" w:line="103" w:lineRule="exact"/>
        <w:rPr>
          <w:rFonts w:ascii="Arial" w:cs="Arial" w:eastAsia="Arial" w:hAnsi="Arial"/>
          <w:sz w:val="18"/>
          <w:szCs w:val="18"/>
          <w:color w:val="auto"/>
        </w:rPr>
      </w:pPr>
    </w:p>
    <w:p>
      <w:pPr>
        <w:ind w:left="660" w:right="80"/>
        <w:spacing w:after="0"/>
        <w:rPr>
          <w:rFonts w:ascii="Arial" w:cs="Arial" w:eastAsia="Arial" w:hAnsi="Arial"/>
          <w:sz w:val="18"/>
          <w:szCs w:val="18"/>
          <w:color w:val="auto"/>
        </w:rPr>
      </w:pPr>
      <w:r>
        <w:rPr>
          <w:rFonts w:ascii="Arial" w:cs="Arial" w:eastAsia="Arial" w:hAnsi="Arial"/>
          <w:sz w:val="18"/>
          <w:szCs w:val="18"/>
          <w:color w:val="auto"/>
        </w:rPr>
        <w:t>The 2011 Plan provides for the grant of options to directors, employees, officers and consultants of the Company. As of December 31, 2019, a total of 10,722,002 shares of common stock were reserved for issuance pursuant to stock awards under the 2011 Plan.</w:t>
      </w:r>
    </w:p>
    <w:p>
      <w:pPr>
        <w:spacing w:after="0" w:line="94" w:lineRule="exact"/>
        <w:rPr>
          <w:rFonts w:ascii="Arial" w:cs="Arial" w:eastAsia="Arial" w:hAnsi="Arial"/>
          <w:sz w:val="18"/>
          <w:szCs w:val="18"/>
          <w:color w:val="auto"/>
        </w:rPr>
      </w:pPr>
    </w:p>
    <w:p>
      <w:pPr>
        <w:jc w:val="both"/>
        <w:ind w:left="660" w:right="300"/>
        <w:spacing w:after="0"/>
        <w:rPr>
          <w:rFonts w:ascii="Arial" w:cs="Arial" w:eastAsia="Arial" w:hAnsi="Arial"/>
          <w:sz w:val="18"/>
          <w:szCs w:val="18"/>
          <w:color w:val="auto"/>
        </w:rPr>
      </w:pPr>
      <w:r>
        <w:rPr>
          <w:rFonts w:ascii="Arial" w:cs="Arial" w:eastAsia="Arial" w:hAnsi="Arial"/>
          <w:sz w:val="18"/>
          <w:szCs w:val="18"/>
          <w:color w:val="auto"/>
        </w:rPr>
        <w:t>Each option granted under the Plan expires no later than 10 years from the vesting commencement date. The options generally vest over four years. Any options that are canceled or forfeited before expiration become available for future grants. Each option entitles the holder to purchase one share of Common stock of the Company.</w:t>
      </w:r>
    </w:p>
    <w:p>
      <w:pPr>
        <w:spacing w:after="0" w:line="94" w:lineRule="exact"/>
        <w:rPr>
          <w:rFonts w:ascii="Arial" w:cs="Arial" w:eastAsia="Arial" w:hAnsi="Arial"/>
          <w:sz w:val="18"/>
          <w:szCs w:val="18"/>
          <w:color w:val="auto"/>
        </w:rPr>
      </w:pPr>
    </w:p>
    <w:p>
      <w:pPr>
        <w:ind w:left="660" w:right="20"/>
        <w:spacing w:after="0" w:line="371" w:lineRule="auto"/>
        <w:rPr>
          <w:rFonts w:ascii="Arial" w:cs="Arial" w:eastAsia="Arial" w:hAnsi="Arial"/>
          <w:sz w:val="18"/>
          <w:szCs w:val="18"/>
          <w:color w:val="auto"/>
        </w:rPr>
      </w:pPr>
      <w:r>
        <w:rPr>
          <w:rFonts w:ascii="Arial" w:cs="Arial" w:eastAsia="Arial" w:hAnsi="Arial"/>
          <w:sz w:val="18"/>
          <w:szCs w:val="18"/>
          <w:color w:val="auto"/>
        </w:rPr>
        <w:t>As of December 31, 2019, a total of 237,001 options to purchase the Company’s common stock remained available for future grant. The following is a summary of option activity under the Plan for the year ended December 31, 2019:</w:t>
      </w:r>
    </w:p>
    <w:p>
      <w:pPr>
        <w:spacing w:after="0" w:line="104"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Average</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Exercise</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5620" w:type="dxa"/>
            <w:vAlign w:val="bottom"/>
          </w:tcPr>
          <w:p>
            <w:pPr>
              <w:spacing w:after="0"/>
              <w:rPr>
                <w:sz w:val="15"/>
                <w:szCs w:val="15"/>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of Options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Price</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5"/>
                <w:szCs w:val="15"/>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 Value</w:t>
            </w:r>
          </w:p>
        </w:tc>
      </w:tr>
      <w:tr>
        <w:trPr>
          <w:trHeight w:val="155"/>
        </w:trPr>
        <w:tc>
          <w:tcPr>
            <w:tcW w:w="562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(In Years)</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CCEEFF"/>
            </w:tcBorders>
          </w:tcPr>
          <w:p>
            <w:pPr>
              <w:spacing w:after="0"/>
              <w:rPr>
                <w:sz w:val="13"/>
                <w:szCs w:val="13"/>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outstanding at the beginning of the year</w:t>
            </w:r>
          </w:p>
        </w:tc>
        <w:tc>
          <w:tcPr>
            <w:tcW w:w="9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9,719,909</w:t>
            </w:r>
          </w:p>
        </w:tc>
        <w:tc>
          <w:tcPr>
            <w:tcW w:w="2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0.62</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Changes during the year:</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1,270,000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0.80</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1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(42,966)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0.65</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Cancelled and forfeited</w:t>
            </w:r>
          </w:p>
        </w:tc>
        <w:tc>
          <w:tcPr>
            <w:tcW w:w="11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(1,222,985)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0.70</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Outstanding at the end of the year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9,723,958</w:t>
            </w:r>
          </w:p>
        </w:tc>
        <w:tc>
          <w:tcPr>
            <w:tcW w:w="26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0.63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7.27</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2,627</w:t>
            </w:r>
          </w:p>
        </w:tc>
      </w:tr>
      <w:tr>
        <w:trPr>
          <w:trHeight w:val="20"/>
        </w:trPr>
        <w:tc>
          <w:tcPr>
            <w:tcW w:w="5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the end of the year</w:t>
            </w:r>
          </w:p>
        </w:tc>
        <w:tc>
          <w:tcPr>
            <w:tcW w:w="9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5,917,001</w:t>
            </w:r>
          </w:p>
        </w:tc>
        <w:tc>
          <w:tcPr>
            <w:tcW w:w="2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0.59</w:t>
            </w:r>
          </w:p>
        </w:tc>
        <w:tc>
          <w:tcPr>
            <w:tcW w:w="10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6.39</w:t>
            </w:r>
          </w:p>
        </w:tc>
        <w:tc>
          <w:tcPr>
            <w:tcW w:w="36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1,598</w:t>
            </w:r>
          </w:p>
        </w:tc>
      </w:tr>
      <w:tr>
        <w:trPr>
          <w:trHeight w:val="20"/>
        </w:trPr>
        <w:tc>
          <w:tcPr>
            <w:tcW w:w="5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620" w:type="dxa"/>
            <w:vAlign w:val="bottom"/>
          </w:tcPr>
          <w:p>
            <w:pPr>
              <w:spacing w:after="0" w:line="196" w:lineRule="exact"/>
              <w:rPr>
                <w:sz w:val="20"/>
                <w:szCs w:val="20"/>
                <w:color w:val="auto"/>
              </w:rPr>
            </w:pPr>
            <w:r>
              <w:rPr>
                <w:rFonts w:ascii="Arial" w:cs="Arial" w:eastAsia="Arial" w:hAnsi="Arial"/>
                <w:sz w:val="18"/>
                <w:szCs w:val="18"/>
                <w:color w:val="auto"/>
              </w:rPr>
              <w:t>Vested or expected to vest at December 31, 2019</w:t>
            </w: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9,728,458</w:t>
            </w:r>
          </w:p>
        </w:tc>
        <w:tc>
          <w:tcPr>
            <w:tcW w:w="260" w:type="dxa"/>
            <w:vAlign w:val="bottom"/>
          </w:tcPr>
          <w:p>
            <w:pPr>
              <w:spacing w:after="0"/>
              <w:rPr>
                <w:sz w:val="17"/>
                <w:szCs w:val="17"/>
                <w:color w:val="auto"/>
              </w:rPr>
            </w:pPr>
          </w:p>
        </w:tc>
        <w:tc>
          <w:tcPr>
            <w:tcW w:w="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0.64</w:t>
            </w:r>
          </w:p>
        </w:tc>
        <w:tc>
          <w:tcPr>
            <w:tcW w:w="10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7.27</w:t>
            </w:r>
          </w:p>
        </w:tc>
        <w:tc>
          <w:tcPr>
            <w:tcW w:w="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2,627</w:t>
            </w:r>
          </w:p>
        </w:tc>
      </w:tr>
      <w:tr>
        <w:trPr>
          <w:trHeight w:val="20"/>
        </w:trPr>
        <w:tc>
          <w:tcPr>
            <w:tcW w:w="5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60" w:right="140"/>
        <w:spacing w:after="0"/>
        <w:rPr>
          <w:sz w:val="20"/>
          <w:szCs w:val="20"/>
          <w:color w:val="auto"/>
        </w:rPr>
      </w:pPr>
      <w:r>
        <w:rPr>
          <w:rFonts w:ascii="Arial" w:cs="Arial" w:eastAsia="Arial" w:hAnsi="Arial"/>
          <w:sz w:val="18"/>
          <w:szCs w:val="18"/>
          <w:color w:val="auto"/>
        </w:rPr>
        <w:t>The aggregate intrinsic value was calculated as the difference between exercise price of the underlying awards and the calculated price of the Company’s common stock at December 31, 2019. The aggregate intrinsic value of stock options exercised during the years ended December 31, 2018 and 2019 was $35 and $7, respectively.</w:t>
      </w:r>
    </w:p>
    <w:p>
      <w:pPr>
        <w:spacing w:after="0" w:line="95" w:lineRule="exact"/>
        <w:rPr>
          <w:sz w:val="20"/>
          <w:szCs w:val="20"/>
          <w:color w:val="auto"/>
        </w:rPr>
      </w:pPr>
    </w:p>
    <w:p>
      <w:pPr>
        <w:ind w:left="660" w:right="780"/>
        <w:spacing w:after="0" w:line="246" w:lineRule="auto"/>
        <w:rPr>
          <w:sz w:val="20"/>
          <w:szCs w:val="20"/>
          <w:color w:val="auto"/>
        </w:rPr>
      </w:pPr>
      <w:r>
        <w:rPr>
          <w:rFonts w:ascii="Arial" w:cs="Arial" w:eastAsia="Arial" w:hAnsi="Arial"/>
          <w:sz w:val="18"/>
          <w:szCs w:val="18"/>
          <w:color w:val="auto"/>
        </w:rPr>
        <w:t>The Company received cash proceeds from the exercise of common stock options of $82 and $28 during the years ended December 31, 2018 and 2019, respectively.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F-110</w:t>
      </w:r>
    </w:p>
    <w:p>
      <w:pPr>
        <w:sectPr>
          <w:pgSz w:w="11900" w:h="16838" w:orient="portrait"/>
          <w:cols w:equalWidth="0" w:num="1">
            <w:col w:w="11140"/>
          </w:cols>
          <w:pgMar w:left="320" w:top="459" w:right="4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400"/>
        <w:spacing w:after="0" w:line="246"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2018 and 2019 was $0.68 per share and $0.80 per share, respectively.</w:t>
      </w:r>
    </w:p>
    <w:p>
      <w:pPr>
        <w:spacing w:after="0" w:line="89"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that uses the assumptions noted in the table below.</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granted options to purchase ordinary shares to non-employee consultants as of December 31, 2019 as follows: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Options</w:t>
            </w: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Cancelled</w:t>
            </w: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Outstanding as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and</w:t>
            </w: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Options for</w:t>
            </w:r>
          </w:p>
        </w:tc>
        <w:tc>
          <w:tcPr>
            <w:tcW w:w="40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Forfeited</w:t>
            </w: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Options</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69"/>
        </w:trPr>
        <w:tc>
          <w:tcPr>
            <w:tcW w:w="3400" w:type="dxa"/>
            <w:vAlign w:val="bottom"/>
            <w:gridSpan w:val="2"/>
            <w:vMerge w:val="continue"/>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During 2019</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Price</w:t>
            </w: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Exercisable</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Through</w:t>
            </w:r>
          </w:p>
        </w:tc>
        <w:tc>
          <w:tcPr>
            <w:tcW w:w="0" w:type="dxa"/>
            <w:vAlign w:val="bottom"/>
          </w:tcPr>
          <w:p>
            <w:pPr>
              <w:spacing w:after="0"/>
              <w:rPr>
                <w:sz w:val="1"/>
                <w:szCs w:val="1"/>
                <w:color w:val="auto"/>
              </w:rPr>
            </w:pPr>
          </w:p>
        </w:tc>
      </w:tr>
      <w:tr>
        <w:trPr>
          <w:trHeight w:val="162"/>
        </w:trPr>
        <w:tc>
          <w:tcPr>
            <w:tcW w:w="980" w:type="dxa"/>
            <w:vAlign w:val="bottom"/>
            <w:tcBorders>
              <w:top w:val="single" w:sz="8" w:color="auto"/>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(Number)</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480" w:type="dxa"/>
            <w:vAlign w:val="bottom"/>
            <w:tcBorders>
              <w:top w:val="single" w:sz="8" w:color="auto"/>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August 27, 2018</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20,000</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20,000</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0.68</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20,000</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8/27/2028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0.68</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20,000</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100"/>
        <w:spacing w:after="0" w:line="246" w:lineRule="auto"/>
        <w:rPr>
          <w:sz w:val="20"/>
          <w:szCs w:val="20"/>
          <w:color w:val="auto"/>
        </w:rPr>
      </w:pPr>
      <w:r>
        <w:rPr>
          <w:rFonts w:ascii="Arial" w:cs="Arial" w:eastAsia="Arial" w:hAnsi="Arial"/>
          <w:sz w:val="18"/>
          <w:szCs w:val="18"/>
          <w:color w:val="auto"/>
        </w:rPr>
        <w:t>Total stock-based compensation expenses resulting from stock options included in the statement of operations for the years ended December 31, 2019 and 2018 were $1,347 and $745, respectively.</w:t>
      </w:r>
    </w:p>
    <w:p>
      <w:pPr>
        <w:spacing w:after="0" w:line="89" w:lineRule="exact"/>
        <w:rPr>
          <w:sz w:val="20"/>
          <w:szCs w:val="20"/>
          <w:color w:val="auto"/>
        </w:rPr>
      </w:pPr>
    </w:p>
    <w:p>
      <w:pPr>
        <w:ind w:left="660" w:right="20"/>
        <w:spacing w:after="0" w:line="246" w:lineRule="auto"/>
        <w:rPr>
          <w:sz w:val="20"/>
          <w:szCs w:val="20"/>
          <w:color w:val="auto"/>
        </w:rPr>
      </w:pPr>
      <w:r>
        <w:rPr>
          <w:rFonts w:ascii="Arial" w:cs="Arial" w:eastAsia="Arial" w:hAnsi="Arial"/>
          <w:sz w:val="18"/>
          <w:szCs w:val="18"/>
          <w:color w:val="auto"/>
        </w:rPr>
        <w:t>As of December 31, 2019 there was $1,437 of total unrecognized compensation expense related to unvested stock options which is expected to be recognized over a weighted-average period of 2.3 years.</w:t>
      </w:r>
    </w:p>
    <w:p>
      <w:pPr>
        <w:spacing w:after="0" w:line="89"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The following table summarizes the stock-based compensation expense for stock options granted to employees that was recorded in the Company’s consolidated statements of operations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8"/>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86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661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stock-based compensation expense</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1,347</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TERM LOAN</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220" w:type="dxa"/>
            <w:vAlign w:val="bottom"/>
            <w:gridSpan w:val="2"/>
          </w:tcPr>
          <w:p>
            <w:pPr>
              <w:ind w:left="440"/>
              <w:spacing w:after="0"/>
              <w:rPr>
                <w:sz w:val="20"/>
                <w:szCs w:val="20"/>
                <w:color w:val="auto"/>
              </w:rPr>
            </w:pPr>
            <w:r>
              <w:rPr>
                <w:rFonts w:ascii="Arial" w:cs="Arial" w:eastAsia="Arial" w:hAnsi="Arial"/>
                <w:sz w:val="18"/>
                <w:szCs w:val="18"/>
                <w:color w:val="auto"/>
              </w:rPr>
              <w:t>The components of the Company’s outstanding debt consisted of the following (in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8"/>
          </w:tcPr>
          <w:p>
            <w:pPr>
              <w:ind w:left="2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540" w:type="dxa"/>
            <w:vAlign w:val="bottom"/>
            <w:tcBorders>
              <w:bottom w:val="single" w:sz="8" w:color="CCEEFF"/>
            </w:tcBorders>
          </w:tcPr>
          <w:p>
            <w:pPr>
              <w:spacing w:after="0"/>
              <w:rPr>
                <w:sz w:val="13"/>
                <w:szCs w:val="13"/>
                <w:color w:val="auto"/>
              </w:rPr>
            </w:pPr>
          </w:p>
        </w:tc>
        <w:tc>
          <w:tcPr>
            <w:tcW w:w="868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gridSpan w:val="3"/>
          </w:tcPr>
          <w:p>
            <w:pPr>
              <w:jc w:val="right"/>
              <w:ind w:right="9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gridSpan w:val="3"/>
          </w:tcPr>
          <w:p>
            <w:pPr>
              <w:jc w:val="right"/>
              <w:ind w:right="9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Term Loan</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5,000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gridSpan w:val="2"/>
          </w:tcPr>
          <w:p>
            <w:pPr>
              <w:spacing w:after="0" w:line="202" w:lineRule="exact"/>
              <w:rPr>
                <w:sz w:val="20"/>
                <w:szCs w:val="20"/>
                <w:color w:val="auto"/>
              </w:rPr>
            </w:pPr>
            <w:r>
              <w:rPr>
                <w:rFonts w:ascii="Arial" w:cs="Arial" w:eastAsia="Arial" w:hAnsi="Arial"/>
                <w:sz w:val="18"/>
                <w:szCs w:val="18"/>
                <w:color w:val="auto"/>
              </w:rPr>
              <w:t>Less unamortized debt discount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w:t>
            </w:r>
          </w:p>
        </w:tc>
        <w:tc>
          <w:tcPr>
            <w:tcW w:w="7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(2,200)</w:t>
            </w:r>
          </w:p>
        </w:tc>
        <w:tc>
          <w:tcPr>
            <w:tcW w:w="24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(1,820)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20" w:type="dxa"/>
            <w:vAlign w:val="bottom"/>
            <w:gridSpan w:val="2"/>
          </w:tcPr>
          <w:p>
            <w:pPr>
              <w:spacing w:after="0"/>
              <w:rPr>
                <w:sz w:val="20"/>
                <w:szCs w:val="20"/>
                <w:color w:val="auto"/>
              </w:rPr>
            </w:pPr>
            <w:r>
              <w:rPr>
                <w:rFonts w:ascii="Arial" w:cs="Arial" w:eastAsia="Arial" w:hAnsi="Arial"/>
                <w:sz w:val="18"/>
                <w:szCs w:val="18"/>
                <w:color w:val="auto"/>
              </w:rPr>
              <w:t>Long term debt, net</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3,158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680" w:type="dxa"/>
            <w:vAlign w:val="bottom"/>
            <w:vMerge w:val="restart"/>
          </w:tcPr>
          <w:p>
            <w:pPr>
              <w:ind w:left="4720"/>
              <w:spacing w:after="0"/>
              <w:rPr>
                <w:sz w:val="20"/>
                <w:szCs w:val="20"/>
                <w:color w:val="auto"/>
              </w:rPr>
            </w:pPr>
            <w:r>
              <w:rPr>
                <w:rFonts w:ascii="Arial" w:cs="Arial" w:eastAsia="Arial" w:hAnsi="Arial"/>
                <w:sz w:val="18"/>
                <w:szCs w:val="18"/>
                <w:color w:val="auto"/>
              </w:rPr>
              <w:t>F-111</w:t>
            </w: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Loan and Security Agreement</w:t>
      </w:r>
    </w:p>
    <w:p>
      <w:pPr>
        <w:spacing w:after="0" w:line="12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On January 29, 2018 The Company entered into a loan and security agreement under which the Company borrowed $5,000 from a financial institution with interest at a rate of prime plus 3% (7.5%). The loan is for a period of 42 months and bears interest of one percent above the prime rate, which is to be paid monthly. The principal of the loan is to be paid in 30 monthly payments, beginning in February 10, 2019.</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On the date of the loan and security agreement the Company issued warrants to the financial institution to purchase shares at the amount of $ 100 at an exercise price per share that will be determined as the lower of: (i) $ 1.0507 and (ii) the price per share at which the Company sells and issues shares of Preferred Stock to investors in the Company’s next preferred stock financing following the issue date of these warrants.</w:t>
      </w:r>
    </w:p>
    <w:p>
      <w:pPr>
        <w:spacing w:after="0" w:line="20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On April 10, 2019, the Company entered into an amendment agreement to the loan and security agreement, which deferred the principal repayment date. As part of the amendment, the Company issued additional warrants to the financial institution in the same terms and conditions as the warrants issued before. The amendment extended the interest only period to continue through January 2020. The interest rate remained unchanged at prime plus 3% (rate at December 31, 2019 of 7.75%).</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accounted for this amendment as a debt modification.</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Future Principal Payments</w:t>
      </w:r>
    </w:p>
    <w:p>
      <w:pPr>
        <w:spacing w:after="0" w:line="122"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As of December 31, 2019, the aggregate minimum future principal payments due in connection with the Company’s Term Loan in the next five years were as follows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60" w:type="dxa"/>
            <w:vAlign w:val="bottom"/>
            <w:shd w:val="clear" w:color="auto" w:fill="CCEEFF"/>
          </w:tcPr>
          <w:p>
            <w:pPr>
              <w:spacing w:after="0"/>
              <w:rPr>
                <w:sz w:val="18"/>
                <w:szCs w:val="18"/>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2,400</w:t>
            </w: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9"/>
        </w:trPr>
        <w:tc>
          <w:tcPr>
            <w:tcW w:w="103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r>
      <w:tr>
        <w:trPr>
          <w:trHeight w:val="20"/>
        </w:trPr>
        <w:tc>
          <w:tcPr>
            <w:tcW w:w="10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2018, the Company recorded interest expense of $211. In 2019, the Company recorded interest expense of $325.</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February 2020, Simplificare was acquired by Flywire Corporation. Proceeds from the sale were used to pay off the outstanding</w:t>
      </w:r>
    </w:p>
    <w:p>
      <w:pPr>
        <w:ind w:left="120"/>
        <w:spacing w:after="0"/>
        <w:rPr>
          <w:sz w:val="20"/>
          <w:szCs w:val="20"/>
          <w:color w:val="auto"/>
        </w:rPr>
      </w:pPr>
      <w:r>
        <w:rPr>
          <w:rFonts w:ascii="Arial" w:cs="Arial" w:eastAsia="Arial" w:hAnsi="Arial"/>
          <w:sz w:val="18"/>
          <w:szCs w:val="18"/>
          <w:color w:val="auto"/>
        </w:rPr>
        <w:t>debt.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COMMITMENTS AND CONTINGENT LIABILITIES</w:t>
      </w:r>
    </w:p>
    <w:p>
      <w:pPr>
        <w:spacing w:after="0" w:line="139" w:lineRule="exact"/>
        <w:rPr>
          <w:sz w:val="20"/>
          <w:szCs w:val="20"/>
          <w:color w:val="auto"/>
        </w:rPr>
      </w:pPr>
    </w:p>
    <w:p>
      <w:pPr>
        <w:ind w:left="660" w:hanging="544"/>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Lease commitments:</w:t>
      </w:r>
    </w:p>
    <w:p>
      <w:pPr>
        <w:spacing w:after="0" w:line="103" w:lineRule="exact"/>
        <w:rPr>
          <w:rFonts w:ascii="Arial" w:cs="Arial" w:eastAsia="Arial" w:hAnsi="Arial"/>
          <w:sz w:val="18"/>
          <w:szCs w:val="18"/>
          <w:color w:val="auto"/>
        </w:rPr>
      </w:pPr>
    </w:p>
    <w:p>
      <w:pPr>
        <w:ind w:left="660" w:right="160"/>
        <w:spacing w:after="0"/>
        <w:rPr>
          <w:rFonts w:ascii="Arial" w:cs="Arial" w:eastAsia="Arial" w:hAnsi="Arial"/>
          <w:sz w:val="18"/>
          <w:szCs w:val="18"/>
          <w:color w:val="auto"/>
        </w:rPr>
      </w:pPr>
      <w:r>
        <w:rPr>
          <w:rFonts w:ascii="Arial" w:cs="Arial" w:eastAsia="Arial" w:hAnsi="Arial"/>
          <w:sz w:val="18"/>
          <w:szCs w:val="18"/>
          <w:color w:val="auto"/>
        </w:rPr>
        <w:t>The Company and its subsidiary rent their facilities under various operating lease agreements, which as of December 31, 2019 expire on various dates, the latest of which is in 2020. The lease agreement includes an option to continue the lease for additional two years.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F-112</w:t>
      </w:r>
    </w:p>
    <w:p>
      <w:pPr>
        <w:sectPr>
          <w:pgSz w:w="11900" w:h="16838" w:orient="portrait"/>
          <w:cols w:equalWidth="0" w:num="1">
            <w:col w:w="11140"/>
          </w:cols>
          <w:pgMar w:left="320" w:top="459"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minimum rental payments under non-cancelable operating leases are as follows: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4"/>
          <w:szCs w:val="14"/>
          <w:b w:val="1"/>
          <w:bCs w:val="1"/>
          <w:u w:val="single" w:color="auto"/>
          <w:color w:val="auto"/>
        </w:rPr>
        <w:t>Year Ended December 31,</w:t>
      </w:r>
    </w:p>
    <w:p>
      <w:pPr>
        <w:spacing w:after="0" w:line="27" w:lineRule="exact"/>
        <w:rPr>
          <w:sz w:val="20"/>
          <w:szCs w:val="20"/>
          <w:color w:val="auto"/>
        </w:rPr>
      </w:pPr>
    </w:p>
    <w:p>
      <w:pPr>
        <w:ind w:left="660"/>
        <w:spacing w:after="0"/>
        <w:tabs>
          <w:tab w:leader="none" w:pos="1076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-130175</wp:posOffset>
            </wp:positionV>
            <wp:extent cx="6643370" cy="1371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643370" cy="137160"/>
                    </a:xfrm>
                    <a:prstGeom prst="rect">
                      <a:avLst/>
                    </a:prstGeom>
                    <a:noFill/>
                  </pic:spPr>
                </pic:pic>
              </a:graphicData>
            </a:graphic>
          </wp:anchor>
        </w:drawing>
      </w:r>
    </w:p>
    <w:p>
      <w:pPr>
        <w:spacing w:after="0" w:line="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-1905</wp:posOffset>
            </wp:positionV>
            <wp:extent cx="23177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14605</wp:posOffset>
            </wp:positionV>
            <wp:extent cx="23177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for the years ended December 31, 2018 and 2019, was $364 and $439, respectively.</w:t>
      </w:r>
    </w:p>
    <w:p>
      <w:pPr>
        <w:spacing w:after="0" w:line="117" w:lineRule="exact"/>
        <w:rPr>
          <w:sz w:val="20"/>
          <w:szCs w:val="20"/>
          <w:color w:val="auto"/>
        </w:rPr>
      </w:pPr>
    </w:p>
    <w:p>
      <w:pPr>
        <w:ind w:left="660" w:hanging="544"/>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Guarantee</w:t>
      </w:r>
    </w:p>
    <w:p>
      <w:pPr>
        <w:spacing w:after="0" w:line="103" w:lineRule="exact"/>
        <w:rPr>
          <w:rFonts w:ascii="Arial" w:cs="Arial" w:eastAsia="Arial" w:hAnsi="Arial"/>
          <w:sz w:val="18"/>
          <w:szCs w:val="18"/>
          <w:color w:val="auto"/>
        </w:rPr>
      </w:pPr>
    </w:p>
    <w:p>
      <w:pPr>
        <w:ind w:left="660" w:right="740"/>
        <w:spacing w:after="0" w:line="246" w:lineRule="auto"/>
        <w:rPr>
          <w:rFonts w:ascii="Arial" w:cs="Arial" w:eastAsia="Arial" w:hAnsi="Arial"/>
          <w:sz w:val="18"/>
          <w:szCs w:val="18"/>
          <w:color w:val="auto"/>
        </w:rPr>
      </w:pPr>
      <w:r>
        <w:rPr>
          <w:rFonts w:ascii="Arial" w:cs="Arial" w:eastAsia="Arial" w:hAnsi="Arial"/>
          <w:sz w:val="18"/>
          <w:szCs w:val="18"/>
          <w:color w:val="auto"/>
        </w:rPr>
        <w:t>As of December 31, 2019, contingent liabilities exist regarding guarantee in the amount of $8 in respect of office rent lease agreement.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TAXES ON INCOME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Tax laws applicable to the Company:</w:t>
      </w:r>
    </w:p>
    <w:p>
      <w:pPr>
        <w:spacing w:after="0" w:line="117" w:lineRule="exact"/>
        <w:rPr>
          <w:sz w:val="20"/>
          <w:szCs w:val="20"/>
          <w:color w:val="auto"/>
        </w:rPr>
      </w:pPr>
    </w:p>
    <w:p>
      <w:pPr>
        <w:ind w:left="660" w:hanging="544"/>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US tax rates:</w:t>
      </w:r>
    </w:p>
    <w:p>
      <w:pPr>
        <w:spacing w:after="0" w:line="103" w:lineRule="exact"/>
        <w:rPr>
          <w:rFonts w:ascii="Arial" w:cs="Arial" w:eastAsia="Arial" w:hAnsi="Arial"/>
          <w:sz w:val="18"/>
          <w:szCs w:val="18"/>
          <w:color w:val="auto"/>
        </w:rPr>
      </w:pPr>
    </w:p>
    <w:p>
      <w:pPr>
        <w:ind w:left="660" w:right="380"/>
        <w:spacing w:after="0" w:line="246" w:lineRule="auto"/>
        <w:rPr>
          <w:rFonts w:ascii="Arial" w:cs="Arial" w:eastAsia="Arial" w:hAnsi="Arial"/>
          <w:sz w:val="18"/>
          <w:szCs w:val="18"/>
          <w:color w:val="auto"/>
        </w:rPr>
      </w:pPr>
      <w:r>
        <w:rPr>
          <w:rFonts w:ascii="Arial" w:cs="Arial" w:eastAsia="Arial" w:hAnsi="Arial"/>
          <w:sz w:val="18"/>
          <w:szCs w:val="18"/>
          <w:color w:val="auto"/>
        </w:rPr>
        <w:t>The company files income tax return in the U.S. federal jurisdiction and various state and local jurisdiction, the principal tax rate applicable to the Company is 21%.</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Israeli tax rates:</w:t>
      </w:r>
    </w:p>
    <w:p>
      <w:pPr>
        <w:spacing w:after="0" w:line="103" w:lineRule="exact"/>
        <w:rPr>
          <w:rFonts w:ascii="Arial" w:cs="Arial" w:eastAsia="Arial" w:hAnsi="Arial"/>
          <w:sz w:val="18"/>
          <w:szCs w:val="18"/>
          <w:color w:val="auto"/>
        </w:rPr>
      </w:pPr>
    </w:p>
    <w:p>
      <w:pPr>
        <w:ind w:left="660" w:right="620"/>
        <w:spacing w:after="0" w:line="246" w:lineRule="auto"/>
        <w:rPr>
          <w:rFonts w:ascii="Arial" w:cs="Arial" w:eastAsia="Arial" w:hAnsi="Arial"/>
          <w:sz w:val="18"/>
          <w:szCs w:val="18"/>
          <w:color w:val="auto"/>
        </w:rPr>
      </w:pPr>
      <w:r>
        <w:rPr>
          <w:rFonts w:ascii="Arial" w:cs="Arial" w:eastAsia="Arial" w:hAnsi="Arial"/>
          <w:sz w:val="18"/>
          <w:szCs w:val="18"/>
          <w:color w:val="auto"/>
        </w:rPr>
        <w:t>The company subsidiary is taxed at rates lower than the US rates. Tax benefits under Israel’s Law for the Encouragement of Industry (Taxes), 1969:</w:t>
      </w:r>
    </w:p>
    <w:p>
      <w:pPr>
        <w:spacing w:after="0" w:line="88" w:lineRule="exact"/>
        <w:rPr>
          <w:rFonts w:ascii="Arial" w:cs="Arial" w:eastAsia="Arial" w:hAnsi="Arial"/>
          <w:sz w:val="18"/>
          <w:szCs w:val="18"/>
          <w:color w:val="auto"/>
        </w:rPr>
      </w:pPr>
    </w:p>
    <w:p>
      <w:pPr>
        <w:ind w:left="660" w:right="60"/>
        <w:spacing w:after="0" w:line="246" w:lineRule="auto"/>
        <w:rPr>
          <w:rFonts w:ascii="Arial" w:cs="Arial" w:eastAsia="Arial" w:hAnsi="Arial"/>
          <w:sz w:val="18"/>
          <w:szCs w:val="18"/>
          <w:color w:val="auto"/>
        </w:rPr>
      </w:pPr>
      <w:r>
        <w:rPr>
          <w:rFonts w:ascii="Arial" w:cs="Arial" w:eastAsia="Arial" w:hAnsi="Arial"/>
          <w:sz w:val="18"/>
          <w:szCs w:val="18"/>
          <w:color w:val="auto"/>
        </w:rPr>
        <w:t>The Company is an “Industrial Company,” as defined by the Law for the Encouragement of Industry (Taxes), 1969 (“The Law”), The Company chose to be taxed according to the</w:t>
      </w:r>
    </w:p>
    <w:p>
      <w:pPr>
        <w:spacing w:after="0" w:line="88" w:lineRule="exact"/>
        <w:rPr>
          <w:rFonts w:ascii="Arial" w:cs="Arial" w:eastAsia="Arial" w:hAnsi="Arial"/>
          <w:sz w:val="18"/>
          <w:szCs w:val="18"/>
          <w:color w:val="auto"/>
        </w:rPr>
      </w:pPr>
    </w:p>
    <w:p>
      <w:pPr>
        <w:ind w:left="660" w:right="80"/>
        <w:spacing w:after="0"/>
        <w:rPr>
          <w:rFonts w:ascii="Arial" w:cs="Arial" w:eastAsia="Arial" w:hAnsi="Arial"/>
          <w:sz w:val="18"/>
          <w:szCs w:val="18"/>
          <w:color w:val="auto"/>
        </w:rPr>
      </w:pPr>
      <w:r>
        <w:rPr>
          <w:rFonts w:ascii="Arial" w:cs="Arial" w:eastAsia="Arial" w:hAnsi="Arial"/>
          <w:sz w:val="18"/>
          <w:szCs w:val="18"/>
          <w:color w:val="auto"/>
        </w:rPr>
        <w:t>“Preferred Enterprise” track, and as such, the Company is entitled to certain tax benefits, the tax rate on preferred income form a preferred enterprise is 16%. Any dividends distributed to individuals or foreign residents from the preferred enterprise’s earnings as above will be subject to tax at a rate of 20%.</w:t>
      </w:r>
    </w:p>
    <w:p>
      <w:pPr>
        <w:spacing w:after="0" w:line="108" w:lineRule="exact"/>
        <w:rPr>
          <w:rFonts w:ascii="Arial" w:cs="Arial" w:eastAsia="Arial" w:hAnsi="Arial"/>
          <w:sz w:val="18"/>
          <w:szCs w:val="18"/>
          <w:color w:val="auto"/>
        </w:rPr>
      </w:pPr>
    </w:p>
    <w:p>
      <w:pPr>
        <w:ind w:left="660" w:hanging="544"/>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following table presents the components of loss before provision for income taxes (in thousands):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290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2900" w:type="dxa"/>
            <w:vAlign w:val="bottom"/>
            <w:tcBorders>
              <w:bottom w:val="single" w:sz="8" w:color="CCEEFF"/>
            </w:tcBorders>
          </w:tcPr>
          <w:p>
            <w:pPr>
              <w:spacing w:after="0"/>
              <w:rPr>
                <w:sz w:val="13"/>
                <w:szCs w:val="13"/>
                <w:color w:val="auto"/>
              </w:rPr>
            </w:pPr>
          </w:p>
        </w:tc>
        <w:tc>
          <w:tcPr>
            <w:tcW w:w="55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96"/>
        </w:trPr>
        <w:tc>
          <w:tcPr>
            <w:tcW w:w="2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55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(2,157)</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(5,391)</w:t>
            </w:r>
          </w:p>
        </w:tc>
        <w:tc>
          <w:tcPr>
            <w:tcW w:w="120" w:type="dxa"/>
            <w:vAlign w:val="bottom"/>
            <w:shd w:val="clear" w:color="auto" w:fill="CCEEFF"/>
          </w:tcPr>
          <w:p>
            <w:pPr>
              <w:spacing w:after="0"/>
              <w:rPr>
                <w:sz w:val="17"/>
                <w:szCs w:val="17"/>
                <w:color w:val="auto"/>
              </w:rPr>
            </w:pP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417</w:t>
            </w:r>
          </w:p>
        </w:tc>
        <w:tc>
          <w:tcPr>
            <w:tcW w:w="18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449</w:t>
            </w:r>
          </w:p>
        </w:tc>
      </w:tr>
      <w:tr>
        <w:trPr>
          <w:trHeight w:val="27"/>
        </w:trPr>
        <w:tc>
          <w:tcPr>
            <w:tcW w:w="29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90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(1,740)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(4,942)</w:t>
            </w:r>
          </w:p>
        </w:tc>
      </w:tr>
      <w:tr>
        <w:trPr>
          <w:trHeight w:val="20"/>
        </w:trPr>
        <w:tc>
          <w:tcPr>
            <w:tcW w:w="29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900" w:type="dxa"/>
            <w:vAlign w:val="bottom"/>
          </w:tcPr>
          <w:p>
            <w:pPr>
              <w:spacing w:after="0"/>
              <w:rPr>
                <w:sz w:val="24"/>
                <w:szCs w:val="24"/>
                <w:color w:val="auto"/>
              </w:rPr>
            </w:pPr>
          </w:p>
        </w:tc>
        <w:tc>
          <w:tcPr>
            <w:tcW w:w="5740" w:type="dxa"/>
            <w:vAlign w:val="bottom"/>
            <w:gridSpan w:val="2"/>
          </w:tcPr>
          <w:p>
            <w:pPr>
              <w:jc w:val="right"/>
              <w:ind w:right="3350"/>
              <w:spacing w:after="0"/>
              <w:rPr>
                <w:sz w:val="20"/>
                <w:szCs w:val="20"/>
                <w:color w:val="auto"/>
              </w:rPr>
            </w:pPr>
            <w:r>
              <w:rPr>
                <w:rFonts w:ascii="Arial" w:cs="Arial" w:eastAsia="Arial" w:hAnsi="Arial"/>
                <w:sz w:val="18"/>
                <w:szCs w:val="18"/>
                <w:color w:val="auto"/>
              </w:rPr>
              <w:t>F-113</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300" w:hanging="644"/>
        <w:spacing w:after="0"/>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following table summarizes the components of the Company’s provision for income taxes (in thousands):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20" w:type="dxa"/>
            <w:vAlign w:val="bottom"/>
            <w:tcBorders>
              <w:top w:val="single" w:sz="8" w:color="auto"/>
            </w:tcBorders>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4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Current</w:t>
            </w:r>
          </w:p>
        </w:tc>
        <w:tc>
          <w:tcPr>
            <w:tcW w:w="27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United States:</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Federal</w:t>
            </w:r>
          </w:p>
        </w:tc>
        <w:tc>
          <w:tcPr>
            <w:tcW w:w="2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State</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60" w:type="dxa"/>
            <w:vAlign w:val="bottom"/>
            <w:gridSpan w:val="5"/>
          </w:tcPr>
          <w:p>
            <w:pPr>
              <w:spacing w:after="0"/>
              <w:rPr>
                <w:sz w:val="20"/>
                <w:szCs w:val="20"/>
                <w:color w:val="auto"/>
              </w:rPr>
            </w:pPr>
            <w:r>
              <w:rPr>
                <w:rFonts w:ascii="Arial" w:cs="Arial" w:eastAsia="Arial" w:hAnsi="Arial"/>
                <w:sz w:val="18"/>
                <w:szCs w:val="18"/>
                <w:color w:val="auto"/>
              </w:rPr>
              <w:t>Total current provision for income taxes</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Prior</w:t>
            </w:r>
          </w:p>
        </w:tc>
        <w:tc>
          <w:tcPr>
            <w:tcW w:w="27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United States:</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Federal</w:t>
            </w:r>
          </w:p>
        </w:tc>
        <w:tc>
          <w:tcPr>
            <w:tcW w:w="2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State</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5"/>
          </w:tcPr>
          <w:p>
            <w:pPr>
              <w:spacing w:after="0"/>
              <w:rPr>
                <w:sz w:val="20"/>
                <w:szCs w:val="20"/>
                <w:color w:val="auto"/>
              </w:rPr>
            </w:pPr>
            <w:r>
              <w:rPr>
                <w:rFonts w:ascii="Arial" w:cs="Arial" w:eastAsia="Arial" w:hAnsi="Arial"/>
                <w:sz w:val="18"/>
                <w:szCs w:val="18"/>
                <w:color w:val="auto"/>
              </w:rPr>
              <w:t>Total provision for prior tax increase</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Deferred</w:t>
            </w:r>
          </w:p>
        </w:tc>
        <w:tc>
          <w:tcPr>
            <w:tcW w:w="27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United States:</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Federal</w:t>
            </w:r>
          </w:p>
        </w:tc>
        <w:tc>
          <w:tcPr>
            <w:tcW w:w="2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State</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60" w:type="dxa"/>
            <w:vAlign w:val="bottom"/>
            <w:gridSpan w:val="5"/>
          </w:tcPr>
          <w:p>
            <w:pPr>
              <w:spacing w:after="0"/>
              <w:rPr>
                <w:sz w:val="20"/>
                <w:szCs w:val="20"/>
                <w:color w:val="auto"/>
              </w:rPr>
            </w:pPr>
            <w:r>
              <w:rPr>
                <w:rFonts w:ascii="Arial" w:cs="Arial" w:eastAsia="Arial" w:hAnsi="Arial"/>
                <w:sz w:val="18"/>
                <w:szCs w:val="18"/>
                <w:color w:val="auto"/>
              </w:rPr>
              <w:t>Total deferred income tax provision (benefit)</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Total income tax provision</w:t>
            </w:r>
          </w:p>
        </w:tc>
        <w:tc>
          <w:tcPr>
            <w:tcW w:w="27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60" w:hanging="544"/>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8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6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104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21%</w:t>
            </w:r>
          </w:p>
        </w:tc>
        <w:tc>
          <w:tcPr>
            <w:tcW w:w="7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Permanent differences</w:t>
            </w: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(6.1)</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Equity-based compensation</w:t>
            </w:r>
          </w:p>
        </w:tc>
        <w:tc>
          <w:tcPr>
            <w:tcW w:w="10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(10.2)</w:t>
            </w: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Increase in taxes from prior years</w:t>
            </w: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(17.0)</w:t>
            </w: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0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(9.4)</w:t>
            </w: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(2.8)</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(24.5%)</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The significant reconciling items between the reported amounts of income tax expense and the amount of income tax expense that would result from applying the U.S. statutory tax rate include state income taxes, non-deductible equity based compensation, increase in taxes from prior years and a change in valuation allowance maintained against the Company’s net deferred tax assets. During the year ended December 31, 2019 the Company recorded an income tax expense of $449.</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F-114</w:t>
      </w:r>
    </w:p>
    <w:p>
      <w:pPr>
        <w:sectPr>
          <w:pgSz w:w="11900" w:h="16838" w:orient="portrait"/>
          <w:cols w:equalWidth="0" w:num="1">
            <w:col w:w="11140"/>
          </w:cols>
          <w:pgMar w:left="320" w:top="459" w:right="4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4" w:lineRule="exact"/>
        <w:rPr>
          <w:sz w:val="20"/>
          <w:szCs w:val="20"/>
          <w:color w:val="auto"/>
        </w:rPr>
      </w:pPr>
    </w:p>
    <w:p>
      <w:pPr>
        <w:ind w:left="660" w:hanging="544"/>
        <w:spacing w:after="0"/>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Company’s significant deferred tax assets and liabilities consisted of the following components as of December 31, 2019 and</w:t>
      </w:r>
    </w:p>
    <w:p>
      <w:pPr>
        <w:ind w:left="660"/>
        <w:spacing w:after="0"/>
        <w:rPr>
          <w:rFonts w:ascii="Arial" w:cs="Arial" w:eastAsia="Arial" w:hAnsi="Arial"/>
          <w:sz w:val="18"/>
          <w:szCs w:val="18"/>
          <w:color w:val="auto"/>
        </w:rPr>
      </w:pPr>
      <w:r>
        <w:rPr>
          <w:rFonts w:ascii="Arial" w:cs="Arial" w:eastAsia="Arial" w:hAnsi="Arial"/>
          <w:sz w:val="18"/>
          <w:szCs w:val="18"/>
          <w:color w:val="auto"/>
        </w:rPr>
        <w:t>2018 (in thousands):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20" w:type="dxa"/>
            <w:vAlign w:val="bottom"/>
          </w:tcPr>
          <w:p>
            <w:pPr>
              <w:spacing w:after="0"/>
              <w:rPr>
                <w:sz w:val="13"/>
                <w:szCs w:val="13"/>
                <w:color w:val="auto"/>
              </w:rPr>
            </w:pPr>
          </w:p>
        </w:tc>
        <w:tc>
          <w:tcPr>
            <w:tcW w:w="85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8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7,491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7,281</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w:t>
            </w: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39</w:t>
            </w:r>
          </w:p>
        </w:tc>
      </w:tr>
      <w:tr>
        <w:trPr>
          <w:trHeight w:val="209"/>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and other reserves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7,577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7,407</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assets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Deferred tax asset valuation allowance</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(7,407)</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80"/>
        <w:spacing w:after="0" w:line="237" w:lineRule="auto"/>
        <w:rPr>
          <w:sz w:val="20"/>
          <w:szCs w:val="20"/>
          <w:color w:val="auto"/>
        </w:rPr>
      </w:pPr>
      <w:r>
        <w:rPr>
          <w:rFonts w:ascii="Arial" w:cs="Arial" w:eastAsia="Arial" w:hAnsi="Arial"/>
          <w:sz w:val="18"/>
          <w:szCs w:val="18"/>
          <w:color w:val="auto"/>
        </w:rPr>
        <w:t>In assessing the realizability of its deferred tax assets, the Company considered whether it was more likely than not that some portion or all of the deferred tax assets would not be realized. The realization of deferred tax assets depends upon the generation of future taxable income prior to the expiration of the net operating loss carryforward. The Company has evaluated the positive and negative evidence bearing upon the realizability and determined that it is more likely than not that the Company will not realize the benefits of the deferred tax assets, and as a result, a full valuation allowance has been established against the deferred tax assets as of December 31, 2019 and 2018.</w:t>
      </w:r>
    </w:p>
    <w:p>
      <w:pPr>
        <w:spacing w:after="0" w:line="97" w:lineRule="exact"/>
        <w:rPr>
          <w:sz w:val="20"/>
          <w:szCs w:val="20"/>
          <w:color w:val="auto"/>
        </w:rPr>
      </w:pPr>
    </w:p>
    <w:p>
      <w:pPr>
        <w:ind w:left="660" w:right="20"/>
        <w:spacing w:after="0" w:line="238" w:lineRule="auto"/>
        <w:rPr>
          <w:sz w:val="20"/>
          <w:szCs w:val="20"/>
          <w:color w:val="auto"/>
        </w:rPr>
      </w:pPr>
      <w:r>
        <w:rPr>
          <w:rFonts w:ascii="Arial" w:cs="Arial" w:eastAsia="Arial" w:hAnsi="Arial"/>
          <w:sz w:val="18"/>
          <w:szCs w:val="18"/>
          <w:color w:val="auto"/>
        </w:rPr>
        <w:t>During the years ended December 31, 2019 the Company recorded an increase in the valuation allowance of $ 170. During the year ended December 31, 2018, the Company recorded an increase in the valuation allowance of $893. Changes in the valuation allowance for deferred tax assets related primarily to the increase in net operating loss carryforwards. Changes in the valuation allowance are summarized as follows (in thousands):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allowance at beginning of year</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(7,407)</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(6,514)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spacing w:after="0" w:line="202" w:lineRule="exact"/>
              <w:rPr>
                <w:sz w:val="20"/>
                <w:szCs w:val="20"/>
                <w:color w:val="auto"/>
              </w:rPr>
            </w:pPr>
            <w:r>
              <w:rPr>
                <w:rFonts w:ascii="Arial" w:cs="Arial" w:eastAsia="Arial" w:hAnsi="Arial"/>
                <w:sz w:val="18"/>
                <w:szCs w:val="18"/>
                <w:color w:val="auto"/>
              </w:rPr>
              <w:t>Change recorded to income tax (provision) benefit</w:t>
            </w:r>
          </w:p>
        </w:tc>
        <w:tc>
          <w:tcPr>
            <w:tcW w:w="16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(170)</w:t>
            </w:r>
          </w:p>
        </w:tc>
        <w:tc>
          <w:tcPr>
            <w:tcW w:w="2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 at end of year</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(7,577)</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380"/>
        <w:spacing w:after="0"/>
        <w:rPr>
          <w:sz w:val="20"/>
          <w:szCs w:val="20"/>
          <w:color w:val="auto"/>
        </w:rPr>
      </w:pPr>
      <w:r>
        <w:rPr>
          <w:rFonts w:ascii="Arial" w:cs="Arial" w:eastAsia="Arial" w:hAnsi="Arial"/>
          <w:sz w:val="18"/>
          <w:szCs w:val="18"/>
          <w:color w:val="auto"/>
        </w:rPr>
        <w:t>The Company permanently reinvests the earnings, if any, of its foreign subsidiaries and, therefore, does not provide for U.S. income taxes that could result from the distribution of those earnings to the Company. As of December 31, 2020, the amount of unrecognized deferred U.S. taxes on these earnings would be de minimis.</w:t>
      </w:r>
    </w:p>
    <w:p>
      <w:pPr>
        <w:spacing w:after="0" w:line="95" w:lineRule="exact"/>
        <w:rPr>
          <w:sz w:val="20"/>
          <w:szCs w:val="20"/>
          <w:color w:val="auto"/>
        </w:rPr>
      </w:pPr>
    </w:p>
    <w:p>
      <w:pPr>
        <w:ind w:left="660" w:right="80"/>
        <w:spacing w:after="0"/>
        <w:rPr>
          <w:sz w:val="20"/>
          <w:szCs w:val="20"/>
          <w:color w:val="auto"/>
        </w:rPr>
      </w:pPr>
      <w:r>
        <w:rPr>
          <w:rFonts w:ascii="Arial" w:cs="Arial" w:eastAsia="Arial" w:hAnsi="Arial"/>
          <w:sz w:val="18"/>
          <w:szCs w:val="18"/>
          <w:color w:val="auto"/>
        </w:rPr>
        <w:t>As of December 31, 2019 and 2018, the Company had not recorded any amounts for unrecognized tax benefits and it had not accrued interest or penalties related to uncertain tax positions. The Company files income tax returns as prescribed by the tax laws of the jurisdictions in which it operates. In the normal course of business, the Company is subject to examination by</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F-115</w:t>
      </w:r>
    </w:p>
    <w:p>
      <w:pPr>
        <w:sectPr>
          <w:pgSz w:w="11900" w:h="16838" w:orient="portrait"/>
          <w:cols w:equalWidth="0" w:num="1">
            <w:col w:w="11140"/>
          </w:cols>
          <w:pgMar w:left="320" w:top="459"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federal and state jurisdictions, where applicable. The Company is open to future tax examination from 2016 to the present; however, carryforward attributes that were generated prior to 2016 may still be adjusted upon examination by federal, state or local tax authorities to the extent they will be used in a future period. The Company is generally open to future foreign tax examinations for tax years beginning after December 31, 2015.</w:t>
      </w:r>
    </w:p>
    <w:p>
      <w:pPr>
        <w:spacing w:after="0" w:line="97"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Company has provided a full valuation allowance in respect of its deferred tax assets resulting from tax loss carry-forwards and other reserves and allowances due to its history of losses and uncertainty concerning realization of these deferred tax assets.</w:t>
      </w:r>
    </w:p>
    <w:p>
      <w:pPr>
        <w:spacing w:after="0" w:line="102" w:lineRule="exact"/>
        <w:rPr>
          <w:sz w:val="20"/>
          <w:szCs w:val="20"/>
          <w:color w:val="auto"/>
        </w:rPr>
      </w:pPr>
    </w:p>
    <w:p>
      <w:pPr>
        <w:ind w:left="660" w:hanging="544"/>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Tax assessments:</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has not had a final tax assessment since its inception.</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Subsidiary has final tax assessments in accordance with Section 145 to the Income Tax Ordinance through tax year 2018.</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Net operating losses carryforward:</w:t>
      </w:r>
    </w:p>
    <w:p>
      <w:pPr>
        <w:spacing w:after="0" w:line="103" w:lineRule="exact"/>
        <w:rPr>
          <w:rFonts w:ascii="Arial" w:cs="Arial" w:eastAsia="Arial" w:hAnsi="Arial"/>
          <w:sz w:val="18"/>
          <w:szCs w:val="18"/>
          <w:color w:val="auto"/>
        </w:rPr>
      </w:pPr>
    </w:p>
    <w:p>
      <w:pPr>
        <w:ind w:left="660" w:right="160"/>
        <w:spacing w:after="0" w:line="238" w:lineRule="auto"/>
        <w:rPr>
          <w:rFonts w:ascii="Arial" w:cs="Arial" w:eastAsia="Arial" w:hAnsi="Arial"/>
          <w:sz w:val="18"/>
          <w:szCs w:val="18"/>
          <w:color w:val="auto"/>
        </w:rPr>
      </w:pPr>
      <w:r>
        <w:rPr>
          <w:rFonts w:ascii="Arial" w:cs="Arial" w:eastAsia="Arial" w:hAnsi="Arial"/>
          <w:sz w:val="18"/>
          <w:szCs w:val="18"/>
          <w:color w:val="auto"/>
        </w:rPr>
        <w:t>As of December 31, 2019, the Company had cumulative net operating losses (“NOL”) for US federal and state income tax return purposes of approximately $35,673. The Company provided a full valuation allowance in relation to those carry forward tax losses due to the uncertainty of their utilization in the foreseeable future, and expire at various dates beginning in 2031 and 2029,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15:-SUBSEQUENT EVENTS (Unaudited)</w:t>
      </w:r>
    </w:p>
    <w:p>
      <w:pPr>
        <w:spacing w:after="0" w:line="139" w:lineRule="exact"/>
        <w:rPr>
          <w:sz w:val="20"/>
          <w:szCs w:val="20"/>
          <w:color w:val="auto"/>
        </w:rPr>
      </w:pPr>
    </w:p>
    <w:p>
      <w:pPr>
        <w:ind w:left="660" w:right="40" w:hanging="544"/>
        <w:spacing w:after="0" w:line="237" w:lineRule="auto"/>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On February 13, 2020, all of the outstanding shares of Simplificare were acquired by Flywire Healthcare Corporation (“Flywire”) for cash consideration of $78,991. The holders of the Company’s stock could receive up to $20,000 in additional payments contingent on achieving revenue, customer retention, employee retention and technical integration milestones. All outstanding shares of preferred stock were converted to common stock. Additionally, warrants and vested options were exercised for common stock. All outstanding debt was paid off at the acquisition date with proceeds from the acquisition. The Company will continue to operate as a 100% wholly owned subsidiary of Flywire.</w:t>
      </w:r>
    </w:p>
    <w:p>
      <w:pPr>
        <w:spacing w:after="0" w:line="110" w:lineRule="exact"/>
        <w:rPr>
          <w:rFonts w:ascii="Arial" w:cs="Arial" w:eastAsia="Arial" w:hAnsi="Arial"/>
          <w:sz w:val="18"/>
          <w:szCs w:val="18"/>
          <w:color w:val="auto"/>
        </w:rPr>
      </w:pPr>
    </w:p>
    <w:p>
      <w:pPr>
        <w:ind w:left="660" w:right="40" w:hanging="544"/>
        <w:spacing w:after="0" w:line="238" w:lineRule="auto"/>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 August 2020, the Company finalized a tax assessment agreement with Israeli tax authorities for the years 2015-2018. As a result of the tax assessment, the Company paid $296 for amounts previously not included in transfer pricing that impacted statutory revenue in Israel that is eliminated in consolidation. The Company had determined that payment of taxes was probable and recorded an accrual as of December 31, 2019.</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F-116</w:t>
      </w:r>
    </w:p>
    <w:p>
      <w:pPr>
        <w:sectPr>
          <w:pgSz w:w="11900" w:h="16838" w:orient="portrait"/>
          <w:cols w:equalWidth="0" w:num="1">
            <w:col w:w="11120"/>
          </w:cols>
          <w:pgMar w:left="320" w:top="459" w:right="4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STATEMENT</w:t>
      </w:r>
    </w:p>
    <w:p>
      <w:pPr>
        <w:spacing w:after="0" w:line="234" w:lineRule="exact"/>
        <w:rPr>
          <w:sz w:val="20"/>
          <w:szCs w:val="20"/>
          <w:color w:val="auto"/>
        </w:rPr>
      </w:pPr>
    </w:p>
    <w:p>
      <w:pPr>
        <w:jc w:val="both"/>
        <w:ind w:left="120" w:right="80" w:firstLine="440"/>
        <w:spacing w:after="0"/>
        <w:rPr>
          <w:sz w:val="20"/>
          <w:szCs w:val="20"/>
          <w:color w:val="auto"/>
        </w:rPr>
      </w:pPr>
      <w:r>
        <w:rPr>
          <w:rFonts w:ascii="Arial" w:cs="Arial" w:eastAsia="Arial" w:hAnsi="Arial"/>
          <w:sz w:val="18"/>
          <w:szCs w:val="18"/>
          <w:color w:val="auto"/>
        </w:rPr>
        <w:t>On February 13, 2020, Flywire Corporation acquired all of the outstanding shares of Simplee, for total consideration valued at $86.5 million, net of cash acquired. Simplee was a leading healthcare technology platform designed to optimize the digital payments and patient engagement experience in the healthcare industry.</w:t>
      </w:r>
    </w:p>
    <w:p>
      <w:pPr>
        <w:spacing w:after="0" w:line="203" w:lineRule="exact"/>
        <w:rPr>
          <w:sz w:val="20"/>
          <w:szCs w:val="20"/>
          <w:color w:val="auto"/>
        </w:rPr>
      </w:pPr>
    </w:p>
    <w:p>
      <w:pPr>
        <w:ind w:left="120" w:right="440" w:firstLine="440"/>
        <w:spacing w:after="0" w:line="238" w:lineRule="auto"/>
        <w:rPr>
          <w:sz w:val="20"/>
          <w:szCs w:val="20"/>
          <w:color w:val="auto"/>
        </w:rPr>
      </w:pPr>
      <w:r>
        <w:rPr>
          <w:rFonts w:ascii="Arial" w:cs="Arial" w:eastAsia="Arial" w:hAnsi="Arial"/>
          <w:sz w:val="18"/>
          <w:szCs w:val="18"/>
          <w:color w:val="auto"/>
        </w:rPr>
        <w:t>The acquisition of Simplee was accounted for as a business combination in accordance with Accounting Standards Codification Topic 805, Business Combinations (ASC 805). Our management used its best estimates and assumptions to assign fair values to the tangible and identifiable intangible assets acquired and liabilities assumed and related income tax impacts as of the acquisition date. Goodwill as of the acquisition date was measured as the excess of purchase consideration over the fair value of net tangible and identifiable intangible assets acquired.</w:t>
      </w:r>
    </w:p>
    <w:p>
      <w:pPr>
        <w:spacing w:after="0" w:line="20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estimated purchase price consideration, as calculated and described in Note 2 to the unaudited pro forma condensed combined statement of operations, has been allocated to the tangible and intangible assets acquired and liabilities assumed based on their respective estimated fair values. The Company has made significant assumptions and estimates in determining the estimated purchase price consideration and the allocation of the estimated purchase price in the unaudited pro forma condensed combined statement of operations.</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unaudited pro forma condensed combined financial statement of operations was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We have elected not to present Management’s Adjustments and will only be presenting Transaction Accounting Adjustments in the unaudited pro forma condensed combined financial information. The adjustments presented in the unaudited pro forma condensed combined financial statement of operations have been identified and presented to provide relevant information necessary for an understanding of the combined company upon consummation of the business combination.</w:t>
      </w:r>
    </w:p>
    <w:p>
      <w:pPr>
        <w:spacing w:after="0" w:line="20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following unaudited pro forma condensed combined statement of operations is based upon our historical consolidated statement of operations and statement of operations of Simplee after giving effect to the acquisition, and after applying the assumptions, reclassifications and adjustments described in the accompanying notes. The acquisition of Simplee has already been reflected in our historical audited consolidated balance sheet as of December 31, 2020. Therefore, no unaudited pro forma condensed combined balance sheet as of December 31, 2020 has been presented herein.</w:t>
      </w:r>
    </w:p>
    <w:p>
      <w:pPr>
        <w:spacing w:after="0" w:line="202"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2020 is presented as if the acquisition had occurred on January 1, 2020. The unaudited pro forma condensed combined statement of operations should be read in conjunction with the accompanying notes thereto. In addition, the unaudited pro forma condensed combined statement of operations was based on and should be read in conjunction with the:</w:t>
      </w:r>
    </w:p>
    <w:p>
      <w:pPr>
        <w:spacing w:after="0" w:line="110" w:lineRule="exact"/>
        <w:rPr>
          <w:sz w:val="20"/>
          <w:szCs w:val="20"/>
          <w:color w:val="auto"/>
        </w:rPr>
      </w:pPr>
    </w:p>
    <w:p>
      <w:pPr>
        <w:ind w:left="880" w:right="240" w:hanging="224"/>
        <w:spacing w:after="0" w:line="246" w:lineRule="auto"/>
        <w:tabs>
          <w:tab w:leader="none" w:pos="8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separate audited historical consolidated financial statements and accompanying notes of Flywire Corporation as of and for the year ended December 31, 2020 included elsewhere in this prospectus;</w:t>
      </w:r>
    </w:p>
    <w:p>
      <w:pPr>
        <w:spacing w:after="0" w:line="102" w:lineRule="exact"/>
        <w:rPr>
          <w:rFonts w:ascii="Arial" w:cs="Arial" w:eastAsia="Arial" w:hAnsi="Arial"/>
          <w:sz w:val="18"/>
          <w:szCs w:val="18"/>
          <w:color w:val="auto"/>
        </w:rPr>
      </w:pPr>
    </w:p>
    <w:p>
      <w:pPr>
        <w:ind w:left="880" w:right="1160" w:hanging="224"/>
        <w:spacing w:after="0" w:line="246" w:lineRule="auto"/>
        <w:tabs>
          <w:tab w:leader="none" w:pos="8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separate audited historical financial statements and accompanying notes of Simplee as of and for the years ended December 31, 2019 and 2018 included elsewhere in this prospectus.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F-117</w:t>
      </w:r>
    </w:p>
    <w:p>
      <w:pPr>
        <w:sectPr>
          <w:pgSz w:w="11900" w:h="16838" w:orient="portrait"/>
          <w:cols w:equalWidth="0" w:num="1">
            <w:col w:w="11120"/>
          </w:cols>
          <w:pgMar w:left="320" w:top="459"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The unaudited pro forma condensed combined statement of operations has been presented for informational purposes only. The pro forma information is not necessarily indicative of what the combined company’s results of operations actually would have been had the acquisition been completed as of the dates indicated or that may be achieved in the future.</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the unaudited pro forma condensed combined statement of operations does not purport to project the future operating results of the combined company. The actual results reported by the combined company in periods following the acquisition may differ significantly from those reflected in these unaudited pro forma condensed combined statement of operations. There were no intercompany transactions between Flywire and Simplee for the period presented in the unaudited pro forma condensed combined statement of operations.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F-118</w:t>
      </w:r>
    </w:p>
    <w:p>
      <w:pPr>
        <w:sectPr>
          <w:pgSz w:w="11900" w:h="16838" w:orient="portrait"/>
          <w:cols w:equalWidth="0" w:num="1">
            <w:col w:w="11100"/>
          </w:cols>
          <w:pgMar w:left="320" w:top="459" w:right="47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1980"/>
        <w:spacing w:after="0" w:line="253"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 (in thousands, except share and per share amounts)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3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Historical</w:t>
            </w:r>
          </w:p>
        </w:tc>
        <w:tc>
          <w:tcPr>
            <w:tcW w:w="6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center"/>
              <w:ind w:right="50"/>
              <w:spacing w:after="0" w:line="107" w:lineRule="exact"/>
              <w:rPr>
                <w:sz w:val="20"/>
                <w:szCs w:val="20"/>
                <w:color w:val="auto"/>
              </w:rPr>
            </w:pPr>
            <w:r>
              <w:rPr>
                <w:rFonts w:ascii="Arial" w:cs="Arial" w:eastAsia="Arial" w:hAnsi="Arial"/>
                <w:sz w:val="12"/>
                <w:szCs w:val="12"/>
                <w:b w:val="1"/>
                <w:bCs w:val="1"/>
                <w:color w:val="auto"/>
              </w:rPr>
              <w:t>Simplee</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5"/>
              </w:rPr>
              <w:t>Period from</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6"/>
              </w:rPr>
              <w:t>January 1,</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98"/>
              </w:rPr>
              <w:t>2020 to</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4"/>
              </w:rPr>
              <w:t>Transaction</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5"/>
              </w:rPr>
              <w:t>February 13,</w:t>
            </w:r>
          </w:p>
        </w:tc>
        <w:tc>
          <w:tcPr>
            <w:tcW w:w="14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Reclassification</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7"/>
              </w:rPr>
              <w:t>Accounting</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57"/>
        </w:trPr>
        <w:tc>
          <w:tcPr>
            <w:tcW w:w="35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Flywire</w:t>
            </w:r>
          </w:p>
        </w:tc>
        <w:tc>
          <w:tcPr>
            <w:tcW w:w="4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6"/>
              </w:rPr>
              <w:t>2020</w:t>
            </w:r>
          </w:p>
        </w:tc>
        <w:tc>
          <w:tcPr>
            <w:tcW w:w="4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Adjustments</w:t>
            </w:r>
          </w:p>
        </w:tc>
        <w:tc>
          <w:tcPr>
            <w:tcW w:w="4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Notes</w:t>
            </w:r>
          </w:p>
        </w:tc>
        <w:tc>
          <w:tcPr>
            <w:tcW w:w="4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Adjustments</w:t>
            </w:r>
          </w:p>
        </w:tc>
        <w:tc>
          <w:tcPr>
            <w:tcW w:w="4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Notes</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4"/>
              </w:rPr>
              <w:t>Combined</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Revenue</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131,783</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40"/>
              <w:spacing w:after="0" w:line="155" w:lineRule="exact"/>
              <w:rPr>
                <w:sz w:val="20"/>
                <w:szCs w:val="20"/>
                <w:color w:val="auto"/>
              </w:rPr>
            </w:pPr>
            <w:r>
              <w:rPr>
                <w:rFonts w:ascii="Arial" w:cs="Arial" w:eastAsia="Arial" w:hAnsi="Arial"/>
                <w:sz w:val="14"/>
                <w:szCs w:val="14"/>
                <w:color w:val="auto"/>
              </w:rPr>
              <w:t>4,627</w:t>
            </w: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40"/>
              <w:spacing w:after="0" w:line="155"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line="155" w:lineRule="exact"/>
              <w:rPr>
                <w:sz w:val="20"/>
                <w:szCs w:val="20"/>
                <w:color w:val="auto"/>
              </w:rPr>
            </w:pPr>
            <w:r>
              <w:rPr>
                <w:rFonts w:ascii="Arial" w:cs="Arial" w:eastAsia="Arial" w:hAnsi="Arial"/>
                <w:sz w:val="14"/>
                <w:szCs w:val="14"/>
                <w:color w:val="auto"/>
              </w:rPr>
              <w:t>(141)</w:t>
            </w:r>
          </w:p>
        </w:tc>
        <w:tc>
          <w:tcPr>
            <w:tcW w:w="60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(b)</w:t>
            </w:r>
          </w:p>
        </w:tc>
        <w:tc>
          <w:tcPr>
            <w:tcW w:w="2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136,269</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Costs and operating expenses: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revenue</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2,462</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(2,462)</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w:t>
            </w: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00" w:type="dxa"/>
            <w:vAlign w:val="bottom"/>
          </w:tcPr>
          <w:p>
            <w:pPr>
              <w:ind w:left="280"/>
              <w:spacing w:after="0"/>
              <w:rPr>
                <w:sz w:val="20"/>
                <w:szCs w:val="20"/>
                <w:color w:val="auto"/>
              </w:rPr>
            </w:pPr>
            <w:r>
              <w:rPr>
                <w:rFonts w:ascii="Arial" w:cs="Arial" w:eastAsia="Arial" w:hAnsi="Arial"/>
                <w:sz w:val="14"/>
                <w:szCs w:val="14"/>
                <w:color w:val="auto"/>
              </w:rPr>
              <w:t>Payment processing services costs</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47,805</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2,103</w:t>
            </w:r>
          </w:p>
        </w:tc>
        <w:tc>
          <w:tcPr>
            <w:tcW w:w="780" w:type="dxa"/>
            <w:vAlign w:val="bottom"/>
            <w:gridSpan w:val="2"/>
          </w:tcPr>
          <w:p>
            <w:pPr>
              <w:ind w:left="220"/>
              <w:spacing w:after="0"/>
              <w:rPr>
                <w:sz w:val="20"/>
                <w:szCs w:val="20"/>
                <w:color w:val="auto"/>
              </w:rPr>
            </w:pPr>
            <w:r>
              <w:rPr>
                <w:rFonts w:ascii="Arial" w:cs="Arial" w:eastAsia="Arial" w:hAnsi="Arial"/>
                <w:sz w:val="14"/>
                <w:szCs w:val="14"/>
                <w:color w:val="auto"/>
              </w:rPr>
              <w:t>(a)</w:t>
            </w: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49,908</w:t>
            </w: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Technology and development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24,501</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1,247</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w:t>
            </w: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199</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(c)</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26,234</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287</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888</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(888)</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w:t>
            </w: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00" w:type="dxa"/>
            <w:vAlign w:val="bottom"/>
          </w:tcPr>
          <w:p>
            <w:pPr>
              <w:ind w:left="280"/>
              <w:spacing w:after="0"/>
              <w:rPr>
                <w:sz w:val="20"/>
                <w:szCs w:val="20"/>
                <w:color w:val="auto"/>
              </w:rPr>
            </w:pPr>
            <w:r>
              <w:rPr>
                <w:rFonts w:ascii="Arial" w:cs="Arial" w:eastAsia="Arial" w:hAnsi="Arial"/>
                <w:sz w:val="14"/>
                <w:szCs w:val="14"/>
                <w:color w:val="auto"/>
              </w:rPr>
              <w:t>Selling and marketing</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32,612</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622</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255</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(c)</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33,578</w:t>
            </w: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89</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(d)</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42,680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3,342</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23</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46,045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5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costs and operating expenses</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147,598</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4,852</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2,462</w:t>
            </w: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853</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155,765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500" w:type="dxa"/>
            <w:vAlign w:val="bottom"/>
          </w:tcPr>
          <w:p>
            <w:pPr>
              <w:spacing w:after="0"/>
              <w:rPr>
                <w:sz w:val="20"/>
                <w:szCs w:val="20"/>
                <w:color w:val="auto"/>
              </w:rPr>
            </w:pPr>
            <w:r>
              <w:rPr>
                <w:rFonts w:ascii="Arial" w:cs="Arial" w:eastAsia="Arial" w:hAnsi="Arial"/>
                <w:sz w:val="14"/>
                <w:szCs w:val="14"/>
                <w:color w:val="auto"/>
              </w:rPr>
              <w:t>Loss from operations</w:t>
            </w:r>
          </w:p>
        </w:tc>
        <w:tc>
          <w:tcPr>
            <w:tcW w:w="140" w:type="dxa"/>
            <w:vAlign w:val="bottom"/>
          </w:tcPr>
          <w:p>
            <w:pPr>
              <w:spacing w:after="0"/>
              <w:rPr>
                <w:sz w:val="15"/>
                <w:szCs w:val="15"/>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(15,815)</w:t>
            </w:r>
          </w:p>
        </w:tc>
        <w:tc>
          <w:tcPr>
            <w:tcW w:w="12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(2,687)</w:t>
            </w:r>
          </w:p>
        </w:tc>
        <w:tc>
          <w:tcPr>
            <w:tcW w:w="80" w:type="dxa"/>
            <w:vAlign w:val="bottom"/>
          </w:tcPr>
          <w:p>
            <w:pPr>
              <w:spacing w:after="0"/>
              <w:rPr>
                <w:sz w:val="15"/>
                <w:szCs w:val="15"/>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(994)</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(19,496)</w:t>
            </w: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Other income (expense):</w:t>
            </w: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(2,533)</w:t>
            </w:r>
          </w:p>
        </w:tc>
        <w:tc>
          <w:tcPr>
            <w:tcW w:w="1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54</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(2,533)</w:t>
            </w:r>
          </w:p>
        </w:tc>
        <w:tc>
          <w:tcPr>
            <w:tcW w:w="0" w:type="dxa"/>
            <w:vAlign w:val="bottom"/>
          </w:tcPr>
          <w:p>
            <w:pPr>
              <w:spacing w:after="0"/>
              <w:rPr>
                <w:sz w:val="1"/>
                <w:szCs w:val="1"/>
                <w:color w:val="auto"/>
              </w:rPr>
            </w:pPr>
          </w:p>
        </w:tc>
      </w:tr>
      <w:tr>
        <w:trPr>
          <w:trHeight w:val="167"/>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fair value of preferred stock</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warrant liability</w:t>
            </w: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(625)</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40"/>
              <w:spacing w:after="0" w:line="15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62"/>
        </w:trPr>
        <w:tc>
          <w:tcPr>
            <w:tcW w:w="3500" w:type="dxa"/>
            <w:vAlign w:val="bottom"/>
          </w:tcPr>
          <w:p>
            <w:pPr>
              <w:ind w:left="280"/>
              <w:spacing w:after="0"/>
              <w:rPr>
                <w:sz w:val="20"/>
                <w:szCs w:val="20"/>
                <w:color w:val="auto"/>
              </w:rPr>
            </w:pPr>
            <w:r>
              <w:rPr>
                <w:rFonts w:ascii="Arial" w:cs="Arial" w:eastAsia="Arial" w:hAnsi="Arial"/>
                <w:sz w:val="14"/>
                <w:szCs w:val="14"/>
                <w:color w:val="auto"/>
              </w:rPr>
              <w:t>Other income (expense), net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697</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5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other expenses, net</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(2,461)</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54</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tcPr>
          <w:p>
            <w:pPr>
              <w:spacing w:after="0"/>
              <w:rPr>
                <w:sz w:val="20"/>
                <w:szCs w:val="20"/>
                <w:color w:val="auto"/>
              </w:rPr>
            </w:pPr>
            <w:r>
              <w:rPr>
                <w:rFonts w:ascii="Arial" w:cs="Arial" w:eastAsia="Arial" w:hAnsi="Arial"/>
                <w:sz w:val="14"/>
                <w:szCs w:val="14"/>
                <w:color w:val="auto"/>
              </w:rPr>
              <w:t>Loss before provision for income taxes</w:t>
            </w:r>
          </w:p>
        </w:tc>
        <w:tc>
          <w:tcPr>
            <w:tcW w:w="14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(18,276)</w:t>
            </w:r>
          </w:p>
        </w:tc>
        <w:tc>
          <w:tcPr>
            <w:tcW w:w="1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(2,750)</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(940)</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(21,966)</w:t>
            </w: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Provision for (benefit from) income taxes</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(7,169)</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(7,153)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tcPr>
          <w:p>
            <w:pPr>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(11,107)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(2,766)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jc w:val="right"/>
              <w:ind w:right="135"/>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(940)</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(14,813)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Accretion of preferred stock to redemption</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value</w:t>
            </w: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20"/>
                <w:szCs w:val="20"/>
                <w:color w:val="auto"/>
              </w:rPr>
            </w:pPr>
            <w:r>
              <w:rPr>
                <w:rFonts w:ascii="Arial" w:cs="Arial" w:eastAsia="Arial" w:hAnsi="Arial"/>
                <w:sz w:val="14"/>
                <w:szCs w:val="14"/>
                <w:color w:val="auto"/>
              </w:rPr>
              <w:t>Net loss attributable to common stockholders -</w:t>
            </w: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500" w:type="dxa"/>
            <w:vAlign w:val="bottom"/>
          </w:tcPr>
          <w:p>
            <w:pPr>
              <w:ind w:left="140"/>
              <w:spacing w:after="0" w:line="157" w:lineRule="exact"/>
              <w:rPr>
                <w:sz w:val="20"/>
                <w:szCs w:val="20"/>
                <w:color w:val="auto"/>
              </w:rPr>
            </w:pPr>
            <w:r>
              <w:rPr>
                <w:rFonts w:ascii="Arial" w:cs="Arial" w:eastAsia="Arial" w:hAnsi="Arial"/>
                <w:sz w:val="14"/>
                <w:szCs w:val="14"/>
                <w:color w:val="auto"/>
              </w:rPr>
              <w:t>basic and diluted</w:t>
            </w:r>
          </w:p>
        </w:tc>
        <w:tc>
          <w:tcPr>
            <w:tcW w:w="14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(11,121)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(14,827)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Net loss per share attributable to common</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stockholders - basic and diluted</w:t>
            </w: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5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tcPr>
          <w:p>
            <w:pPr>
              <w:ind w:left="140"/>
              <w:spacing w:after="0" w:line="157" w:lineRule="exact"/>
              <w:rPr>
                <w:sz w:val="20"/>
                <w:szCs w:val="20"/>
                <w:color w:val="auto"/>
              </w:rPr>
            </w:pPr>
            <w:r>
              <w:rPr>
                <w:rFonts w:ascii="Arial" w:cs="Arial" w:eastAsia="Arial" w:hAnsi="Arial"/>
                <w:sz w:val="14"/>
                <w:szCs w:val="14"/>
                <w:color w:val="auto"/>
              </w:rPr>
              <w:t>basic and diluted</w:t>
            </w:r>
          </w:p>
        </w:tc>
        <w:tc>
          <w:tcPr>
            <w:tcW w:w="14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6,129,966</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6,129,966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F-119</w:t>
      </w:r>
    </w:p>
    <w:p>
      <w:pPr>
        <w:sectPr>
          <w:pgSz w:w="11900" w:h="16838" w:orient="portrait"/>
          <w:cols w:equalWidth="0" w:num="1">
            <w:col w:w="11140"/>
          </w:cols>
          <w:pgMar w:left="320" w:top="459" w:right="4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PRO FORMA CONDENSED COMBINED STATEMENT OF OPERATIONS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Basis of Presentation</w:t>
      </w:r>
    </w:p>
    <w:p>
      <w:pPr>
        <w:spacing w:after="0" w:line="126"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unaudited pro forma condensed combined financial information has been derived from the historical consolidated financial statements of Flywire and Simplee. Certain of Simplee’s historical amounts have been reclassified to conform to Flywire’s financial statement presentation. The unaudited pro forma condensed combined statement of operations for year ended December 31, 2020 gives effect to the business combination if it occurred on January 1, 2020.</w:t>
      </w:r>
    </w:p>
    <w:p>
      <w:pPr>
        <w:spacing w:after="0" w:line="205" w:lineRule="exact"/>
        <w:rPr>
          <w:sz w:val="20"/>
          <w:szCs w:val="20"/>
          <w:color w:val="auto"/>
        </w:rPr>
      </w:pPr>
    </w:p>
    <w:p>
      <w:pPr>
        <w:ind w:left="120" w:right="160" w:firstLine="440"/>
        <w:spacing w:after="0" w:line="236" w:lineRule="auto"/>
        <w:rPr>
          <w:sz w:val="20"/>
          <w:szCs w:val="20"/>
          <w:color w:val="auto"/>
        </w:rPr>
      </w:pPr>
      <w:r>
        <w:rPr>
          <w:rFonts w:ascii="Arial" w:cs="Arial" w:eastAsia="Arial" w:hAnsi="Arial"/>
          <w:sz w:val="18"/>
          <w:szCs w:val="18"/>
          <w:color w:val="auto"/>
        </w:rPr>
        <w:t>The unaudited pro forma condensed combined statement of operations reflects pro forma adjustments that are described in these notes and are based on available information and certain assumptions that Flywire believes are reasonable, however, actual results may differ from those reflected in this statement. In Flywire’s opinion, all adjustments that are necessary to present fairly the pro forma information have been made. The unaudited pro forma condensed combined statement of operations does not purport to represent what the Company’s results of operations would have been if the transaction had actually occurred on January 1, 2020, nor are they indicative of Flywire’s future results of operations. The unaudited pro forma condensed combined statement of operations should be read in conjunction with the historical consolidated financial statements and related notes of Flywire and Simplee for the year ended December 31, 2020.</w:t>
      </w:r>
    </w:p>
    <w:p>
      <w:pPr>
        <w:spacing w:after="0" w:line="20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7"/>
          <w:szCs w:val="17"/>
          <w:color w:val="auto"/>
        </w:rPr>
        <w:t>The unaudited pro forma condensed combined statement of operations includes adjustments to conform Simplee’s presentation to Flywire’s presentation, which primarily consisted of reclassification of expenses on the face of the consolidated statement of operations. The unaudited pro forma condensed combined statement of operations does not assume any differences in accounting policies as we are not aware of any differences that would have a material impact on the unaudited pro forma condensed combined statement of operations.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Purchase Consideration and Purchase Price Allocation</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On February 13, 2020, Flywire completed its acquisition of Simplee, a provider of healthcare payment and collections software. The acquisition of Simplee has been accounted for as a business combination.</w:t>
      </w:r>
    </w:p>
    <w:p>
      <w:pPr>
        <w:spacing w:after="0" w:line="197"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Flywire acquired all outstanding equity of Simplee for estimated total purchase consideration of $86.5 million, net of cash acquired, which consists of (in thousands):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3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$79,401</w:t>
            </w:r>
          </w:p>
        </w:tc>
      </w:tr>
      <w:tr>
        <w:trPr>
          <w:trHeight w:val="210"/>
        </w:trPr>
        <w:tc>
          <w:tcPr>
            <w:tcW w:w="7340" w:type="dxa"/>
            <w:vAlign w:val="bottom"/>
          </w:tcPr>
          <w:p>
            <w:pPr>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296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7,100</w:t>
            </w:r>
          </w:p>
        </w:tc>
        <w:tc>
          <w:tcPr>
            <w:tcW w:w="60" w:type="dxa"/>
            <w:vAlign w:val="bottom"/>
          </w:tcPr>
          <w:p>
            <w:pPr>
              <w:spacing w:after="0"/>
              <w:rPr>
                <w:sz w:val="18"/>
                <w:szCs w:val="18"/>
                <w:color w:val="auto"/>
              </w:rPr>
            </w:pPr>
          </w:p>
        </w:tc>
      </w:tr>
      <w:tr>
        <w:trPr>
          <w:trHeight w:val="203"/>
        </w:trPr>
        <w:tc>
          <w:tcPr>
            <w:tcW w:w="7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purchase consideration, net of cash acquired</w:t>
            </w:r>
          </w:p>
        </w:tc>
        <w:tc>
          <w:tcPr>
            <w:tcW w:w="3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86,501</w:t>
            </w:r>
          </w:p>
        </w:tc>
      </w:tr>
      <w:tr>
        <w:trPr>
          <w:trHeight w:val="20"/>
        </w:trPr>
        <w:tc>
          <w:tcPr>
            <w:tcW w:w="7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Contingent consideration represents additional payments that the Company may be required to make in the future, which totals up to $20.0 million depending on the Company reaching certain revenue and integration targets established for the years ended December 31, 2020 and 2021, as well as retaining key customers. A portion of the contingent consideration is also tied to continuing employment of certain key employees; accordingly, $2.1 million has been excluded from the purchase price allocation. The fair value of contingent consideration of $7.1 million was determined based on the probability-weighted likelihood of achieving future targets.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F-120</w:t>
      </w:r>
    </w:p>
    <w:p>
      <w:pPr>
        <w:sectPr>
          <w:pgSz w:w="11900" w:h="16838" w:orient="portrait"/>
          <w:cols w:equalWidth="0" w:num="1">
            <w:col w:w="11140"/>
          </w:cols>
          <w:pgMar w:left="320" w:top="459" w:right="4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The following table summarizes the allocation of the purchase consideration to the fair value of the assets acquired and liabilities assumed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2,190</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8,555</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1,578</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6,587</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31,696</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Indentifiable intangible assets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58,800</w:t>
            </w:r>
          </w:p>
        </w:tc>
        <w:tc>
          <w:tcPr>
            <w:tcW w:w="120" w:type="dxa"/>
            <w:vAlign w:val="bottom"/>
            <w:shd w:val="clear" w:color="auto" w:fill="CCEEFF"/>
          </w:tcPr>
          <w:p>
            <w:pPr>
              <w:spacing w:after="0"/>
              <w:rPr>
                <w:sz w:val="17"/>
                <w:szCs w:val="17"/>
                <w:color w:val="auto"/>
              </w:rPr>
            </w:pPr>
          </w:p>
        </w:tc>
      </w:tr>
      <w:tr>
        <w:trPr>
          <w:trHeight w:val="217"/>
        </w:trPr>
        <w:tc>
          <w:tcPr>
            <w:tcW w:w="10120" w:type="dxa"/>
            <w:vAlign w:val="bottom"/>
          </w:tcPr>
          <w:p>
            <w:pPr>
              <w:ind w:left="360"/>
              <w:spacing w:after="0"/>
              <w:rPr>
                <w:sz w:val="20"/>
                <w:szCs w:val="20"/>
                <w:color w:val="auto"/>
              </w:rPr>
            </w:pPr>
            <w:r>
              <w:rPr>
                <w:rFonts w:ascii="Arial" w:cs="Arial" w:eastAsia="Arial" w:hAnsi="Arial"/>
                <w:sz w:val="18"/>
                <w:szCs w:val="18"/>
                <w:color w:val="auto"/>
              </w:rPr>
              <w:t>Total assets acquired</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109,513</w:t>
            </w:r>
          </w:p>
        </w:tc>
        <w:tc>
          <w:tcPr>
            <w:tcW w:w="120" w:type="dxa"/>
            <w:vAlign w:val="bottom"/>
          </w:tcPr>
          <w:p>
            <w:pPr>
              <w:spacing w:after="0"/>
              <w:rPr>
                <w:sz w:val="18"/>
                <w:szCs w:val="18"/>
                <w:color w:val="auto"/>
              </w:rPr>
            </w:pP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15,092</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2,267</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3,463</w:t>
            </w:r>
          </w:p>
        </w:tc>
        <w:tc>
          <w:tcPr>
            <w:tcW w:w="120" w:type="dxa"/>
            <w:vAlign w:val="bottom"/>
            <w:shd w:val="clear" w:color="auto" w:fill="CCEEFF"/>
          </w:tcPr>
          <w:p>
            <w:pPr>
              <w:spacing w:after="0"/>
              <w:rPr>
                <w:sz w:val="17"/>
                <w:szCs w:val="17"/>
                <w:color w:val="auto"/>
              </w:rPr>
            </w:pPr>
          </w:p>
        </w:tc>
      </w:tr>
      <w:tr>
        <w:trPr>
          <w:trHeight w:val="217"/>
        </w:trPr>
        <w:tc>
          <w:tcPr>
            <w:tcW w:w="1012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20,822</w:t>
            </w:r>
          </w:p>
        </w:tc>
        <w:tc>
          <w:tcPr>
            <w:tcW w:w="120" w:type="dxa"/>
            <w:vAlign w:val="bottom"/>
          </w:tcPr>
          <w:p>
            <w:pPr>
              <w:spacing w:after="0"/>
              <w:rPr>
                <w:sz w:val="18"/>
                <w:szCs w:val="18"/>
                <w:color w:val="auto"/>
              </w:rPr>
            </w:pP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acquired</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88,691</w:t>
            </w:r>
          </w:p>
        </w:tc>
      </w:tr>
      <w:tr>
        <w:trPr>
          <w:trHeight w:val="203"/>
        </w:trPr>
        <w:tc>
          <w:tcPr>
            <w:tcW w:w="10120" w:type="dxa"/>
            <w:vAlign w:val="bottom"/>
          </w:tcPr>
          <w:p>
            <w:pPr>
              <w:ind w:left="360"/>
              <w:spacing w:after="0" w:line="202" w:lineRule="exact"/>
              <w:rPr>
                <w:sz w:val="20"/>
                <w:szCs w:val="20"/>
                <w:color w:val="auto"/>
              </w:rPr>
            </w:pPr>
            <w:r>
              <w:rPr>
                <w:rFonts w:ascii="Arial" w:cs="Arial" w:eastAsia="Arial" w:hAnsi="Arial"/>
                <w:sz w:val="18"/>
                <w:szCs w:val="18"/>
                <w:color w:val="auto"/>
              </w:rPr>
              <w:t>Less: cash acquired</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(2,190)</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less cash acquired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86,501</w:t>
            </w:r>
          </w:p>
        </w:tc>
      </w:tr>
      <w:tr>
        <w:trPr>
          <w:trHeight w:val="20"/>
        </w:trPr>
        <w:tc>
          <w:tcPr>
            <w:tcW w:w="10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Pro Forma Adjustments</w:t>
      </w:r>
    </w:p>
    <w:p>
      <w:pPr>
        <w:spacing w:after="0" w:line="126" w:lineRule="exact"/>
        <w:rPr>
          <w:sz w:val="20"/>
          <w:szCs w:val="20"/>
          <w:color w:val="auto"/>
        </w:rPr>
      </w:pPr>
    </w:p>
    <w:p>
      <w:pPr>
        <w:jc w:val="both"/>
        <w:ind w:left="120" w:right="60" w:firstLine="440"/>
        <w:spacing w:after="0" w:line="246" w:lineRule="auto"/>
        <w:rPr>
          <w:sz w:val="20"/>
          <w:szCs w:val="20"/>
          <w:color w:val="auto"/>
        </w:rPr>
      </w:pPr>
      <w:r>
        <w:rPr>
          <w:rFonts w:ascii="Arial" w:cs="Arial" w:eastAsia="Arial" w:hAnsi="Arial"/>
          <w:sz w:val="18"/>
          <w:szCs w:val="18"/>
          <w:color w:val="auto"/>
        </w:rPr>
        <w:t>The following adjustments have been made to the accompanying unaudited pro forma condensed combined statement of operations for the year ended December 31, 2020:</w:t>
      </w:r>
    </w:p>
    <w:p>
      <w:pPr>
        <w:spacing w:after="0" w:line="102" w:lineRule="exact"/>
        <w:rPr>
          <w:sz w:val="20"/>
          <w:szCs w:val="20"/>
          <w:color w:val="auto"/>
        </w:rPr>
      </w:pPr>
    </w:p>
    <w:p>
      <w:pPr>
        <w:ind w:left="660" w:right="800" w:hanging="544"/>
        <w:spacing w:after="0" w:line="246" w:lineRule="auto"/>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following reclassifications and eliminations were made as a result of the business combination to conform to Flywire’s presentation: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Reflects reclassification of approximately $2.5 million from cost of revenue to payment processing services costs;</w:t>
      </w:r>
    </w:p>
    <w:p>
      <w:pPr>
        <w:spacing w:after="0" w:line="117" w:lineRule="exact"/>
        <w:rPr>
          <w:rFonts w:ascii="Arial" w:cs="Arial" w:eastAsia="Arial" w:hAnsi="Arial"/>
          <w:sz w:val="18"/>
          <w:szCs w:val="18"/>
          <w:color w:val="auto"/>
        </w:rPr>
      </w:pPr>
    </w:p>
    <w:p>
      <w:pPr>
        <w:ind w:left="880" w:right="560" w:hanging="224"/>
        <w:spacing w:after="0" w:line="246" w:lineRule="auto"/>
        <w:tabs>
          <w:tab w:leader="none" w:pos="8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Reflects the reclassification of $0.1 million of hosting expenses from payment processing services costs to technology and development;</w:t>
      </w:r>
    </w:p>
    <w:p>
      <w:pPr>
        <w:spacing w:after="0" w:line="102" w:lineRule="exact"/>
        <w:rPr>
          <w:rFonts w:ascii="Arial" w:cs="Arial" w:eastAsia="Arial" w:hAnsi="Arial"/>
          <w:sz w:val="18"/>
          <w:szCs w:val="18"/>
          <w:color w:val="auto"/>
        </w:rPr>
      </w:pPr>
    </w:p>
    <w:p>
      <w:pPr>
        <w:ind w:left="880" w:right="160" w:hanging="224"/>
        <w:spacing w:after="0" w:line="246" w:lineRule="auto"/>
        <w:tabs>
          <w:tab w:leader="none" w:pos="8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Reflects allocation of implementation costs of approximately $0.2 million from payment processing services costs to technology and development;</w:t>
      </w:r>
    </w:p>
    <w:p>
      <w:pPr>
        <w:spacing w:after="0" w:line="102" w:lineRule="exact"/>
        <w:rPr>
          <w:rFonts w:ascii="Arial" w:cs="Arial" w:eastAsia="Arial" w:hAnsi="Arial"/>
          <w:sz w:val="18"/>
          <w:szCs w:val="18"/>
          <w:color w:val="auto"/>
        </w:rPr>
      </w:pPr>
    </w:p>
    <w:p>
      <w:pPr>
        <w:ind w:left="660" w:right="200" w:hanging="544"/>
        <w:spacing w:after="0" w:line="246" w:lineRule="auto"/>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Reflects a reduction in Simplee’s revenue of approximately $0.1 million as a result of the write down of acquired deferred revenue on the acquisition date.</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Reflects amortization of intangible assets for the period from January 1, 2020 to February 13, 2020.</w:t>
      </w:r>
    </w:p>
    <w:p>
      <w:pPr>
        <w:spacing w:after="0" w:line="117" w:lineRule="exact"/>
        <w:rPr>
          <w:rFonts w:ascii="Arial" w:cs="Arial" w:eastAsia="Arial" w:hAnsi="Arial"/>
          <w:sz w:val="18"/>
          <w:szCs w:val="18"/>
          <w:color w:val="auto"/>
        </w:rPr>
      </w:pPr>
    </w:p>
    <w:p>
      <w:pPr>
        <w:jc w:val="both"/>
        <w:ind w:left="660" w:right="140" w:hanging="544"/>
        <w:spacing w:after="0" w:line="274" w:lineRule="auto"/>
        <w:tabs>
          <w:tab w:leader="none" w:pos="6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Reflects aggregate incremental compensation expense for the period from January 1, 2020 to February 13, 2020 of approximately $0.4 million, comprised of $0.2 million for Simplee employee retention costs and $0.2 million for service-based earn-out payments.</w:t>
      </w:r>
    </w:p>
    <w:p>
      <w:pPr>
        <w:spacing w:after="0" w:line="80" w:lineRule="exact"/>
        <w:rPr>
          <w:rFonts w:ascii="Arial" w:cs="Arial" w:eastAsia="Arial" w:hAnsi="Arial"/>
          <w:sz w:val="17"/>
          <w:szCs w:val="17"/>
          <w:color w:val="auto"/>
        </w:rPr>
      </w:pPr>
    </w:p>
    <w:p>
      <w:pPr>
        <w:ind w:left="660" w:hanging="544"/>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Reflects the elimination of Simplee’s interest expense related to debt that was repaid in connection with the business combination.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Items Not Included in the Unaudited Pro Forma Condensed Combined Financial Statement</w:t>
      </w:r>
    </w:p>
    <w:p>
      <w:pPr>
        <w:spacing w:after="0" w:line="126"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The unaudited pro forma condensed combined statement of operations does not include an adjustment to income taxes, because the tax benefit resulting from the business combination is already reflected in Flywire’s historical financial statements for the year ended December 31, 2020.</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F-121</w:t>
      </w:r>
    </w:p>
    <w:p>
      <w:pPr>
        <w:sectPr>
          <w:pgSz w:w="11900" w:h="16838" w:orient="portrait"/>
          <w:cols w:equalWidth="0" w:num="1">
            <w:col w:w="11140"/>
          </w:cols>
          <w:pgMar w:left="320" w:top="459" w:right="439" w:bottom="1440" w:gutter="0" w:footer="0" w:header="0"/>
        </w:sectPr>
      </w:pPr>
    </w:p>
    <w:bookmarkStart w:id="313" w:name="page314"/>
    <w:bookmarkEnd w:id="3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220345</wp:posOffset>
            </wp:positionV>
            <wp:extent cx="5915025" cy="77152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915025" cy="77152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949325</wp:posOffset>
            </wp:positionV>
            <wp:extent cx="1097280" cy="3683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09728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1668780</wp:posOffset>
            </wp:positionV>
            <wp:extent cx="147447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60"/>
        <w:spacing w:after="0"/>
        <w:tabs>
          <w:tab w:leader="none" w:pos="5100" w:val="left"/>
          <w:tab w:leader="none" w:pos="7160" w:val="left"/>
          <w:tab w:leader="none" w:pos="898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4"/>
          <w:szCs w:val="24"/>
          <w:b w:val="1"/>
          <w:bCs w:val="1"/>
          <w:color w:val="auto"/>
        </w:rPr>
        <w:t>BofA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565785</wp:posOffset>
            </wp:positionV>
            <wp:extent cx="147447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5960" w:type="dxa"/>
            <w:vAlign w:val="bottom"/>
          </w:tcPr>
          <w:p>
            <w:pPr>
              <w:ind w:left="4120"/>
              <w:spacing w:after="0"/>
              <w:rPr>
                <w:sz w:val="20"/>
                <w:szCs w:val="20"/>
                <w:color w:val="auto"/>
              </w:rPr>
            </w:pPr>
            <w:r>
              <w:rPr>
                <w:rFonts w:ascii="Arial" w:cs="Arial" w:eastAsia="Arial" w:hAnsi="Arial"/>
                <w:sz w:val="18"/>
                <w:szCs w:val="18"/>
                <w:color w:val="auto"/>
              </w:rPr>
              <w:t>Prospectus dated</w:t>
            </w:r>
          </w:p>
        </w:tc>
        <w:tc>
          <w:tcPr>
            <w:tcW w:w="5060" w:type="dxa"/>
            <w:vAlign w:val="bottom"/>
          </w:tcPr>
          <w:p>
            <w:pPr>
              <w:jc w:val="right"/>
              <w:ind w:right="4050"/>
              <w:spacing w:after="0"/>
              <w:rPr>
                <w:sz w:val="20"/>
                <w:szCs w:val="20"/>
                <w:color w:val="auto"/>
              </w:rPr>
            </w:pPr>
            <w:r>
              <w:rPr>
                <w:rFonts w:ascii="Arial" w:cs="Arial" w:eastAsia="Arial" w:hAnsi="Arial"/>
                <w:sz w:val="18"/>
                <w:szCs w:val="18"/>
                <w:color w:val="auto"/>
              </w:rPr>
              <w:t>, 2021</w:t>
            </w:r>
          </w:p>
        </w:tc>
      </w:tr>
      <w:tr>
        <w:trPr>
          <w:trHeight w:val="499"/>
        </w:trPr>
        <w:tc>
          <w:tcPr>
            <w:tcW w:w="59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r>
        <w:trPr>
          <w:trHeight w:val="95"/>
        </w:trPr>
        <w:tc>
          <w:tcPr>
            <w:tcW w:w="5960" w:type="dxa"/>
            <w:vAlign w:val="bottom"/>
            <w:tcBorders>
              <w:bottom w:val="single" w:sz="8" w:color="auto"/>
            </w:tcBorders>
          </w:tcPr>
          <w:p>
            <w:pPr>
              <w:spacing w:after="0"/>
              <w:rPr>
                <w:sz w:val="8"/>
                <w:szCs w:val="8"/>
                <w:color w:val="auto"/>
              </w:rPr>
            </w:pPr>
          </w:p>
        </w:tc>
        <w:tc>
          <w:tcPr>
            <w:tcW w:w="5060" w:type="dxa"/>
            <w:vAlign w:val="bottom"/>
            <w:tcBorders>
              <w:bottom w:val="single" w:sz="8" w:color="auto"/>
            </w:tcBorders>
          </w:tcPr>
          <w:p>
            <w:pPr>
              <w:spacing w:after="0"/>
              <w:rPr>
                <w:sz w:val="8"/>
                <w:szCs w:val="8"/>
                <w:color w:val="auto"/>
              </w:rPr>
            </w:pPr>
          </w:p>
        </w:tc>
      </w:tr>
    </w:tbl>
    <w:p>
      <w:pPr>
        <w:sectPr>
          <w:pgSz w:w="11900" w:h="16838" w:orient="portrait"/>
          <w:cols w:equalWidth="0" w:num="1">
            <w:col w:w="11140"/>
          </w:cols>
          <w:pgMar w:left="32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93" w:lineRule="exact"/>
        <w:rPr>
          <w:sz w:val="20"/>
          <w:szCs w:val="20"/>
          <w:color w:val="auto"/>
        </w:rPr>
      </w:pPr>
    </w:p>
    <w:p>
      <w:pPr>
        <w:ind w:left="120" w:right="480" w:firstLine="440"/>
        <w:spacing w:after="0" w:line="238" w:lineRule="auto"/>
        <w:rPr>
          <w:sz w:val="20"/>
          <w:szCs w:val="20"/>
          <w:color w:val="auto"/>
        </w:rPr>
      </w:pPr>
      <w:r>
        <w:rPr>
          <w:rFonts w:ascii="Arial" w:cs="Arial" w:eastAsia="Arial" w:hAnsi="Arial"/>
          <w:sz w:val="18"/>
          <w:szCs w:val="18"/>
          <w:color w:val="auto"/>
        </w:rPr>
        <w:t>The following table sets forth all costs and expenses to be paid by us, other than underwriting discounts and commissions, in connection with the sale of the common stock being registered hereby. All amounts shown are estimates except for the Securities Exchange Commission (SEC) registration fee, the Financial Industry Regulatory Authority (FINRA) filing fee, and The Nasdaq Global Market listing fee:</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Amount</w:t>
            </w:r>
          </w:p>
        </w:tc>
      </w:tr>
      <w:tr>
        <w:trPr>
          <w:trHeight w:val="203"/>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Paid or</w:t>
            </w:r>
          </w:p>
        </w:tc>
      </w:tr>
      <w:tr>
        <w:trPr>
          <w:trHeight w:val="203"/>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80" w:type="dxa"/>
            <w:vAlign w:val="bottom"/>
            <w:gridSpan w:val="3"/>
          </w:tcPr>
          <w:p>
            <w:pPr>
              <w:spacing w:after="0" w:line="203" w:lineRule="exact"/>
              <w:rPr>
                <w:sz w:val="20"/>
                <w:szCs w:val="20"/>
                <w:color w:val="auto"/>
              </w:rPr>
            </w:pPr>
            <w:r>
              <w:rPr>
                <w:rFonts w:ascii="Arial" w:cs="Arial" w:eastAsia="Arial" w:hAnsi="Arial"/>
                <w:sz w:val="18"/>
                <w:szCs w:val="18"/>
                <w:color w:val="auto"/>
              </w:rPr>
              <w:t>to be Paid</w:t>
            </w:r>
          </w:p>
        </w:tc>
      </w:tr>
      <w:tr>
        <w:trPr>
          <w:trHeight w:val="196"/>
        </w:trPr>
        <w:tc>
          <w:tcPr>
            <w:tcW w:w="69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3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10,910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960" w:type="dxa"/>
            <w:vAlign w:val="bottom"/>
            <w:gridSpan w:val="3"/>
          </w:tcPr>
          <w:p>
            <w:pPr>
              <w:spacing w:after="0" w:line="202" w:lineRule="exact"/>
              <w:rPr>
                <w:sz w:val="20"/>
                <w:szCs w:val="20"/>
                <w:color w:val="auto"/>
              </w:rPr>
            </w:pPr>
            <w:r>
              <w:rPr>
                <w:rFonts w:ascii="Arial" w:cs="Arial" w:eastAsia="Arial" w:hAnsi="Arial"/>
                <w:sz w:val="18"/>
                <w:szCs w:val="18"/>
                <w:color w:val="auto"/>
              </w:rPr>
              <w:t>FINRA filing fee</w:t>
            </w:r>
          </w:p>
        </w:tc>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The Nasdaq Global Market listing fee</w:t>
            </w:r>
          </w:p>
        </w:tc>
        <w:tc>
          <w:tcPr>
            <w:tcW w:w="3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6960" w:type="dxa"/>
            <w:vAlign w:val="bottom"/>
            <w:gridSpan w:val="3"/>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3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gridSpan w:val="3"/>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Transfer agent and registrar fees and expenses</w:t>
            </w:r>
          </w:p>
        </w:tc>
        <w:tc>
          <w:tcPr>
            <w:tcW w:w="3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gridSpan w:val="3"/>
          </w:tcPr>
          <w:p>
            <w:pPr>
              <w:spacing w:after="0" w:line="202" w:lineRule="exact"/>
              <w:rPr>
                <w:sz w:val="20"/>
                <w:szCs w:val="20"/>
                <w:color w:val="auto"/>
              </w:rPr>
            </w:pPr>
            <w:r>
              <w:rPr>
                <w:rFonts w:ascii="Arial" w:cs="Arial" w:eastAsia="Arial" w:hAnsi="Arial"/>
                <w:sz w:val="18"/>
                <w:szCs w:val="18"/>
                <w:color w:val="auto"/>
              </w:rPr>
              <w:t>Miscellaneous expenses</w:t>
            </w:r>
          </w:p>
        </w:tc>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7"/>
                <w:szCs w:val="17"/>
                <w:color w:val="auto"/>
              </w:rPr>
            </w:pPr>
          </w:p>
        </w:tc>
        <w:tc>
          <w:tcPr>
            <w:tcW w:w="574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23"/>
        </w:trPr>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3280" w:type="dxa"/>
            <w:vAlign w:val="bottom"/>
            <w:gridSpan w:val="2"/>
          </w:tcPr>
          <w:p>
            <w:pPr>
              <w:ind w:left="3180"/>
              <w:spacing w:after="0"/>
              <w:rPr>
                <w:sz w:val="20"/>
                <w:szCs w:val="20"/>
                <w:color w:val="auto"/>
              </w:rPr>
            </w:pPr>
            <w:r>
              <w:rPr>
                <w:rFonts w:ascii="Arial" w:cs="Arial" w:eastAsia="Arial" w:hAnsi="Arial"/>
                <w:sz w:val="18"/>
                <w:szCs w:val="18"/>
                <w:color w:val="auto"/>
                <w:w w:val="79"/>
              </w:rPr>
              <w:t>$</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21"/>
        </w:trPr>
        <w:tc>
          <w:tcPr>
            <w:tcW w:w="4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7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6500" w:type="dxa"/>
            <w:vAlign w:val="bottom"/>
            <w:gridSpan w:val="2"/>
          </w:tcPr>
          <w:p>
            <w:pPr>
              <w:ind w:left="80"/>
              <w:spacing w:after="0"/>
              <w:rPr>
                <w:sz w:val="20"/>
                <w:szCs w:val="20"/>
                <w:color w:val="auto"/>
              </w:rPr>
            </w:pPr>
            <w:r>
              <w:rPr>
                <w:rFonts w:ascii="Arial" w:cs="Arial" w:eastAsia="Arial" w:hAnsi="Arial"/>
                <w:sz w:val="18"/>
                <w:szCs w:val="18"/>
                <w:color w:val="auto"/>
              </w:rPr>
              <w:t>To be completed by amendment.</w:t>
            </w: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07"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Section 145 of the Delaware General Corporation Law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(the Securities Act).</w:t>
      </w:r>
    </w:p>
    <w:p>
      <w:pPr>
        <w:spacing w:after="0" w:line="164"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As permitted by the DGCL, the Registrant’s restated certificate of incorporation to be effective upon the completion of this offering contains provisions that eliminate the personal liability of its directors for monetary damages for any breach of fiduciary duties as a director, except liability for the following:</w:t>
      </w:r>
    </w:p>
    <w:p>
      <w:pPr>
        <w:spacing w:after="0" w:line="203" w:lineRule="exact"/>
        <w:rPr>
          <w:sz w:val="20"/>
          <w:szCs w:val="20"/>
          <w:color w:val="auto"/>
        </w:rPr>
      </w:pPr>
    </w:p>
    <w:p>
      <w:pPr>
        <w:ind w:left="880" w:hanging="224"/>
        <w:spacing w:after="0"/>
        <w:tabs>
          <w:tab w:leader="none" w:pos="8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under Section 174 of the DGCL (regarding unlawful dividends and stock purchases); or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permitted by the DGCL, the Registrant’s restated bylaws to be effective upon the completion of this offering, provide that:</w:t>
      </w:r>
    </w:p>
    <w:p>
      <w:pPr>
        <w:spacing w:after="0" w:line="212" w:lineRule="exact"/>
        <w:rPr>
          <w:sz w:val="20"/>
          <w:szCs w:val="20"/>
          <w:color w:val="auto"/>
        </w:rPr>
      </w:pPr>
    </w:p>
    <w:p>
      <w:pPr>
        <w:ind w:left="880" w:right="120" w:hanging="224"/>
        <w:spacing w:after="0" w:line="246" w:lineRule="auto"/>
        <w:tabs>
          <w:tab w:leader="none" w:pos="8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DGCL, subject to very limited exceptions;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DGCL;</w:t>
      </w:r>
    </w:p>
    <w:p>
      <w:pPr>
        <w:spacing w:after="0" w:line="211"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185"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7"/>
          <w:szCs w:val="17"/>
          <w:color w:val="auto"/>
        </w:rPr>
        <w:t>Prior to completion of this offering, 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Registrant currently carries liability insurance for its directors and officers.</w:t>
      </w:r>
    </w:p>
    <w:p>
      <w:pPr>
        <w:spacing w:after="0" w:line="171"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Certain of the Registrant’s directors are also indemnified by their employers with regard to service on the Registrant’s board of directors.</w:t>
      </w:r>
    </w:p>
    <w:p>
      <w:pPr>
        <w:spacing w:after="0" w:line="170" w:lineRule="exact"/>
        <w:rPr>
          <w:sz w:val="20"/>
          <w:szCs w:val="20"/>
          <w:color w:val="auto"/>
        </w:rPr>
      </w:pPr>
    </w:p>
    <w:p>
      <w:pPr>
        <w:ind w:left="120" w:right="820" w:firstLine="440"/>
        <w:spacing w:after="0" w:line="246" w:lineRule="auto"/>
        <w:rPr>
          <w:sz w:val="20"/>
          <w:szCs w:val="20"/>
          <w:color w:val="auto"/>
        </w:rPr>
      </w:pPr>
      <w:r>
        <w:rPr>
          <w:rFonts w:ascii="Arial" w:cs="Arial" w:eastAsia="Arial" w:hAnsi="Arial"/>
          <w:sz w:val="18"/>
          <w:szCs w:val="18"/>
          <w:color w:val="auto"/>
        </w:rPr>
        <w:t>In addition, the underwriting agreement filed as Exhibit 1.1 to this registration statement provides for indemnification by the underwriters of us and our officers and directors for certain liabilities arising under the Securities Act, or otherwise.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May 3, 2018, the Registrant has issued and sold the following securities:</w:t>
      </w:r>
    </w:p>
    <w:p>
      <w:pPr>
        <w:spacing w:after="0" w:line="212" w:lineRule="exact"/>
        <w:rPr>
          <w:sz w:val="20"/>
          <w:szCs w:val="20"/>
          <w:color w:val="auto"/>
        </w:rPr>
      </w:pPr>
    </w:p>
    <w:p>
      <w:pPr>
        <w:ind w:left="1300" w:hanging="644"/>
        <w:spacing w:after="0"/>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Registrant granted stock options to employees, directors, and other service providers to purchase an aggregate of 3,682,232 shares of common stock under its 2018 Stock Incentive Plan (2018 Plan), with per share exercise prices ranging from $9.83 to $60.12, and has issued 196,712 shares of common stock upon exercise of stock options under its 2018 Plan.</w:t>
      </w:r>
    </w:p>
    <w:p>
      <w:pPr>
        <w:spacing w:after="0" w:line="202" w:lineRule="exact"/>
        <w:rPr>
          <w:rFonts w:ascii="Arial" w:cs="Arial" w:eastAsia="Arial" w:hAnsi="Arial"/>
          <w:sz w:val="18"/>
          <w:szCs w:val="18"/>
          <w:color w:val="auto"/>
        </w:rPr>
      </w:pPr>
    </w:p>
    <w:p>
      <w:pPr>
        <w:ind w:left="1300" w:right="640" w:hanging="644"/>
        <w:spacing w:after="0" w:line="246" w:lineRule="auto"/>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Registrant has issued 2,544,418 shares of common stock upon exercise of stock options under its 2009 Equity Incentive Plan.</w:t>
      </w:r>
    </w:p>
    <w:p>
      <w:pPr>
        <w:spacing w:after="0" w:line="196" w:lineRule="exact"/>
        <w:rPr>
          <w:rFonts w:ascii="Arial" w:cs="Arial" w:eastAsia="Arial" w:hAnsi="Arial"/>
          <w:sz w:val="18"/>
          <w:szCs w:val="18"/>
          <w:color w:val="auto"/>
        </w:rPr>
      </w:pPr>
    </w:p>
    <w:p>
      <w:pPr>
        <w:ind w:left="1300" w:right="220" w:hanging="644"/>
        <w:spacing w:after="0"/>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 February 2021, the Registrant issued an aggregate of 857,312 shares of the Registrant’s Series F preferred stock at a purchase price of approximately $69.9862 per share for an aggregate purchase price of approximately $60 million to 14 purchasers that each represented to the Registrant that it was an accredited investor.</w:t>
      </w:r>
    </w:p>
    <w:p>
      <w:pPr>
        <w:spacing w:after="0" w:line="202" w:lineRule="exact"/>
        <w:rPr>
          <w:rFonts w:ascii="Arial" w:cs="Arial" w:eastAsia="Arial" w:hAnsi="Arial"/>
          <w:sz w:val="18"/>
          <w:szCs w:val="18"/>
          <w:color w:val="auto"/>
        </w:rPr>
      </w:pPr>
    </w:p>
    <w:p>
      <w:pPr>
        <w:ind w:left="1300" w:right="480" w:hanging="644"/>
        <w:spacing w:after="0" w:line="246" w:lineRule="auto"/>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 May 2020, the Registrant issued warrants to purchase up to an aggregate of 63,057 shares of common stock at an exercise price of $11.84 per share.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300" w:right="60" w:hanging="644"/>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February 2020, the Registrant issued an aggregate of 1,750,514 shares of the Registrant’s Series E-1 preferred stock at a purchase price of approximately $32.0287 per share for an aggregate purchase price of approximately $56.1 million to 3 purchasers that each represented to the Registrant that it was an accredited investor.</w:t>
      </w:r>
    </w:p>
    <w:p>
      <w:pPr>
        <w:spacing w:after="0" w:line="202" w:lineRule="exact"/>
        <w:rPr>
          <w:rFonts w:ascii="Arial" w:cs="Arial" w:eastAsia="Arial" w:hAnsi="Arial"/>
          <w:sz w:val="18"/>
          <w:szCs w:val="18"/>
          <w:color w:val="auto"/>
        </w:rPr>
      </w:pPr>
    </w:p>
    <w:p>
      <w:pPr>
        <w:jc w:val="both"/>
        <w:ind w:left="1300" w:right="60" w:hanging="644"/>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February 2020, the Registrant issued an aggregate of 1,996,126 shares of the Registrant’s Series E-2 preferred stock at a purchase price of approximately $32.0287 per share for an aggregate purchase price of approximately $63.9 million to 2 purchasers that each represented to the Registrant that it was an accredited investor.</w:t>
      </w:r>
    </w:p>
    <w:p>
      <w:pPr>
        <w:spacing w:after="0" w:line="202"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December 2018, the Registrant issued warrants to purchase up to an aggregate of 25,000 shares of common stock at an exercise price of $0.50 per share.</w:t>
      </w:r>
    </w:p>
    <w:p>
      <w:pPr>
        <w:spacing w:after="0" w:line="196" w:lineRule="exact"/>
        <w:rPr>
          <w:rFonts w:ascii="Arial" w:cs="Arial" w:eastAsia="Arial" w:hAnsi="Arial"/>
          <w:sz w:val="18"/>
          <w:szCs w:val="18"/>
          <w:color w:val="auto"/>
        </w:rPr>
      </w:pPr>
    </w:p>
    <w:p>
      <w:pPr>
        <w:ind w:left="1300" w:right="320" w:hanging="644"/>
        <w:spacing w:after="0" w:line="246" w:lineRule="auto"/>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Between January 2018 and December 2018, the Registrant issued warrants to purchase up to an aggregate of 127,000 shares of Series C Preferred Stock at an exercise price of $4.44 per share.</w:t>
      </w:r>
    </w:p>
    <w:p>
      <w:pPr>
        <w:spacing w:after="0" w:line="196" w:lineRule="exact"/>
        <w:rPr>
          <w:rFonts w:ascii="Arial" w:cs="Arial" w:eastAsia="Arial" w:hAnsi="Arial"/>
          <w:sz w:val="18"/>
          <w:szCs w:val="18"/>
          <w:color w:val="auto"/>
        </w:rPr>
      </w:pPr>
    </w:p>
    <w:p>
      <w:pPr>
        <w:ind w:left="1300" w:right="280" w:hanging="644"/>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July 2018, the Registrant issued an aggregate of 2,208,334 shares of the Registrant’s Series D preferred stock at a purchase price of approximately $22.6415 per share for an aggregate purchase price of approximately $50.0 million to 1 purchaser that represented to the Registrant that it was an accredited investor.</w:t>
      </w:r>
    </w:p>
    <w:p>
      <w:pPr>
        <w:spacing w:after="0" w:line="176"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Exhibits.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40" w:type="dxa"/>
            <w:vAlign w:val="bottom"/>
          </w:tcPr>
          <w:p>
            <w:pPr>
              <w:ind w:left="60"/>
              <w:spacing w:after="0"/>
              <w:rPr>
                <w:sz w:val="20"/>
                <w:szCs w:val="20"/>
                <w:color w:val="auto"/>
              </w:rPr>
            </w:pPr>
            <w:r>
              <w:rPr>
                <w:rFonts w:ascii="Arial" w:cs="Arial" w:eastAsia="Arial" w:hAnsi="Arial"/>
                <w:sz w:val="18"/>
                <w:szCs w:val="18"/>
                <w:color w:val="auto"/>
              </w:rPr>
              <w:t>Exhibit</w:t>
            </w: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3"/>
        </w:trPr>
        <w:tc>
          <w:tcPr>
            <w:tcW w:w="640" w:type="dxa"/>
            <w:vAlign w:val="bottom"/>
          </w:tcPr>
          <w:p>
            <w:pPr>
              <w:spacing w:after="0" w:line="203" w:lineRule="exact"/>
              <w:rPr>
                <w:sz w:val="20"/>
                <w:szCs w:val="20"/>
                <w:color w:val="auto"/>
              </w:rPr>
            </w:pPr>
            <w:r>
              <w:rPr>
                <w:rFonts w:ascii="Arial" w:cs="Arial" w:eastAsia="Arial" w:hAnsi="Arial"/>
                <w:sz w:val="18"/>
                <w:szCs w:val="18"/>
                <w:color w:val="auto"/>
                <w:w w:val="96"/>
              </w:rPr>
              <w:t>Number</w:t>
            </w: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40" w:type="dxa"/>
            <w:vAlign w:val="bottom"/>
            <w:gridSpan w:val="6"/>
          </w:tcPr>
          <w:p>
            <w:pPr>
              <w:ind w:left="60"/>
              <w:spacing w:after="0" w:line="203" w:lineRule="exact"/>
              <w:rPr>
                <w:sz w:val="20"/>
                <w:szCs w:val="20"/>
                <w:color w:val="auto"/>
              </w:rPr>
            </w:pPr>
            <w:r>
              <w:rPr>
                <w:rFonts w:ascii="Arial" w:cs="Arial" w:eastAsia="Arial" w:hAnsi="Arial"/>
                <w:sz w:val="18"/>
                <w:szCs w:val="18"/>
                <w:color w:val="auto"/>
              </w:rPr>
              <w:t>Description of Document</w:t>
            </w:r>
          </w:p>
        </w:tc>
      </w:tr>
      <w:tr>
        <w:trPr>
          <w:trHeight w:val="318"/>
        </w:trPr>
        <w:tc>
          <w:tcPr>
            <w:tcW w:w="6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4"/>
                <w:szCs w:val="24"/>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Form of Underwriting Agreement.</w:t>
            </w:r>
          </w:p>
        </w:tc>
        <w:tc>
          <w:tcPr>
            <w:tcW w:w="1980" w:type="dxa"/>
            <w:vAlign w:val="bottom"/>
            <w:tcBorders>
              <w:top w:val="single" w:sz="8" w:color="auto"/>
            </w:tcBorders>
          </w:tcPr>
          <w:p>
            <w:pPr>
              <w:spacing w:after="0"/>
              <w:rPr>
                <w:sz w:val="24"/>
                <w:szCs w:val="24"/>
                <w:color w:val="auto"/>
              </w:rPr>
            </w:pPr>
          </w:p>
        </w:tc>
        <w:tc>
          <w:tcPr>
            <w:tcW w:w="3800" w:type="dxa"/>
            <w:vAlign w:val="bottom"/>
            <w:gridSpan w:val="4"/>
          </w:tcPr>
          <w:p>
            <w:pPr>
              <w:spacing w:after="0"/>
              <w:rPr>
                <w:sz w:val="24"/>
                <w:szCs w:val="24"/>
                <w:color w:val="auto"/>
              </w:rPr>
            </w:pPr>
          </w:p>
        </w:tc>
      </w:tr>
      <w:tr>
        <w:trPr>
          <w:trHeight w:val="270"/>
        </w:trPr>
        <w:tc>
          <w:tcPr>
            <w:tcW w:w="640" w:type="dxa"/>
            <w:vAlign w:val="bottom"/>
          </w:tcPr>
          <w:p>
            <w:pPr>
              <w:ind w:left="100"/>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23"/>
                <w:szCs w:val="23"/>
                <w:color w:val="auto"/>
              </w:rPr>
            </w:pPr>
          </w:p>
        </w:tc>
        <w:tc>
          <w:tcPr>
            <w:tcW w:w="714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323">
              <w:r>
                <w:rPr>
                  <w:rFonts w:ascii="Arial" w:cs="Arial" w:eastAsia="Arial" w:hAnsi="Arial"/>
                  <w:sz w:val="18"/>
                  <w:szCs w:val="18"/>
                  <w:color w:val="0000EE"/>
                  <w:w w:val="99"/>
                </w:rPr>
                <w:t>Amended and Restated Certificate of Incorporation of the Registrant, as currently in effect</w:t>
              </w:r>
            </w:hyperlink>
          </w:p>
        </w:tc>
        <w:tc>
          <w:tcPr>
            <w:tcW w:w="2480" w:type="dxa"/>
            <w:vAlign w:val="bottom"/>
            <w:gridSpan w:val="3"/>
          </w:tcPr>
          <w:p>
            <w:pPr>
              <w:spacing w:after="0"/>
              <w:rPr>
                <w:sz w:val="23"/>
                <w:szCs w:val="23"/>
                <w:color w:val="auto"/>
              </w:rPr>
            </w:pPr>
          </w:p>
        </w:tc>
      </w:tr>
      <w:tr>
        <w:trPr>
          <w:trHeight w:val="290"/>
        </w:trPr>
        <w:tc>
          <w:tcPr>
            <w:tcW w:w="640" w:type="dxa"/>
            <w:vAlign w:val="bottom"/>
          </w:tcPr>
          <w:p>
            <w:pPr>
              <w:ind w:left="100"/>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4"/>
                <w:szCs w:val="24"/>
                <w:color w:val="auto"/>
              </w:rPr>
            </w:pPr>
          </w:p>
        </w:tc>
        <w:tc>
          <w:tcPr>
            <w:tcW w:w="9620" w:type="dxa"/>
            <w:vAlign w:val="bottom"/>
            <w:gridSpan w:val="8"/>
          </w:tcPr>
          <w:p>
            <w:pPr>
              <w:spacing w:after="0"/>
              <w:rPr>
                <w:rFonts w:ascii="Arial" w:cs="Arial" w:eastAsia="Arial" w:hAnsi="Arial"/>
                <w:sz w:val="18"/>
                <w:szCs w:val="18"/>
                <w:color w:val="0000EE"/>
              </w:rPr>
            </w:pPr>
            <w:hyperlink w:anchor="page371">
              <w:r>
                <w:rPr>
                  <w:rFonts w:ascii="Arial" w:cs="Arial" w:eastAsia="Arial" w:hAnsi="Arial"/>
                  <w:sz w:val="18"/>
                  <w:szCs w:val="18"/>
                  <w:color w:val="0000EE"/>
                </w:rPr>
                <w:t>Form of Restated Certificate of Incorporation, to be effective immediately prior to the completion of this offering.</w:t>
              </w:r>
            </w:hyperlink>
          </w:p>
        </w:tc>
      </w:tr>
      <w:tr>
        <w:trPr>
          <w:trHeight w:val="290"/>
        </w:trPr>
        <w:tc>
          <w:tcPr>
            <w:tcW w:w="640" w:type="dxa"/>
            <w:vAlign w:val="bottom"/>
          </w:tcPr>
          <w:p>
            <w:pPr>
              <w:ind w:left="100"/>
              <w:spacing w:after="0"/>
              <w:rPr>
                <w:sz w:val="20"/>
                <w:szCs w:val="20"/>
                <w:color w:val="auto"/>
              </w:rPr>
            </w:pPr>
            <w:r>
              <w:rPr>
                <w:rFonts w:ascii="Arial" w:cs="Arial" w:eastAsia="Arial" w:hAnsi="Arial"/>
                <w:sz w:val="18"/>
                <w:szCs w:val="18"/>
                <w:color w:val="auto"/>
              </w:rPr>
              <w:t>3.3</w:t>
            </w:r>
          </w:p>
        </w:tc>
        <w:tc>
          <w:tcPr>
            <w:tcW w:w="740" w:type="dxa"/>
            <w:vAlign w:val="bottom"/>
          </w:tcPr>
          <w:p>
            <w:pPr>
              <w:spacing w:after="0"/>
              <w:rPr>
                <w:sz w:val="24"/>
                <w:szCs w:val="24"/>
                <w:color w:val="auto"/>
              </w:rPr>
            </w:pPr>
          </w:p>
        </w:tc>
        <w:tc>
          <w:tcPr>
            <w:tcW w:w="8840" w:type="dxa"/>
            <w:vAlign w:val="bottom"/>
            <w:tcBorders>
              <w:top w:val="single" w:sz="8" w:color="0000EE"/>
            </w:tcBorders>
            <w:gridSpan w:val="7"/>
          </w:tcPr>
          <w:p>
            <w:pPr>
              <w:spacing w:after="0"/>
              <w:rPr>
                <w:rFonts w:ascii="Arial" w:cs="Arial" w:eastAsia="Arial" w:hAnsi="Arial"/>
                <w:sz w:val="18"/>
                <w:szCs w:val="18"/>
                <w:color w:val="0000EE"/>
              </w:rPr>
            </w:pPr>
            <w:hyperlink w:anchor="page380">
              <w:r>
                <w:rPr>
                  <w:rFonts w:ascii="Arial" w:cs="Arial" w:eastAsia="Arial" w:hAnsi="Arial"/>
                  <w:sz w:val="18"/>
                  <w:szCs w:val="18"/>
                  <w:color w:val="0000EE"/>
                </w:rPr>
                <w:t>Bylaws of the Registrant, as currently in effect.</w:t>
              </w:r>
            </w:hyperlink>
          </w:p>
        </w:tc>
        <w:tc>
          <w:tcPr>
            <w:tcW w:w="7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r>
      <w:tr>
        <w:trPr>
          <w:trHeight w:val="290"/>
        </w:trPr>
        <w:tc>
          <w:tcPr>
            <w:tcW w:w="640" w:type="dxa"/>
            <w:vAlign w:val="bottom"/>
          </w:tcPr>
          <w:p>
            <w:pPr>
              <w:ind w:left="100"/>
              <w:spacing w:after="0"/>
              <w:rPr>
                <w:sz w:val="20"/>
                <w:szCs w:val="20"/>
                <w:color w:val="auto"/>
              </w:rPr>
            </w:pPr>
            <w:r>
              <w:rPr>
                <w:rFonts w:ascii="Arial" w:cs="Arial" w:eastAsia="Arial" w:hAnsi="Arial"/>
                <w:sz w:val="18"/>
                <w:szCs w:val="18"/>
                <w:color w:val="auto"/>
              </w:rPr>
              <w:t>3.4</w:t>
            </w:r>
          </w:p>
        </w:tc>
        <w:tc>
          <w:tcPr>
            <w:tcW w:w="740" w:type="dxa"/>
            <w:vAlign w:val="bottom"/>
          </w:tcPr>
          <w:p>
            <w:pPr>
              <w:spacing w:after="0"/>
              <w:rPr>
                <w:sz w:val="24"/>
                <w:szCs w:val="24"/>
                <w:color w:val="auto"/>
              </w:rPr>
            </w:pPr>
          </w:p>
        </w:tc>
        <w:tc>
          <w:tcPr>
            <w:tcW w:w="9620" w:type="dxa"/>
            <w:vAlign w:val="bottom"/>
            <w:gridSpan w:val="8"/>
          </w:tcPr>
          <w:p>
            <w:pPr>
              <w:spacing w:after="0"/>
              <w:rPr>
                <w:rFonts w:ascii="Arial" w:cs="Arial" w:eastAsia="Arial" w:hAnsi="Arial"/>
                <w:sz w:val="18"/>
                <w:szCs w:val="18"/>
                <w:color w:val="0000EE"/>
              </w:rPr>
            </w:pPr>
            <w:hyperlink w:anchor="page399">
              <w:r>
                <w:rPr>
                  <w:rFonts w:ascii="Arial" w:cs="Arial" w:eastAsia="Arial" w:hAnsi="Arial"/>
                  <w:sz w:val="18"/>
                  <w:szCs w:val="18"/>
                  <w:color w:val="0000EE"/>
                </w:rPr>
                <w:t>Form of Restated Bylaws, to be effective immediately prior to the completion of this offering.</w:t>
              </w:r>
            </w:hyperlink>
          </w:p>
        </w:tc>
      </w:tr>
      <w:tr>
        <w:trPr>
          <w:trHeight w:val="20"/>
        </w:trPr>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3520" w:type="dxa"/>
            <w:vAlign w:val="bottom"/>
            <w:gridSpan w:val="4"/>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r>
      <w:tr>
        <w:trPr>
          <w:trHeight w:val="291"/>
        </w:trPr>
        <w:tc>
          <w:tcPr>
            <w:tcW w:w="640" w:type="dxa"/>
            <w:vAlign w:val="bottom"/>
          </w:tcPr>
          <w:p>
            <w:pPr>
              <w:ind w:left="100"/>
              <w:spacing w:after="0"/>
              <w:rPr>
                <w:sz w:val="20"/>
                <w:szCs w:val="20"/>
                <w:color w:val="auto"/>
              </w:rPr>
            </w:pPr>
            <w:r>
              <w:rPr>
                <w:rFonts w:ascii="Arial" w:cs="Arial" w:eastAsia="Arial" w:hAnsi="Arial"/>
                <w:sz w:val="18"/>
                <w:szCs w:val="18"/>
                <w:color w:val="auto"/>
              </w:rPr>
              <w:t>4.2</w:t>
            </w:r>
          </w:p>
        </w:tc>
        <w:tc>
          <w:tcPr>
            <w:tcW w:w="740" w:type="dxa"/>
            <w:vAlign w:val="bottom"/>
          </w:tcPr>
          <w:p>
            <w:pPr>
              <w:spacing w:after="0"/>
              <w:rPr>
                <w:sz w:val="24"/>
                <w:szCs w:val="24"/>
                <w:color w:val="auto"/>
              </w:rPr>
            </w:pPr>
          </w:p>
        </w:tc>
        <w:tc>
          <w:tcPr>
            <w:tcW w:w="962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429">
              <w:r>
                <w:rPr>
                  <w:rFonts w:ascii="Arial" w:cs="Arial" w:eastAsia="Arial" w:hAnsi="Arial"/>
                  <w:sz w:val="18"/>
                  <w:szCs w:val="18"/>
                  <w:color w:val="0000EE"/>
                  <w:w w:val="99"/>
                </w:rPr>
                <w:t>Amended and Restated Investors’ Rights Agreement, dated February 23, 2021, by and among the Registrant and certain</w:t>
              </w:r>
            </w:hyperlink>
          </w:p>
        </w:tc>
      </w:tr>
      <w:tr>
        <w:trPr>
          <w:trHeight w:val="182"/>
        </w:trPr>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78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429">
              <w:r>
                <w:rPr>
                  <w:rFonts w:ascii="Arial" w:cs="Arial" w:eastAsia="Arial" w:hAnsi="Arial"/>
                  <w:sz w:val="18"/>
                  <w:szCs w:val="18"/>
                  <w:color w:val="0000EE"/>
                  <w:w w:val="99"/>
                </w:rPr>
                <w:t>security holders of the Registrant, as amended.</w:t>
              </w:r>
            </w:hyperlink>
          </w:p>
        </w:tc>
        <w:tc>
          <w:tcPr>
            <w:tcW w:w="5840" w:type="dxa"/>
            <w:vAlign w:val="bottom"/>
            <w:gridSpan w:val="6"/>
          </w:tcPr>
          <w:p>
            <w:pPr>
              <w:spacing w:after="0"/>
              <w:rPr>
                <w:sz w:val="15"/>
                <w:szCs w:val="15"/>
                <w:color w:val="auto"/>
              </w:rPr>
            </w:pPr>
          </w:p>
        </w:tc>
      </w:tr>
      <w:tr>
        <w:trPr>
          <w:trHeight w:val="331"/>
        </w:trPr>
        <w:tc>
          <w:tcPr>
            <w:tcW w:w="640" w:type="dxa"/>
            <w:vAlign w:val="bottom"/>
          </w:tcPr>
          <w:p>
            <w:pPr>
              <w:ind w:left="100"/>
              <w:spacing w:after="0"/>
              <w:rPr>
                <w:sz w:val="20"/>
                <w:szCs w:val="20"/>
                <w:color w:val="auto"/>
              </w:rPr>
            </w:pPr>
            <w:r>
              <w:rPr>
                <w:rFonts w:ascii="Arial" w:cs="Arial" w:eastAsia="Arial" w:hAnsi="Arial"/>
                <w:sz w:val="18"/>
                <w:szCs w:val="18"/>
                <w:color w:val="auto"/>
              </w:rPr>
              <w:t>4.3*</w:t>
            </w:r>
          </w:p>
        </w:tc>
        <w:tc>
          <w:tcPr>
            <w:tcW w:w="74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Form of Warrant to Purchase Common Stock</w:t>
            </w:r>
          </w:p>
        </w:tc>
      </w:tr>
      <w:tr>
        <w:trPr>
          <w:trHeight w:val="310"/>
        </w:trPr>
        <w:tc>
          <w:tcPr>
            <w:tcW w:w="640" w:type="dxa"/>
            <w:vAlign w:val="bottom"/>
          </w:tcPr>
          <w:p>
            <w:pPr>
              <w:ind w:left="100"/>
              <w:spacing w:after="0"/>
              <w:rPr>
                <w:sz w:val="20"/>
                <w:szCs w:val="20"/>
                <w:color w:val="auto"/>
              </w:rPr>
            </w:pPr>
            <w:r>
              <w:rPr>
                <w:rFonts w:ascii="Arial" w:cs="Arial" w:eastAsia="Arial" w:hAnsi="Arial"/>
                <w:sz w:val="18"/>
                <w:szCs w:val="18"/>
                <w:color w:val="auto"/>
              </w:rPr>
              <w:t>4.4*</w:t>
            </w:r>
          </w:p>
        </w:tc>
        <w:tc>
          <w:tcPr>
            <w:tcW w:w="74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Form of Warrant to Purchase Series C Preferred Stock</w:t>
            </w:r>
          </w:p>
        </w:tc>
      </w:tr>
      <w:tr>
        <w:trPr>
          <w:trHeight w:val="311"/>
        </w:trPr>
        <w:tc>
          <w:tcPr>
            <w:tcW w:w="640" w:type="dxa"/>
            <w:vAlign w:val="bottom"/>
          </w:tcPr>
          <w:p>
            <w:pPr>
              <w:ind w:left="100"/>
              <w:spacing w:after="0"/>
              <w:rPr>
                <w:sz w:val="20"/>
                <w:szCs w:val="20"/>
                <w:color w:val="auto"/>
              </w:rPr>
            </w:pPr>
            <w:r>
              <w:rPr>
                <w:rFonts w:ascii="Arial" w:cs="Arial" w:eastAsia="Arial" w:hAnsi="Arial"/>
                <w:sz w:val="18"/>
                <w:szCs w:val="18"/>
                <w:color w:val="auto"/>
              </w:rPr>
              <w:t>5.1*</w:t>
            </w:r>
          </w:p>
        </w:tc>
        <w:tc>
          <w:tcPr>
            <w:tcW w:w="74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Opinion of Gunderson Dettmer Stough Villeneuve Franklin &amp; Hachigian, LLP.</w:t>
            </w:r>
          </w:p>
        </w:tc>
      </w:tr>
      <w:tr>
        <w:trPr>
          <w:trHeight w:val="351"/>
        </w:trPr>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80" w:type="dxa"/>
            <w:vAlign w:val="bottom"/>
            <w:gridSpan w:val="5"/>
          </w:tcPr>
          <w:p>
            <w:pPr>
              <w:ind w:left="16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120"/>
          </w:cols>
          <w:pgMar w:left="320" w:top="459" w:right="45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60" w:type="dxa"/>
            <w:vAlign w:val="bottom"/>
          </w:tcPr>
          <w:p>
            <w:pPr>
              <w:ind w:left="60"/>
              <w:spacing w:after="0"/>
              <w:rPr>
                <w:sz w:val="20"/>
                <w:szCs w:val="20"/>
                <w:color w:val="auto"/>
              </w:rPr>
            </w:pPr>
            <w:r>
              <w:rPr>
                <w:rFonts w:ascii="Arial" w:cs="Arial" w:eastAsia="Arial" w:hAnsi="Arial"/>
                <w:sz w:val="18"/>
                <w:szCs w:val="18"/>
                <w:color w:val="auto"/>
              </w:rPr>
              <w:t>Exhibit</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w w:val="96"/>
              </w:rPr>
              <w:t>Number</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9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w w:val="99"/>
              </w:rPr>
              <w:t>Description of Document</w:t>
            </w:r>
          </w:p>
        </w:tc>
        <w:tc>
          <w:tcPr>
            <w:tcW w:w="3880" w:type="dxa"/>
            <w:vAlign w:val="bottom"/>
            <w:gridSpan w:val="13"/>
          </w:tcPr>
          <w:p>
            <w:pPr>
              <w:spacing w:after="0"/>
              <w:rPr>
                <w:sz w:val="17"/>
                <w:szCs w:val="17"/>
                <w:color w:val="auto"/>
              </w:rPr>
            </w:pP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9760" w:type="dxa"/>
            <w:vAlign w:val="bottom"/>
            <w:gridSpan w:val="20"/>
          </w:tcPr>
          <w:p>
            <w:pPr>
              <w:spacing w:after="0"/>
              <w:rPr>
                <w:sz w:val="20"/>
                <w:szCs w:val="20"/>
                <w:color w:val="auto"/>
              </w:rPr>
            </w:pPr>
            <w:r>
              <w:rPr>
                <w:rFonts w:ascii="Arial" w:cs="Arial" w:eastAsia="Arial" w:hAnsi="Arial"/>
                <w:sz w:val="18"/>
                <w:szCs w:val="18"/>
                <w:color w:val="auto"/>
              </w:rPr>
              <w:t>Form of Indemnification Agreement.</w:t>
            </w:r>
          </w:p>
        </w:tc>
      </w:tr>
      <w:tr>
        <w:trPr>
          <w:trHeight w:val="311"/>
        </w:trPr>
        <w:tc>
          <w:tcPr>
            <w:tcW w:w="660" w:type="dxa"/>
            <w:vAlign w:val="bottom"/>
          </w:tcPr>
          <w:p>
            <w:pPr>
              <w:spacing w:after="0"/>
              <w:rPr>
                <w:sz w:val="20"/>
                <w:szCs w:val="20"/>
                <w:color w:val="auto"/>
              </w:rPr>
            </w:pPr>
            <w:r>
              <w:rPr>
                <w:rFonts w:ascii="Arial" w:cs="Arial" w:eastAsia="Arial" w:hAnsi="Arial"/>
                <w:sz w:val="18"/>
                <w:szCs w:val="18"/>
                <w:color w:val="auto"/>
              </w:rPr>
              <w:t>10.2*</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w w:val="99"/>
              </w:rPr>
              <w:t>2009</w:t>
            </w:r>
          </w:p>
        </w:tc>
        <w:tc>
          <w:tcPr>
            <w:tcW w:w="9340" w:type="dxa"/>
            <w:vAlign w:val="bottom"/>
            <w:gridSpan w:val="19"/>
          </w:tcPr>
          <w:p>
            <w:pPr>
              <w:ind w:left="20"/>
              <w:spacing w:after="0"/>
              <w:rPr>
                <w:sz w:val="20"/>
                <w:szCs w:val="20"/>
                <w:color w:val="auto"/>
              </w:rPr>
            </w:pPr>
            <w:r>
              <w:rPr>
                <w:rFonts w:ascii="Arial" w:cs="Arial" w:eastAsia="Arial" w:hAnsi="Arial"/>
                <w:sz w:val="18"/>
                <w:szCs w:val="18"/>
                <w:color w:val="auto"/>
              </w:rPr>
              <w:t>Equity Incentive Plan, as amended, and forms of equity agreements thereunder.</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10.3*</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w w:val="99"/>
              </w:rPr>
              <w:t>2018</w:t>
            </w:r>
          </w:p>
        </w:tc>
        <w:tc>
          <w:tcPr>
            <w:tcW w:w="9340" w:type="dxa"/>
            <w:vAlign w:val="bottom"/>
            <w:gridSpan w:val="19"/>
          </w:tcPr>
          <w:p>
            <w:pPr>
              <w:ind w:left="20"/>
              <w:spacing w:after="0"/>
              <w:rPr>
                <w:sz w:val="20"/>
                <w:szCs w:val="20"/>
                <w:color w:val="auto"/>
              </w:rPr>
            </w:pPr>
            <w:r>
              <w:rPr>
                <w:rFonts w:ascii="Arial" w:cs="Arial" w:eastAsia="Arial" w:hAnsi="Arial"/>
                <w:sz w:val="18"/>
                <w:szCs w:val="18"/>
                <w:color w:val="auto"/>
              </w:rPr>
              <w:t>Stock Incentive Plan, as amended, and forms of equity agreements thereunder.</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10.4</w:t>
            </w:r>
          </w:p>
        </w:tc>
        <w:tc>
          <w:tcPr>
            <w:tcW w:w="980" w:type="dxa"/>
            <w:vAlign w:val="bottom"/>
            <w:gridSpan w:val="2"/>
          </w:tcPr>
          <w:p>
            <w:pPr>
              <w:ind w:left="560"/>
              <w:spacing w:after="0"/>
              <w:rPr>
                <w:rFonts w:ascii="Arial" w:cs="Arial" w:eastAsia="Arial" w:hAnsi="Arial"/>
                <w:sz w:val="18"/>
                <w:szCs w:val="18"/>
                <w:color w:val="0000EE"/>
                <w:w w:val="99"/>
              </w:rPr>
            </w:pPr>
            <w:hyperlink w:anchor="page484">
              <w:r>
                <w:rPr>
                  <w:rFonts w:ascii="Arial" w:cs="Arial" w:eastAsia="Arial" w:hAnsi="Arial"/>
                  <w:sz w:val="18"/>
                  <w:szCs w:val="18"/>
                  <w:color w:val="0000EE"/>
                  <w:w w:val="99"/>
                </w:rPr>
                <w:t>2021</w:t>
              </w:r>
            </w:hyperlink>
          </w:p>
        </w:tc>
        <w:tc>
          <w:tcPr>
            <w:tcW w:w="9340" w:type="dxa"/>
            <w:vAlign w:val="bottom"/>
            <w:gridSpan w:val="19"/>
          </w:tcPr>
          <w:p>
            <w:pPr>
              <w:ind w:left="20"/>
              <w:spacing w:after="0"/>
              <w:rPr>
                <w:rFonts w:ascii="Arial" w:cs="Arial" w:eastAsia="Arial" w:hAnsi="Arial"/>
                <w:sz w:val="18"/>
                <w:szCs w:val="18"/>
                <w:color w:val="0000EE"/>
              </w:rPr>
            </w:pPr>
            <w:hyperlink w:anchor="page484">
              <w:r>
                <w:rPr>
                  <w:rFonts w:ascii="Arial" w:cs="Arial" w:eastAsia="Arial" w:hAnsi="Arial"/>
                  <w:sz w:val="18"/>
                  <w:szCs w:val="18"/>
                  <w:color w:val="0000EE"/>
                </w:rPr>
                <w:t>Equity Incentive Plan, to become effective on the day immediately before the date of this prospectus, and forms of</w:t>
              </w:r>
            </w:hyperlink>
          </w:p>
        </w:tc>
      </w:tr>
      <w:tr>
        <w:trPr>
          <w:trHeight w:val="183"/>
        </w:trPr>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484">
              <w:r>
                <w:rPr>
                  <w:rFonts w:ascii="Arial" w:cs="Arial" w:eastAsia="Arial" w:hAnsi="Arial"/>
                  <w:sz w:val="18"/>
                  <w:szCs w:val="18"/>
                  <w:color w:val="0000EE"/>
                  <w:w w:val="98"/>
                </w:rPr>
                <w:t>equity agreements thereunder.</w:t>
              </w:r>
            </w:hyperlink>
          </w:p>
        </w:tc>
        <w:tc>
          <w:tcPr>
            <w:tcW w:w="7060" w:type="dxa"/>
            <w:vAlign w:val="bottom"/>
            <w:tcBorders>
              <w:top w:val="single" w:sz="8" w:color="0000EE"/>
            </w:tcBorders>
            <w:gridSpan w:val="15"/>
          </w:tcPr>
          <w:p>
            <w:pPr>
              <w:spacing w:after="0"/>
              <w:rPr>
                <w:sz w:val="15"/>
                <w:szCs w:val="15"/>
                <w:color w:val="auto"/>
              </w:rPr>
            </w:pPr>
          </w:p>
        </w:tc>
        <w:tc>
          <w:tcPr>
            <w:tcW w:w="260" w:type="dxa"/>
            <w:vAlign w:val="bottom"/>
          </w:tcPr>
          <w:p>
            <w:pPr>
              <w:spacing w:after="0"/>
              <w:rPr>
                <w:sz w:val="15"/>
                <w:szCs w:val="15"/>
                <w:color w:val="auto"/>
              </w:rPr>
            </w:pPr>
          </w:p>
        </w:tc>
      </w:tr>
      <w:tr>
        <w:trPr>
          <w:trHeight w:val="291"/>
        </w:trPr>
        <w:tc>
          <w:tcPr>
            <w:tcW w:w="660" w:type="dxa"/>
            <w:vAlign w:val="bottom"/>
          </w:tcPr>
          <w:p>
            <w:pPr>
              <w:spacing w:after="0"/>
              <w:rPr>
                <w:sz w:val="20"/>
                <w:szCs w:val="20"/>
                <w:color w:val="auto"/>
              </w:rPr>
            </w:pPr>
            <w:r>
              <w:rPr>
                <w:rFonts w:ascii="Arial" w:cs="Arial" w:eastAsia="Arial" w:hAnsi="Arial"/>
                <w:sz w:val="18"/>
                <w:szCs w:val="18"/>
                <w:color w:val="auto"/>
              </w:rPr>
              <w:t>10.5</w:t>
            </w:r>
          </w:p>
        </w:tc>
        <w:tc>
          <w:tcPr>
            <w:tcW w:w="980" w:type="dxa"/>
            <w:vAlign w:val="bottom"/>
            <w:gridSpan w:val="2"/>
          </w:tcPr>
          <w:p>
            <w:pPr>
              <w:ind w:left="560"/>
              <w:spacing w:after="0"/>
              <w:rPr>
                <w:rFonts w:ascii="Arial" w:cs="Arial" w:eastAsia="Arial" w:hAnsi="Arial"/>
                <w:sz w:val="18"/>
                <w:szCs w:val="18"/>
                <w:color w:val="0000EE"/>
                <w:w w:val="99"/>
              </w:rPr>
            </w:pPr>
            <w:hyperlink w:anchor="page507">
              <w:r>
                <w:rPr>
                  <w:rFonts w:ascii="Arial" w:cs="Arial" w:eastAsia="Arial" w:hAnsi="Arial"/>
                  <w:sz w:val="18"/>
                  <w:szCs w:val="18"/>
                  <w:color w:val="0000EE"/>
                  <w:w w:val="99"/>
                </w:rPr>
                <w:t>2021</w:t>
              </w:r>
            </w:hyperlink>
          </w:p>
        </w:tc>
        <w:tc>
          <w:tcPr>
            <w:tcW w:w="9340" w:type="dxa"/>
            <w:vAlign w:val="bottom"/>
            <w:gridSpan w:val="19"/>
          </w:tcPr>
          <w:p>
            <w:pPr>
              <w:ind w:left="20"/>
              <w:spacing w:after="0"/>
              <w:rPr>
                <w:rFonts w:ascii="Arial" w:cs="Arial" w:eastAsia="Arial" w:hAnsi="Arial"/>
                <w:sz w:val="18"/>
                <w:szCs w:val="18"/>
                <w:color w:val="0000EE"/>
              </w:rPr>
            </w:pPr>
            <w:hyperlink w:anchor="page507">
              <w:r>
                <w:rPr>
                  <w:rFonts w:ascii="Arial" w:cs="Arial" w:eastAsia="Arial" w:hAnsi="Arial"/>
                  <w:sz w:val="18"/>
                  <w:szCs w:val="18"/>
                  <w:color w:val="0000EE"/>
                </w:rPr>
                <w:t>Employee Stock Purchase Plan, to be effective on the effective date of this registration statement, and form of</w:t>
              </w:r>
            </w:hyperlink>
          </w:p>
        </w:tc>
      </w:tr>
      <w:tr>
        <w:trPr>
          <w:trHeight w:val="183"/>
        </w:trPr>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507">
              <w:r>
                <w:rPr>
                  <w:rFonts w:ascii="Arial" w:cs="Arial" w:eastAsia="Arial" w:hAnsi="Arial"/>
                  <w:sz w:val="18"/>
                  <w:szCs w:val="18"/>
                  <w:color w:val="0000EE"/>
                  <w:w w:val="98"/>
                </w:rPr>
                <w:t>subscription agreement.</w:t>
              </w:r>
            </w:hyperlink>
          </w:p>
        </w:tc>
        <w:tc>
          <w:tcPr>
            <w:tcW w:w="7240" w:type="dxa"/>
            <w:vAlign w:val="bottom"/>
            <w:tcBorders>
              <w:top w:val="single" w:sz="8" w:color="0000EE"/>
            </w:tcBorders>
            <w:gridSpan w:val="13"/>
          </w:tcPr>
          <w:p>
            <w:pPr>
              <w:spacing w:after="0"/>
              <w:rPr>
                <w:sz w:val="15"/>
                <w:szCs w:val="15"/>
                <w:color w:val="auto"/>
              </w:rPr>
            </w:pPr>
          </w:p>
        </w:tc>
        <w:tc>
          <w:tcPr>
            <w:tcW w:w="600" w:type="dxa"/>
            <w:vAlign w:val="bottom"/>
            <w:gridSpan w:val="4"/>
          </w:tcPr>
          <w:p>
            <w:pPr>
              <w:spacing w:after="0"/>
              <w:rPr>
                <w:sz w:val="15"/>
                <w:szCs w:val="15"/>
                <w:color w:val="auto"/>
              </w:rPr>
            </w:pPr>
          </w:p>
        </w:tc>
      </w:tr>
      <w:tr>
        <w:trPr>
          <w:trHeight w:val="317"/>
        </w:trPr>
        <w:tc>
          <w:tcPr>
            <w:tcW w:w="660" w:type="dxa"/>
            <w:vAlign w:val="bottom"/>
          </w:tcPr>
          <w:p>
            <w:pPr>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9760" w:type="dxa"/>
            <w:vAlign w:val="bottom"/>
            <w:gridSpan w:val="20"/>
          </w:tcPr>
          <w:p>
            <w:pPr>
              <w:spacing w:after="0"/>
              <w:rPr>
                <w:sz w:val="20"/>
                <w:szCs w:val="20"/>
                <w:color w:val="auto"/>
              </w:rPr>
            </w:pPr>
            <w:r>
              <w:rPr>
                <w:rFonts w:ascii="Arial" w:cs="Arial" w:eastAsia="Arial" w:hAnsi="Arial"/>
                <w:sz w:val="18"/>
                <w:szCs w:val="18"/>
                <w:color w:val="auto"/>
                <w:w w:val="99"/>
              </w:rPr>
              <w:t>Loan and Security Agreement, by and between the Registrant and certain of its subsidiaries and Silicon Valley Bank, dated</w:t>
            </w:r>
          </w:p>
        </w:tc>
      </w:tr>
      <w:tr>
        <w:trPr>
          <w:trHeight w:val="203"/>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60" w:type="dxa"/>
            <w:vAlign w:val="bottom"/>
            <w:gridSpan w:val="20"/>
          </w:tcPr>
          <w:p>
            <w:pPr>
              <w:spacing w:after="0" w:line="202" w:lineRule="exact"/>
              <w:rPr>
                <w:sz w:val="20"/>
                <w:szCs w:val="20"/>
                <w:color w:val="auto"/>
              </w:rPr>
            </w:pPr>
            <w:r>
              <w:rPr>
                <w:rFonts w:ascii="Arial" w:cs="Arial" w:eastAsia="Arial" w:hAnsi="Arial"/>
                <w:sz w:val="18"/>
                <w:szCs w:val="18"/>
                <w:color w:val="auto"/>
                <w:w w:val="99"/>
              </w:rPr>
              <w:t>January 16, 2018, as amended by the Joinder and First Amendment to Loan Security Agreement, dated April 25, 2018; the</w:t>
            </w:r>
          </w:p>
        </w:tc>
      </w:tr>
      <w:tr>
        <w:trPr>
          <w:trHeight w:val="203"/>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60" w:type="dxa"/>
            <w:vAlign w:val="bottom"/>
            <w:gridSpan w:val="20"/>
          </w:tcPr>
          <w:p>
            <w:pPr>
              <w:spacing w:after="0" w:line="202" w:lineRule="exact"/>
              <w:rPr>
                <w:sz w:val="20"/>
                <w:szCs w:val="20"/>
                <w:color w:val="auto"/>
              </w:rPr>
            </w:pPr>
            <w:r>
              <w:rPr>
                <w:rFonts w:ascii="Arial" w:cs="Arial" w:eastAsia="Arial" w:hAnsi="Arial"/>
                <w:sz w:val="18"/>
                <w:szCs w:val="18"/>
                <w:color w:val="auto"/>
                <w:w w:val="99"/>
              </w:rPr>
              <w:t>Joinder and Second Amendment to Loan and Security Agreement, dated May 15, 2020; the Third Amendment to Loan and</w:t>
            </w:r>
          </w:p>
        </w:tc>
      </w:tr>
      <w:tr>
        <w:trPr>
          <w:trHeight w:val="203"/>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60" w:type="dxa"/>
            <w:vAlign w:val="bottom"/>
            <w:gridSpan w:val="20"/>
          </w:tcPr>
          <w:p>
            <w:pPr>
              <w:spacing w:after="0" w:line="202" w:lineRule="exact"/>
              <w:rPr>
                <w:sz w:val="20"/>
                <w:szCs w:val="20"/>
                <w:color w:val="auto"/>
              </w:rPr>
            </w:pPr>
            <w:r>
              <w:rPr>
                <w:rFonts w:ascii="Arial" w:cs="Arial" w:eastAsia="Arial" w:hAnsi="Arial"/>
                <w:sz w:val="18"/>
                <w:szCs w:val="18"/>
                <w:color w:val="auto"/>
                <w:w w:val="99"/>
              </w:rPr>
              <w:t>Security Agreement, dated June 2, 2020; and the Consent and Fourth Amendment to Loan and Security Agreement, dated</w:t>
            </w:r>
          </w:p>
        </w:tc>
      </w:tr>
      <w:tr>
        <w:trPr>
          <w:trHeight w:val="217"/>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gridSpan w:val="20"/>
          </w:tcPr>
          <w:p>
            <w:pPr>
              <w:spacing w:after="0"/>
              <w:rPr>
                <w:sz w:val="20"/>
                <w:szCs w:val="20"/>
                <w:color w:val="auto"/>
              </w:rPr>
            </w:pPr>
            <w:r>
              <w:rPr>
                <w:rFonts w:ascii="Arial" w:cs="Arial" w:eastAsia="Arial" w:hAnsi="Arial"/>
                <w:sz w:val="18"/>
                <w:szCs w:val="18"/>
                <w:color w:val="auto"/>
              </w:rPr>
              <w:t>December 9, 2020.</w:t>
            </w:r>
          </w:p>
        </w:tc>
      </w:tr>
      <w:tr>
        <w:trPr>
          <w:trHeight w:val="283"/>
        </w:trPr>
        <w:tc>
          <w:tcPr>
            <w:tcW w:w="660" w:type="dxa"/>
            <w:vAlign w:val="bottom"/>
          </w:tcPr>
          <w:p>
            <w:pPr>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24"/>
                <w:szCs w:val="24"/>
                <w:color w:val="auto"/>
              </w:rPr>
            </w:pPr>
          </w:p>
        </w:tc>
        <w:tc>
          <w:tcPr>
            <w:tcW w:w="9760" w:type="dxa"/>
            <w:vAlign w:val="bottom"/>
            <w:gridSpan w:val="20"/>
          </w:tcPr>
          <w:p>
            <w:pPr>
              <w:spacing w:after="0"/>
              <w:rPr>
                <w:rFonts w:ascii="Arial" w:cs="Arial" w:eastAsia="Arial" w:hAnsi="Arial"/>
                <w:sz w:val="18"/>
                <w:szCs w:val="18"/>
                <w:color w:val="0000EE"/>
              </w:rPr>
            </w:pPr>
            <w:hyperlink w:anchor="page521">
              <w:r>
                <w:rPr>
                  <w:rFonts w:ascii="Arial" w:cs="Arial" w:eastAsia="Arial" w:hAnsi="Arial"/>
                  <w:sz w:val="18"/>
                  <w:szCs w:val="18"/>
                  <w:color w:val="0000EE"/>
                </w:rPr>
                <w:t>Offer Letter, effective as of March 16, 2012, by and between the Registrant and Michael Massaro.</w:t>
              </w:r>
            </w:hyperlink>
          </w:p>
        </w:tc>
      </w:tr>
      <w:tr>
        <w:trPr>
          <w:trHeight w:val="291"/>
        </w:trPr>
        <w:tc>
          <w:tcPr>
            <w:tcW w:w="660" w:type="dxa"/>
            <w:vAlign w:val="bottom"/>
          </w:tcPr>
          <w:p>
            <w:pPr>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24"/>
                <w:szCs w:val="24"/>
                <w:color w:val="auto"/>
              </w:rPr>
            </w:pPr>
          </w:p>
        </w:tc>
        <w:tc>
          <w:tcPr>
            <w:tcW w:w="7740" w:type="dxa"/>
            <w:vAlign w:val="bottom"/>
            <w:tcBorders>
              <w:top w:val="single" w:sz="8" w:color="0000EE"/>
            </w:tcBorders>
            <w:gridSpan w:val="13"/>
          </w:tcPr>
          <w:p>
            <w:pPr>
              <w:spacing w:after="0"/>
              <w:rPr>
                <w:rFonts w:ascii="Arial" w:cs="Arial" w:eastAsia="Arial" w:hAnsi="Arial"/>
                <w:sz w:val="18"/>
                <w:szCs w:val="18"/>
                <w:color w:val="0000EE"/>
              </w:rPr>
            </w:pPr>
            <w:hyperlink w:anchor="page524">
              <w:r>
                <w:rPr>
                  <w:rFonts w:ascii="Arial" w:cs="Arial" w:eastAsia="Arial" w:hAnsi="Arial"/>
                  <w:sz w:val="18"/>
                  <w:szCs w:val="18"/>
                  <w:color w:val="0000EE"/>
                </w:rPr>
                <w:t>Offer Letter, effective as of October 14, 2019, by and between the Registrant and Rob Orgel.</w:t>
              </w:r>
            </w:hyperlink>
          </w:p>
        </w:tc>
        <w:tc>
          <w:tcPr>
            <w:tcW w:w="2020" w:type="dxa"/>
            <w:vAlign w:val="bottom"/>
            <w:gridSpan w:val="7"/>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60" w:type="dxa"/>
            <w:vAlign w:val="bottom"/>
            <w:gridSpan w:val="4"/>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90"/>
        </w:trPr>
        <w:tc>
          <w:tcPr>
            <w:tcW w:w="660" w:type="dxa"/>
            <w:vAlign w:val="bottom"/>
          </w:tcPr>
          <w:p>
            <w:pPr>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24"/>
                <w:szCs w:val="24"/>
                <w:color w:val="auto"/>
              </w:rPr>
            </w:pPr>
          </w:p>
        </w:tc>
        <w:tc>
          <w:tcPr>
            <w:tcW w:w="9760" w:type="dxa"/>
            <w:vAlign w:val="bottom"/>
            <w:gridSpan w:val="20"/>
          </w:tcPr>
          <w:p>
            <w:pPr>
              <w:spacing w:after="0"/>
              <w:rPr>
                <w:rFonts w:ascii="Arial" w:cs="Arial" w:eastAsia="Arial" w:hAnsi="Arial"/>
                <w:sz w:val="18"/>
                <w:szCs w:val="18"/>
                <w:color w:val="0000EE"/>
              </w:rPr>
            </w:pPr>
            <w:hyperlink w:anchor="page531">
              <w:r>
                <w:rPr>
                  <w:rFonts w:ascii="Arial" w:cs="Arial" w:eastAsia="Arial" w:hAnsi="Arial"/>
                  <w:sz w:val="18"/>
                  <w:szCs w:val="18"/>
                  <w:color w:val="0000EE"/>
                </w:rPr>
                <w:t>Offer Letter, effective as of February 10, 2015, by and between the Registrant and Michael Ellis.</w:t>
              </w:r>
            </w:hyperlink>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60" w:type="dxa"/>
            <w:vAlign w:val="bottom"/>
            <w:gridSpan w:val="4"/>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91"/>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560" w:type="dxa"/>
            <w:vAlign w:val="bottom"/>
          </w:tcPr>
          <w:p>
            <w:pPr>
              <w:spacing w:after="0"/>
              <w:rPr>
                <w:sz w:val="24"/>
                <w:szCs w:val="24"/>
                <w:color w:val="auto"/>
              </w:rPr>
            </w:pPr>
          </w:p>
        </w:tc>
        <w:tc>
          <w:tcPr>
            <w:tcW w:w="782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535">
              <w:r>
                <w:rPr>
                  <w:rFonts w:ascii="Arial" w:cs="Arial" w:eastAsia="Arial" w:hAnsi="Arial"/>
                  <w:sz w:val="18"/>
                  <w:szCs w:val="18"/>
                  <w:color w:val="0000EE"/>
                  <w:w w:val="99"/>
                </w:rPr>
                <w:t>Offer Letter, effective as of January 29, 2015, by and between the Registrant and Peter Butterfield.</w:t>
              </w:r>
            </w:hyperlink>
          </w:p>
        </w:tc>
        <w:tc>
          <w:tcPr>
            <w:tcW w:w="1940" w:type="dxa"/>
            <w:vAlign w:val="bottom"/>
            <w:gridSpan w:val="5"/>
          </w:tcPr>
          <w:p>
            <w:pPr>
              <w:spacing w:after="0"/>
              <w:rPr>
                <w:sz w:val="24"/>
                <w:szCs w:val="24"/>
                <w:color w:val="auto"/>
              </w:rPr>
            </w:pPr>
          </w:p>
        </w:tc>
      </w:tr>
      <w:tr>
        <w:trPr>
          <w:trHeight w:val="290"/>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560" w:type="dxa"/>
            <w:vAlign w:val="bottom"/>
          </w:tcPr>
          <w:p>
            <w:pPr>
              <w:spacing w:after="0"/>
              <w:rPr>
                <w:sz w:val="24"/>
                <w:szCs w:val="24"/>
                <w:color w:val="auto"/>
              </w:rPr>
            </w:pPr>
          </w:p>
        </w:tc>
        <w:tc>
          <w:tcPr>
            <w:tcW w:w="740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538">
              <w:r>
                <w:rPr>
                  <w:rFonts w:ascii="Arial" w:cs="Arial" w:eastAsia="Arial" w:hAnsi="Arial"/>
                  <w:sz w:val="18"/>
                  <w:szCs w:val="18"/>
                  <w:color w:val="0000EE"/>
                  <w:w w:val="99"/>
                </w:rPr>
                <w:t>Offer Letter, effective as of January 11, 2018, by and between the Registrant and David King.</w:t>
              </w:r>
            </w:hyperlink>
          </w:p>
        </w:tc>
        <w:tc>
          <w:tcPr>
            <w:tcW w:w="2360" w:type="dxa"/>
            <w:vAlign w:val="bottom"/>
            <w:gridSpan w:val="10"/>
          </w:tcPr>
          <w:p>
            <w:pPr>
              <w:spacing w:after="0"/>
              <w:rPr>
                <w:sz w:val="24"/>
                <w:szCs w:val="24"/>
                <w:color w:val="auto"/>
              </w:rPr>
            </w:pPr>
          </w:p>
        </w:tc>
      </w:tr>
      <w:tr>
        <w:trPr>
          <w:trHeight w:val="291"/>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560" w:type="dxa"/>
            <w:vAlign w:val="bottom"/>
          </w:tcPr>
          <w:p>
            <w:pPr>
              <w:spacing w:after="0"/>
              <w:rPr>
                <w:sz w:val="24"/>
                <w:szCs w:val="24"/>
                <w:color w:val="auto"/>
              </w:rPr>
            </w:pPr>
          </w:p>
        </w:tc>
        <w:tc>
          <w:tcPr>
            <w:tcW w:w="9760" w:type="dxa"/>
            <w:vAlign w:val="bottom"/>
            <w:gridSpan w:val="20"/>
          </w:tcPr>
          <w:p>
            <w:pPr>
              <w:spacing w:after="0"/>
              <w:rPr>
                <w:rFonts w:ascii="Arial" w:cs="Arial" w:eastAsia="Arial" w:hAnsi="Arial"/>
                <w:sz w:val="18"/>
                <w:szCs w:val="18"/>
                <w:color w:val="0000EE"/>
              </w:rPr>
            </w:pPr>
            <w:hyperlink w:anchor="page540">
              <w:r>
                <w:rPr>
                  <w:rFonts w:ascii="Arial" w:cs="Arial" w:eastAsia="Arial" w:hAnsi="Arial"/>
                  <w:sz w:val="18"/>
                  <w:szCs w:val="18"/>
                  <w:color w:val="0000EE"/>
                </w:rPr>
                <w:t>Offer Letter, effective as of November 15, 2010, by and between the Registrant and Sharon Butler.</w:t>
              </w:r>
            </w:hyperlink>
          </w:p>
        </w:tc>
      </w:tr>
      <w:tr>
        <w:trPr>
          <w:trHeight w:val="290"/>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560" w:type="dxa"/>
            <w:vAlign w:val="bottom"/>
          </w:tcPr>
          <w:p>
            <w:pPr>
              <w:spacing w:after="0"/>
              <w:rPr>
                <w:sz w:val="24"/>
                <w:szCs w:val="24"/>
                <w:color w:val="auto"/>
              </w:rPr>
            </w:pPr>
          </w:p>
        </w:tc>
        <w:tc>
          <w:tcPr>
            <w:tcW w:w="75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9"/>
              </w:rPr>
            </w:pPr>
            <w:hyperlink w:anchor="page543">
              <w:r>
                <w:rPr>
                  <w:rFonts w:ascii="Arial" w:cs="Arial" w:eastAsia="Arial" w:hAnsi="Arial"/>
                  <w:sz w:val="18"/>
                  <w:szCs w:val="18"/>
                  <w:color w:val="0000EE"/>
                  <w:w w:val="99"/>
                </w:rPr>
                <w:t>Offer Letter, effective as of January 10, 2018, by and between the Registrant and John Talaga.</w:t>
              </w:r>
            </w:hyperlink>
          </w:p>
        </w:tc>
        <w:tc>
          <w:tcPr>
            <w:tcW w:w="300" w:type="dxa"/>
            <w:vAlign w:val="bottom"/>
            <w:tcBorders>
              <w:top w:val="single" w:sz="8" w:color="0000EE"/>
            </w:tcBorders>
            <w:gridSpan w:val="3"/>
          </w:tcPr>
          <w:p>
            <w:pPr>
              <w:spacing w:after="0"/>
              <w:rPr>
                <w:sz w:val="24"/>
                <w:szCs w:val="24"/>
                <w:color w:val="auto"/>
              </w:rPr>
            </w:pPr>
          </w:p>
        </w:tc>
        <w:tc>
          <w:tcPr>
            <w:tcW w:w="1960" w:type="dxa"/>
            <w:vAlign w:val="bottom"/>
            <w:gridSpan w:val="6"/>
          </w:tcPr>
          <w:p>
            <w:pPr>
              <w:spacing w:after="0"/>
              <w:rPr>
                <w:sz w:val="24"/>
                <w:szCs w:val="24"/>
                <w:color w:val="auto"/>
              </w:rPr>
            </w:pPr>
          </w:p>
        </w:tc>
      </w:tr>
      <w:tr>
        <w:trPr>
          <w:trHeight w:val="290"/>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560" w:type="dxa"/>
            <w:vAlign w:val="bottom"/>
          </w:tcPr>
          <w:p>
            <w:pPr>
              <w:spacing w:after="0"/>
              <w:rPr>
                <w:sz w:val="24"/>
                <w:szCs w:val="24"/>
                <w:color w:val="auto"/>
              </w:rPr>
            </w:pPr>
          </w:p>
        </w:tc>
        <w:tc>
          <w:tcPr>
            <w:tcW w:w="9760" w:type="dxa"/>
            <w:vAlign w:val="bottom"/>
            <w:gridSpan w:val="20"/>
          </w:tcPr>
          <w:p>
            <w:pPr>
              <w:spacing w:after="0"/>
              <w:rPr>
                <w:rFonts w:ascii="Arial" w:cs="Arial" w:eastAsia="Arial" w:hAnsi="Arial"/>
                <w:sz w:val="18"/>
                <w:szCs w:val="18"/>
                <w:color w:val="0000EE"/>
              </w:rPr>
            </w:pPr>
            <w:hyperlink w:anchor="page545">
              <w:r>
                <w:rPr>
                  <w:rFonts w:ascii="Arial" w:cs="Arial" w:eastAsia="Arial" w:hAnsi="Arial"/>
                  <w:sz w:val="18"/>
                  <w:szCs w:val="18"/>
                  <w:color w:val="0000EE"/>
                </w:rPr>
                <w:t>Office Lease, dated April 8, 2015, as amended by that certain First Amendment to Office Lease dated April 7, 2016 and</w:t>
              </w:r>
            </w:hyperlink>
          </w:p>
        </w:tc>
      </w:tr>
      <w:tr>
        <w:trPr>
          <w:trHeight w:val="183"/>
        </w:trPr>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545">
              <w:r>
                <w:rPr>
                  <w:rFonts w:ascii="Arial" w:cs="Arial" w:eastAsia="Arial" w:hAnsi="Arial"/>
                  <w:sz w:val="18"/>
                  <w:szCs w:val="18"/>
                  <w:color w:val="0000EE"/>
                </w:rPr>
                <w:t>that certain Second Amendment to Office Lease dated October 23, 2018, by and between the Registrant and NS 141</w:t>
              </w:r>
            </w:hyperlink>
          </w:p>
        </w:tc>
        <w:tc>
          <w:tcPr>
            <w:tcW w:w="300" w:type="dxa"/>
            <w:vAlign w:val="bottom"/>
            <w:gridSpan w:val="2"/>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3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545">
              <w:r>
                <w:rPr>
                  <w:rFonts w:ascii="Arial" w:cs="Arial" w:eastAsia="Arial" w:hAnsi="Arial"/>
                  <w:sz w:val="18"/>
                  <w:szCs w:val="18"/>
                  <w:color w:val="0000EE"/>
                </w:rPr>
                <w:t>Tremont LLC.</w:t>
              </w:r>
            </w:hyperlink>
          </w:p>
        </w:tc>
        <w:tc>
          <w:tcPr>
            <w:tcW w:w="420" w:type="dxa"/>
            <w:vAlign w:val="bottom"/>
            <w:gridSpan w:val="3"/>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r>
      <w:tr>
        <w:trPr>
          <w:trHeight w:val="331"/>
        </w:trPr>
        <w:tc>
          <w:tcPr>
            <w:tcW w:w="660" w:type="dxa"/>
            <w:vAlign w:val="bottom"/>
          </w:tcPr>
          <w:p>
            <w:pPr>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24"/>
                <w:szCs w:val="24"/>
                <w:color w:val="auto"/>
              </w:rPr>
            </w:pPr>
          </w:p>
        </w:tc>
        <w:tc>
          <w:tcPr>
            <w:tcW w:w="9760" w:type="dxa"/>
            <w:vAlign w:val="bottom"/>
            <w:gridSpan w:val="20"/>
          </w:tcPr>
          <w:p>
            <w:pPr>
              <w:spacing w:after="0"/>
              <w:rPr>
                <w:sz w:val="20"/>
                <w:szCs w:val="20"/>
                <w:color w:val="auto"/>
              </w:rPr>
            </w:pPr>
            <w:r>
              <w:rPr>
                <w:rFonts w:ascii="Arial" w:cs="Arial" w:eastAsia="Arial" w:hAnsi="Arial"/>
                <w:sz w:val="18"/>
                <w:szCs w:val="18"/>
                <w:color w:val="auto"/>
              </w:rPr>
              <w:t>List of Subsidiaries of the Registrant.</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3"/>
                <w:szCs w:val="23"/>
                <w:color w:val="auto"/>
              </w:rPr>
            </w:pPr>
          </w:p>
        </w:tc>
        <w:tc>
          <w:tcPr>
            <w:tcW w:w="706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623">
              <w:r>
                <w:rPr>
                  <w:rFonts w:ascii="Arial" w:cs="Arial" w:eastAsia="Arial" w:hAnsi="Arial"/>
                  <w:sz w:val="18"/>
                  <w:szCs w:val="18"/>
                  <w:color w:val="0000EE"/>
                  <w:w w:val="99"/>
                </w:rPr>
                <w:t>Consent of PricewaterhouseCoopers LLP, independent registered public accounting firm.</w:t>
              </w:r>
            </w:hyperlink>
          </w:p>
        </w:tc>
        <w:tc>
          <w:tcPr>
            <w:tcW w:w="2700" w:type="dxa"/>
            <w:vAlign w:val="bottom"/>
            <w:gridSpan w:val="12"/>
          </w:tcPr>
          <w:p>
            <w:pPr>
              <w:spacing w:after="0"/>
              <w:rPr>
                <w:sz w:val="23"/>
                <w:szCs w:val="23"/>
                <w:color w:val="auto"/>
              </w:rPr>
            </w:pPr>
          </w:p>
        </w:tc>
      </w:tr>
      <w:tr>
        <w:trPr>
          <w:trHeight w:val="331"/>
        </w:trPr>
        <w:tc>
          <w:tcPr>
            <w:tcW w:w="660" w:type="dxa"/>
            <w:vAlign w:val="bottom"/>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9760" w:type="dxa"/>
            <w:vAlign w:val="bottom"/>
            <w:gridSpan w:val="20"/>
          </w:tcPr>
          <w:p>
            <w:pPr>
              <w:spacing w:after="0"/>
              <w:rPr>
                <w:sz w:val="20"/>
                <w:szCs w:val="20"/>
                <w:color w:val="auto"/>
              </w:rPr>
            </w:pPr>
            <w:r>
              <w:rPr>
                <w:rFonts w:ascii="Arial" w:cs="Arial" w:eastAsia="Arial" w:hAnsi="Arial"/>
                <w:sz w:val="18"/>
                <w:szCs w:val="18"/>
                <w:color w:val="auto"/>
              </w:rPr>
              <w:t>Consent of Gunderson Dettmer Stough Villeneuve Franklin &amp; Hachigian, LLP (included in Exhibit 5.1).</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23.3</w:t>
            </w:r>
          </w:p>
        </w:tc>
        <w:tc>
          <w:tcPr>
            <w:tcW w:w="560" w:type="dxa"/>
            <w:vAlign w:val="bottom"/>
          </w:tcPr>
          <w:p>
            <w:pPr>
              <w:spacing w:after="0"/>
              <w:rPr>
                <w:sz w:val="23"/>
                <w:szCs w:val="23"/>
                <w:color w:val="auto"/>
              </w:rPr>
            </w:pPr>
          </w:p>
        </w:tc>
        <w:tc>
          <w:tcPr>
            <w:tcW w:w="9760" w:type="dxa"/>
            <w:vAlign w:val="bottom"/>
            <w:gridSpan w:val="20"/>
          </w:tcPr>
          <w:p>
            <w:pPr>
              <w:spacing w:after="0"/>
              <w:rPr>
                <w:rFonts w:ascii="Arial" w:cs="Arial" w:eastAsia="Arial" w:hAnsi="Arial"/>
                <w:sz w:val="18"/>
                <w:szCs w:val="18"/>
                <w:color w:val="0000EE"/>
              </w:rPr>
            </w:pPr>
            <w:hyperlink w:anchor="page624">
              <w:r>
                <w:rPr>
                  <w:rFonts w:ascii="Arial" w:cs="Arial" w:eastAsia="Arial" w:hAnsi="Arial"/>
                  <w:sz w:val="18"/>
                  <w:szCs w:val="18"/>
                  <w:color w:val="0000EE"/>
                </w:rPr>
                <w:t>Consent of Kost Forer Gabbay &amp; Kasierer, independent auditors.</w:t>
              </w:r>
            </w:hyperlink>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40" w:type="dxa"/>
            <w:vAlign w:val="bottom"/>
            <w:gridSpan w:val="6"/>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r>
      <w:tr>
        <w:trPr>
          <w:trHeight w:val="291"/>
        </w:trPr>
        <w:tc>
          <w:tcPr>
            <w:tcW w:w="66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9760" w:type="dxa"/>
            <w:vAlign w:val="bottom"/>
            <w:gridSpan w:val="20"/>
          </w:tcPr>
          <w:p>
            <w:pPr>
              <w:spacing w:after="0"/>
              <w:rPr>
                <w:rFonts w:ascii="Arial" w:cs="Arial" w:eastAsia="Arial" w:hAnsi="Arial"/>
                <w:sz w:val="18"/>
                <w:szCs w:val="18"/>
                <w:color w:val="0000EE"/>
              </w:rPr>
            </w:pPr>
            <w:hyperlink w:anchor="page321">
              <w:r>
                <w:rPr>
                  <w:rFonts w:ascii="Arial" w:cs="Arial" w:eastAsia="Arial" w:hAnsi="Arial"/>
                  <w:sz w:val="18"/>
                  <w:szCs w:val="18"/>
                  <w:color w:val="0000EE"/>
                </w:rPr>
                <w:t>Power of Attorney (included in the signature page to this Registration Statement on Form S-1).</w:t>
              </w:r>
            </w:hyperlink>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660" w:hanging="544"/>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Financial Statement Schedules.</w:t>
      </w:r>
    </w:p>
    <w:p>
      <w:pPr>
        <w:spacing w:after="0" w:line="207"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All financial statement schedules are omitted because the information called for is not required or is shown either in the consolidated financial statements or in the notes thereto.</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93"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212" w:lineRule="exact"/>
        <w:rPr>
          <w:sz w:val="20"/>
          <w:szCs w:val="20"/>
          <w:color w:val="auto"/>
        </w:rPr>
      </w:pPr>
    </w:p>
    <w:p>
      <w:pPr>
        <w:ind w:left="1300" w:right="100" w:hanging="644"/>
        <w:spacing w:after="0" w:line="238" w:lineRule="auto"/>
        <w:tabs>
          <w:tab w:leader="none" w:pos="13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4" w:lineRule="exact"/>
        <w:rPr>
          <w:rFonts w:ascii="Arial" w:cs="Arial" w:eastAsia="Arial" w:hAnsi="Arial"/>
          <w:sz w:val="18"/>
          <w:szCs w:val="18"/>
          <w:color w:val="auto"/>
        </w:rPr>
      </w:pPr>
    </w:p>
    <w:p>
      <w:pPr>
        <w:ind w:left="1300" w:hanging="644"/>
        <w:spacing w:after="0"/>
        <w:tabs>
          <w:tab w:leader="none" w:pos="13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320" w:top="459" w:right="47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on Form S-1 to be signed on its behalf by the undersigned, thereunto duly authorized, in Boston, Massachusetts, on the 3rd day of May, 2021.</w:t>
      </w:r>
    </w:p>
    <w:p>
      <w:pPr>
        <w:spacing w:after="0" w:line="17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FLYWIRE CORPORATION</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-1905</wp:posOffset>
            </wp:positionV>
            <wp:extent cx="24517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Michael Massaro</w:t>
      </w:r>
    </w:p>
    <w:p>
      <w:pPr>
        <w:ind w:left="7100"/>
        <w:spacing w:after="0"/>
        <w:rPr>
          <w:sz w:val="20"/>
          <w:szCs w:val="20"/>
          <w:color w:val="auto"/>
        </w:rPr>
      </w:pPr>
      <w:r>
        <w:rPr>
          <w:rFonts w:ascii="Arial" w:cs="Arial" w:eastAsia="Arial" w:hAnsi="Arial"/>
          <w:sz w:val="18"/>
          <w:szCs w:val="18"/>
          <w:i w:val="1"/>
          <w:iCs w:val="1"/>
          <w:color w:val="auto"/>
        </w:rPr>
        <w:t>Chief Executive Officer</w:t>
      </w:r>
    </w:p>
    <w:p>
      <w:pPr>
        <w:spacing w:after="0" w:line="15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700"/>
          </w:cols>
          <w:pgMar w:left="320" w:top="459" w:right="87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i w:val="1"/>
          <w:iCs w:val="1"/>
          <w:color w:val="auto"/>
        </w:rPr>
        <w:t>KNOW ALL PERSONS BY THESE PRESENTS</w:t>
      </w:r>
      <w:r>
        <w:rPr>
          <w:rFonts w:ascii="Arial" w:cs="Arial" w:eastAsia="Arial" w:hAnsi="Arial"/>
          <w:sz w:val="18"/>
          <w:szCs w:val="18"/>
          <w:color w:val="auto"/>
        </w:rPr>
        <w:t>, that each person whose signature appears below hereby constitutes and appoints</w:t>
      </w:r>
      <w:r>
        <w:rPr>
          <w:rFonts w:ascii="Arial" w:cs="Arial" w:eastAsia="Arial" w:hAnsi="Arial"/>
          <w:sz w:val="18"/>
          <w:szCs w:val="18"/>
          <w:i w:val="1"/>
          <w:iCs w:val="1"/>
          <w:color w:val="auto"/>
        </w:rPr>
        <w:t xml:space="preserve"> </w:t>
      </w:r>
      <w:r>
        <w:rPr>
          <w:rFonts w:ascii="Arial" w:cs="Arial" w:eastAsia="Arial" w:hAnsi="Arial"/>
          <w:sz w:val="18"/>
          <w:szCs w:val="18"/>
          <w:color w:val="auto"/>
        </w:rPr>
        <w:t>Michael Massaro and Michael Ellis, and each of them, as his or her true and lawful attorneys-in-fact, proxies, and agents, each with full power of substitution, for him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substitute or substitutes, may lawfully do or cause to be done by virtue hereof.</w:t>
      </w:r>
    </w:p>
    <w:p>
      <w:pPr>
        <w:spacing w:after="0" w:line="169"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Pursuant to the requirements of the Securities Act, this registration statement on Form S-1 has been signed by the following persons in the capacities and on the dates indicated.</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Signature</w:t>
            </w:r>
          </w:p>
        </w:tc>
        <w:tc>
          <w:tcPr>
            <w:tcW w:w="15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w:t>
            </w:r>
          </w:p>
        </w:tc>
        <w:tc>
          <w:tcPr>
            <w:tcW w:w="2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Date</w:t>
            </w:r>
          </w:p>
        </w:tc>
        <w:tc>
          <w:tcPr>
            <w:tcW w:w="300" w:type="dxa"/>
            <w:vAlign w:val="bottom"/>
          </w:tcPr>
          <w:p>
            <w:pPr>
              <w:spacing w:after="0"/>
              <w:rPr>
                <w:sz w:val="17"/>
                <w:szCs w:val="17"/>
                <w:color w:val="auto"/>
              </w:rPr>
            </w:pPr>
          </w:p>
        </w:tc>
      </w:tr>
      <w:tr>
        <w:trPr>
          <w:trHeight w:val="411"/>
        </w:trPr>
        <w:tc>
          <w:tcPr>
            <w:tcW w:w="37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9"/>
              </w:rPr>
              <w:t>/s/ Michael Massaro</w:t>
            </w:r>
          </w:p>
        </w:tc>
        <w:tc>
          <w:tcPr>
            <w:tcW w:w="4980" w:type="dxa"/>
            <w:vAlign w:val="bottom"/>
            <w:gridSpan w:val="3"/>
          </w:tcPr>
          <w:p>
            <w:pPr>
              <w:jc w:val="center"/>
              <w:spacing w:after="0"/>
              <w:rPr>
                <w:sz w:val="20"/>
                <w:szCs w:val="20"/>
                <w:color w:val="auto"/>
              </w:rPr>
            </w:pPr>
            <w:r>
              <w:rPr>
                <w:rFonts w:ascii="Arial" w:cs="Arial" w:eastAsia="Arial" w:hAnsi="Arial"/>
                <w:sz w:val="18"/>
                <w:szCs w:val="18"/>
                <w:color w:val="auto"/>
                <w:w w:val="99"/>
              </w:rPr>
              <w:t>Chief Executive Officer and Director</w:t>
            </w:r>
          </w:p>
        </w:tc>
        <w:tc>
          <w:tcPr>
            <w:tcW w:w="1640" w:type="dxa"/>
            <w:vAlign w:val="bottom"/>
            <w:gridSpan w:val="3"/>
          </w:tcPr>
          <w:p>
            <w:pPr>
              <w:jc w:val="center"/>
              <w:ind w:left="570"/>
              <w:spacing w:after="0"/>
              <w:rPr>
                <w:sz w:val="20"/>
                <w:szCs w:val="20"/>
                <w:color w:val="auto"/>
              </w:rPr>
            </w:pPr>
            <w:r>
              <w:rPr>
                <w:rFonts w:ascii="Arial" w:cs="Arial" w:eastAsia="Arial" w:hAnsi="Arial"/>
                <w:sz w:val="18"/>
                <w:szCs w:val="18"/>
                <w:color w:val="auto"/>
                <w:w w:val="98"/>
              </w:rPr>
              <w:t>May 3, 2021</w:t>
            </w:r>
          </w:p>
        </w:tc>
      </w:tr>
      <w:tr>
        <w:trPr>
          <w:trHeight w:val="211"/>
        </w:trPr>
        <w:tc>
          <w:tcPr>
            <w:tcW w:w="370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Michael Massaro</w:t>
            </w:r>
          </w:p>
        </w:tc>
        <w:tc>
          <w:tcPr>
            <w:tcW w:w="4980" w:type="dxa"/>
            <w:vAlign w:val="bottom"/>
            <w:gridSpan w:val="3"/>
          </w:tcPr>
          <w:p>
            <w:pPr>
              <w:jc w:val="center"/>
              <w:ind w:left="130"/>
              <w:spacing w:after="0" w:line="197" w:lineRule="exact"/>
              <w:rPr>
                <w:sz w:val="20"/>
                <w:szCs w:val="20"/>
                <w:color w:val="auto"/>
              </w:rPr>
            </w:pPr>
            <w:r>
              <w:rPr>
                <w:rFonts w:ascii="Arial" w:cs="Arial" w:eastAsia="Arial" w:hAnsi="Arial"/>
                <w:sz w:val="18"/>
                <w:szCs w:val="18"/>
                <w:color w:val="auto"/>
                <w:w w:val="99"/>
              </w:rPr>
              <w:t>(Principal Executive Officer)</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17"/>
        </w:trPr>
        <w:tc>
          <w:tcPr>
            <w:tcW w:w="37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9"/>
              </w:rPr>
              <w:t>/s/ Michael Ellis</w:t>
            </w:r>
          </w:p>
        </w:tc>
        <w:tc>
          <w:tcPr>
            <w:tcW w:w="4980" w:type="dxa"/>
            <w:vAlign w:val="bottom"/>
            <w:gridSpan w:val="3"/>
          </w:tcPr>
          <w:p>
            <w:pPr>
              <w:jc w:val="center"/>
              <w:spacing w:after="0"/>
              <w:rPr>
                <w:sz w:val="20"/>
                <w:szCs w:val="20"/>
                <w:color w:val="auto"/>
              </w:rPr>
            </w:pPr>
            <w:r>
              <w:rPr>
                <w:rFonts w:ascii="Arial" w:cs="Arial" w:eastAsia="Arial" w:hAnsi="Arial"/>
                <w:sz w:val="18"/>
                <w:szCs w:val="18"/>
                <w:color w:val="auto"/>
              </w:rPr>
              <w:t>Chief Financial Officer</w:t>
            </w:r>
          </w:p>
        </w:tc>
        <w:tc>
          <w:tcPr>
            <w:tcW w:w="1640" w:type="dxa"/>
            <w:vAlign w:val="bottom"/>
            <w:gridSpan w:val="3"/>
          </w:tcPr>
          <w:p>
            <w:pPr>
              <w:jc w:val="center"/>
              <w:ind w:left="570"/>
              <w:spacing w:after="0"/>
              <w:rPr>
                <w:sz w:val="20"/>
                <w:szCs w:val="20"/>
                <w:color w:val="auto"/>
              </w:rPr>
            </w:pPr>
            <w:r>
              <w:rPr>
                <w:rFonts w:ascii="Arial" w:cs="Arial" w:eastAsia="Arial" w:hAnsi="Arial"/>
                <w:sz w:val="18"/>
                <w:szCs w:val="18"/>
                <w:color w:val="auto"/>
                <w:w w:val="98"/>
              </w:rPr>
              <w:t>May 3, 2021</w:t>
            </w:r>
          </w:p>
        </w:tc>
      </w:tr>
      <w:tr>
        <w:trPr>
          <w:trHeight w:val="211"/>
        </w:trPr>
        <w:tc>
          <w:tcPr>
            <w:tcW w:w="370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Michael Ellis</w:t>
            </w:r>
          </w:p>
        </w:tc>
        <w:tc>
          <w:tcPr>
            <w:tcW w:w="4980" w:type="dxa"/>
            <w:vAlign w:val="bottom"/>
            <w:gridSpan w:val="3"/>
          </w:tcPr>
          <w:p>
            <w:pPr>
              <w:jc w:val="center"/>
              <w:ind w:left="130"/>
              <w:spacing w:after="0" w:line="197" w:lineRule="exact"/>
              <w:rPr>
                <w:sz w:val="20"/>
                <w:szCs w:val="20"/>
                <w:color w:val="auto"/>
              </w:rPr>
            </w:pPr>
            <w:r>
              <w:rPr>
                <w:rFonts w:ascii="Arial" w:cs="Arial" w:eastAsia="Arial" w:hAnsi="Arial"/>
                <w:sz w:val="18"/>
                <w:szCs w:val="18"/>
                <w:color w:val="auto"/>
                <w:w w:val="99"/>
              </w:rPr>
              <w:t>(Principal Financial and Accounting Officer)</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18"/>
        </w:trPr>
        <w:tc>
          <w:tcPr>
            <w:tcW w:w="37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rPr>
              <w:t>/s/ Phillip Riese</w:t>
            </w:r>
          </w:p>
        </w:tc>
        <w:tc>
          <w:tcPr>
            <w:tcW w:w="4980" w:type="dxa"/>
            <w:vAlign w:val="bottom"/>
            <w:gridSpan w:val="3"/>
          </w:tcPr>
          <w:p>
            <w:pPr>
              <w:jc w:val="center"/>
              <w:spacing w:after="0"/>
              <w:rPr>
                <w:sz w:val="20"/>
                <w:szCs w:val="20"/>
                <w:color w:val="auto"/>
              </w:rPr>
            </w:pPr>
            <w:r>
              <w:rPr>
                <w:rFonts w:ascii="Arial" w:cs="Arial" w:eastAsia="Arial" w:hAnsi="Arial"/>
                <w:sz w:val="18"/>
                <w:szCs w:val="18"/>
                <w:color w:val="auto"/>
                <w:w w:val="99"/>
              </w:rPr>
              <w:t>Chairman of the Board of Directors</w:t>
            </w:r>
          </w:p>
        </w:tc>
        <w:tc>
          <w:tcPr>
            <w:tcW w:w="1640" w:type="dxa"/>
            <w:vAlign w:val="bottom"/>
            <w:gridSpan w:val="3"/>
          </w:tcPr>
          <w:p>
            <w:pPr>
              <w:jc w:val="center"/>
              <w:ind w:left="570"/>
              <w:spacing w:after="0"/>
              <w:rPr>
                <w:sz w:val="20"/>
                <w:szCs w:val="20"/>
                <w:color w:val="auto"/>
              </w:rPr>
            </w:pPr>
            <w:r>
              <w:rPr>
                <w:rFonts w:ascii="Arial" w:cs="Arial" w:eastAsia="Arial" w:hAnsi="Arial"/>
                <w:sz w:val="18"/>
                <w:szCs w:val="18"/>
                <w:color w:val="auto"/>
                <w:w w:val="98"/>
              </w:rPr>
              <w:t>May 3, 2021</w:t>
            </w:r>
          </w:p>
        </w:tc>
      </w:tr>
      <w:tr>
        <w:trPr>
          <w:trHeight w:val="210"/>
        </w:trPr>
        <w:tc>
          <w:tcPr>
            <w:tcW w:w="3700" w:type="dxa"/>
            <w:vAlign w:val="bottom"/>
            <w:gridSpan w:val="3"/>
          </w:tcPr>
          <w:p>
            <w:pPr>
              <w:jc w:val="center"/>
              <w:ind w:right="180"/>
              <w:spacing w:after="0"/>
              <w:rPr>
                <w:sz w:val="20"/>
                <w:szCs w:val="20"/>
                <w:color w:val="auto"/>
              </w:rPr>
            </w:pPr>
            <w:r>
              <w:rPr>
                <w:rFonts w:ascii="Arial" w:cs="Arial" w:eastAsia="Arial" w:hAnsi="Arial"/>
                <w:sz w:val="18"/>
                <w:szCs w:val="18"/>
                <w:color w:val="auto"/>
              </w:rPr>
              <w:t>Phillip Riese</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18"/>
        </w:trPr>
        <w:tc>
          <w:tcPr>
            <w:tcW w:w="37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8"/>
              </w:rPr>
              <w:t>/s/ Jo Natauri</w:t>
            </w:r>
          </w:p>
        </w:tc>
        <w:tc>
          <w:tcPr>
            <w:tcW w:w="498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640" w:type="dxa"/>
            <w:vAlign w:val="bottom"/>
            <w:gridSpan w:val="3"/>
          </w:tcPr>
          <w:p>
            <w:pPr>
              <w:jc w:val="center"/>
              <w:ind w:left="570"/>
              <w:spacing w:after="0"/>
              <w:rPr>
                <w:sz w:val="20"/>
                <w:szCs w:val="20"/>
                <w:color w:val="auto"/>
              </w:rPr>
            </w:pPr>
            <w:r>
              <w:rPr>
                <w:rFonts w:ascii="Arial" w:cs="Arial" w:eastAsia="Arial" w:hAnsi="Arial"/>
                <w:sz w:val="18"/>
                <w:szCs w:val="18"/>
                <w:color w:val="auto"/>
                <w:w w:val="98"/>
              </w:rPr>
              <w:t>May 3, 2021</w:t>
            </w:r>
          </w:p>
        </w:tc>
      </w:tr>
      <w:tr>
        <w:trPr>
          <w:trHeight w:val="210"/>
        </w:trPr>
        <w:tc>
          <w:tcPr>
            <w:tcW w:w="370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Jo Natauri</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18"/>
        </w:trPr>
        <w:tc>
          <w:tcPr>
            <w:tcW w:w="37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9"/>
              </w:rPr>
              <w:t>/s/ Alex Finkelstein</w:t>
            </w:r>
          </w:p>
        </w:tc>
        <w:tc>
          <w:tcPr>
            <w:tcW w:w="498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640" w:type="dxa"/>
            <w:vAlign w:val="bottom"/>
            <w:gridSpan w:val="3"/>
          </w:tcPr>
          <w:p>
            <w:pPr>
              <w:jc w:val="center"/>
              <w:ind w:left="570"/>
              <w:spacing w:after="0"/>
              <w:rPr>
                <w:sz w:val="20"/>
                <w:szCs w:val="20"/>
                <w:color w:val="auto"/>
              </w:rPr>
            </w:pPr>
            <w:r>
              <w:rPr>
                <w:rFonts w:ascii="Arial" w:cs="Arial" w:eastAsia="Arial" w:hAnsi="Arial"/>
                <w:sz w:val="18"/>
                <w:szCs w:val="18"/>
                <w:color w:val="auto"/>
                <w:w w:val="98"/>
              </w:rPr>
              <w:t>May 3, 2021</w:t>
            </w:r>
          </w:p>
        </w:tc>
      </w:tr>
      <w:tr>
        <w:trPr>
          <w:trHeight w:val="210"/>
        </w:trPr>
        <w:tc>
          <w:tcPr>
            <w:tcW w:w="370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Alex Finkelstein</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18"/>
        </w:trPr>
        <w:tc>
          <w:tcPr>
            <w:tcW w:w="37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9"/>
              </w:rPr>
              <w:t>/s/ Matt Harris</w:t>
            </w:r>
          </w:p>
        </w:tc>
        <w:tc>
          <w:tcPr>
            <w:tcW w:w="498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640" w:type="dxa"/>
            <w:vAlign w:val="bottom"/>
            <w:gridSpan w:val="3"/>
          </w:tcPr>
          <w:p>
            <w:pPr>
              <w:jc w:val="center"/>
              <w:ind w:left="570"/>
              <w:spacing w:after="0"/>
              <w:rPr>
                <w:sz w:val="20"/>
                <w:szCs w:val="20"/>
                <w:color w:val="auto"/>
              </w:rPr>
            </w:pPr>
            <w:r>
              <w:rPr>
                <w:rFonts w:ascii="Arial" w:cs="Arial" w:eastAsia="Arial" w:hAnsi="Arial"/>
                <w:sz w:val="18"/>
                <w:szCs w:val="18"/>
                <w:color w:val="auto"/>
                <w:w w:val="98"/>
              </w:rPr>
              <w:t>May 3, 2021</w:t>
            </w:r>
          </w:p>
        </w:tc>
      </w:tr>
      <w:tr>
        <w:trPr>
          <w:trHeight w:val="210"/>
        </w:trPr>
        <w:tc>
          <w:tcPr>
            <w:tcW w:w="370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Matt Harris</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18"/>
        </w:trPr>
        <w:tc>
          <w:tcPr>
            <w:tcW w:w="37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rPr>
              <w:t>/s/ Edwin Santos</w:t>
            </w:r>
          </w:p>
        </w:tc>
        <w:tc>
          <w:tcPr>
            <w:tcW w:w="498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640" w:type="dxa"/>
            <w:vAlign w:val="bottom"/>
            <w:gridSpan w:val="3"/>
          </w:tcPr>
          <w:p>
            <w:pPr>
              <w:jc w:val="center"/>
              <w:ind w:left="570"/>
              <w:spacing w:after="0"/>
              <w:rPr>
                <w:sz w:val="20"/>
                <w:szCs w:val="20"/>
                <w:color w:val="auto"/>
              </w:rPr>
            </w:pPr>
            <w:r>
              <w:rPr>
                <w:rFonts w:ascii="Arial" w:cs="Arial" w:eastAsia="Arial" w:hAnsi="Arial"/>
                <w:sz w:val="18"/>
                <w:szCs w:val="18"/>
                <w:color w:val="auto"/>
                <w:w w:val="98"/>
              </w:rPr>
              <w:t>May 3, 2021</w:t>
            </w:r>
          </w:p>
        </w:tc>
      </w:tr>
      <w:tr>
        <w:trPr>
          <w:trHeight w:val="210"/>
        </w:trPr>
        <w:tc>
          <w:tcPr>
            <w:tcW w:w="3700" w:type="dxa"/>
            <w:vAlign w:val="bottom"/>
            <w:gridSpan w:val="3"/>
          </w:tcPr>
          <w:p>
            <w:pPr>
              <w:jc w:val="center"/>
              <w:ind w:right="180"/>
              <w:spacing w:after="0"/>
              <w:rPr>
                <w:sz w:val="20"/>
                <w:szCs w:val="20"/>
                <w:color w:val="auto"/>
              </w:rPr>
            </w:pPr>
            <w:r>
              <w:rPr>
                <w:rFonts w:ascii="Arial" w:cs="Arial" w:eastAsia="Arial" w:hAnsi="Arial"/>
                <w:sz w:val="18"/>
                <w:szCs w:val="18"/>
                <w:color w:val="auto"/>
              </w:rPr>
              <w:t>Edwin Santos</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bl>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080"/>
          </w:cols>
          <w:pgMar w:left="320" w:top="459" w:right="49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Sections 242 and 245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1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Flywire Corporation,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229" w:lineRule="exact"/>
        <w:rPr>
          <w:sz w:val="20"/>
          <w:szCs w:val="20"/>
          <w:color w:val="auto"/>
        </w:rPr>
      </w:pPr>
    </w:p>
    <w:p>
      <w:pPr>
        <w:ind w:right="580" w:firstLine="436"/>
        <w:spacing w:after="0" w:line="277" w:lineRule="auto"/>
        <w:tabs>
          <w:tab w:leader="none" w:pos="752"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That the name of this corporation is Flywire Corporation, and that this corporation was originally incorporated pursuant to the General Corporation Law on July 31, 2009 under the name peerTransfer Corporation.</w:t>
      </w:r>
    </w:p>
    <w:p>
      <w:pPr>
        <w:spacing w:after="0" w:line="170" w:lineRule="exact"/>
        <w:rPr>
          <w:rFonts w:ascii="Arial" w:cs="Arial" w:eastAsia="Arial" w:hAnsi="Arial"/>
          <w:sz w:val="18"/>
          <w:szCs w:val="18"/>
          <w:b w:val="1"/>
          <w:bCs w:val="1"/>
          <w:color w:val="auto"/>
        </w:rPr>
      </w:pPr>
    </w:p>
    <w:p>
      <w:pPr>
        <w:ind w:left="740" w:hanging="304"/>
        <w:spacing w:after="0"/>
        <w:tabs>
          <w:tab w:leader="none" w:pos="740" w:val="left"/>
        </w:tabs>
        <w:numPr>
          <w:ilvl w:val="0"/>
          <w:numId w:val="218"/>
        </w:numPr>
        <w:rPr>
          <w:rFonts w:ascii="Arial" w:cs="Arial" w:eastAsia="Arial" w:hAnsi="Arial"/>
          <w:sz w:val="17"/>
          <w:szCs w:val="17"/>
          <w:b w:val="1"/>
          <w:bCs w:val="1"/>
          <w:color w:val="auto"/>
        </w:rPr>
      </w:pPr>
      <w:r>
        <w:rPr>
          <w:rFonts w:ascii="Arial" w:cs="Arial" w:eastAsia="Arial" w:hAnsi="Arial"/>
          <w:sz w:val="17"/>
          <w:szCs w:val="17"/>
          <w:color w:val="auto"/>
        </w:rPr>
        <w:t>An Amended and Restated Certificate of Incorporation was filed with the Secretary of State of the State of Delaware on June 29, 2011.</w:t>
      </w:r>
    </w:p>
    <w:p>
      <w:pPr>
        <w:spacing w:after="0" w:line="236" w:lineRule="exact"/>
        <w:rPr>
          <w:rFonts w:ascii="Arial" w:cs="Arial" w:eastAsia="Arial" w:hAnsi="Arial"/>
          <w:sz w:val="17"/>
          <w:szCs w:val="17"/>
          <w:b w:val="1"/>
          <w:bCs w:val="1"/>
          <w:color w:val="auto"/>
        </w:rPr>
      </w:pPr>
    </w:p>
    <w:p>
      <w:pPr>
        <w:ind w:left="740" w:hanging="304"/>
        <w:spacing w:after="0"/>
        <w:tabs>
          <w:tab w:leader="none" w:pos="740" w:val="left"/>
        </w:tabs>
        <w:numPr>
          <w:ilvl w:val="0"/>
          <w:numId w:val="218"/>
        </w:numPr>
        <w:rPr>
          <w:rFonts w:ascii="Arial" w:cs="Arial" w:eastAsia="Arial" w:hAnsi="Arial"/>
          <w:sz w:val="16"/>
          <w:szCs w:val="16"/>
          <w:b w:val="1"/>
          <w:bCs w:val="1"/>
          <w:color w:val="auto"/>
        </w:rPr>
      </w:pPr>
      <w:r>
        <w:rPr>
          <w:rFonts w:ascii="Arial" w:cs="Arial" w:eastAsia="Arial" w:hAnsi="Arial"/>
          <w:sz w:val="16"/>
          <w:szCs w:val="16"/>
          <w:color w:val="auto"/>
        </w:rPr>
        <w:t>A Second Amended and Restated Certificate of Incorporation was filed with the Secretary of State of the State of Delaware on August 11,</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2011.</w:t>
      </w:r>
    </w:p>
    <w:p>
      <w:pPr>
        <w:spacing w:after="0" w:line="210" w:lineRule="exact"/>
        <w:rPr>
          <w:rFonts w:ascii="Arial" w:cs="Arial" w:eastAsia="Arial" w:hAnsi="Arial"/>
          <w:sz w:val="16"/>
          <w:szCs w:val="16"/>
          <w:b w:val="1"/>
          <w:bCs w:val="1"/>
          <w:color w:val="auto"/>
        </w:rPr>
      </w:pPr>
    </w:p>
    <w:p>
      <w:pPr>
        <w:ind w:left="740" w:hanging="304"/>
        <w:spacing w:after="0"/>
        <w:tabs>
          <w:tab w:leader="none" w:pos="740" w:val="left"/>
        </w:tabs>
        <w:numPr>
          <w:ilvl w:val="0"/>
          <w:numId w:val="218"/>
        </w:numPr>
        <w:rPr>
          <w:rFonts w:ascii="Arial" w:cs="Arial" w:eastAsia="Arial" w:hAnsi="Arial"/>
          <w:sz w:val="16"/>
          <w:szCs w:val="16"/>
          <w:b w:val="1"/>
          <w:bCs w:val="1"/>
          <w:color w:val="auto"/>
        </w:rPr>
      </w:pPr>
      <w:r>
        <w:rPr>
          <w:rFonts w:ascii="Arial" w:cs="Arial" w:eastAsia="Arial" w:hAnsi="Arial"/>
          <w:sz w:val="16"/>
          <w:szCs w:val="16"/>
          <w:color w:val="auto"/>
        </w:rPr>
        <w:t>A Third Amended and Restated Certificate of Incorporation was filed with the Secretary of State of the State of Delaware on May 22, 2013.</w:t>
      </w:r>
    </w:p>
    <w:p>
      <w:pPr>
        <w:spacing w:after="0" w:line="248" w:lineRule="exact"/>
        <w:rPr>
          <w:rFonts w:ascii="Arial" w:cs="Arial" w:eastAsia="Arial" w:hAnsi="Arial"/>
          <w:sz w:val="16"/>
          <w:szCs w:val="16"/>
          <w:b w:val="1"/>
          <w:bCs w:val="1"/>
          <w:color w:val="auto"/>
        </w:rPr>
      </w:pPr>
    </w:p>
    <w:p>
      <w:pPr>
        <w:ind w:left="740" w:hanging="304"/>
        <w:spacing w:after="0"/>
        <w:tabs>
          <w:tab w:leader="none" w:pos="740" w:val="left"/>
        </w:tabs>
        <w:numPr>
          <w:ilvl w:val="0"/>
          <w:numId w:val="218"/>
        </w:numPr>
        <w:rPr>
          <w:rFonts w:ascii="Arial" w:cs="Arial" w:eastAsia="Arial" w:hAnsi="Arial"/>
          <w:sz w:val="16"/>
          <w:szCs w:val="16"/>
          <w:b w:val="1"/>
          <w:bCs w:val="1"/>
          <w:color w:val="auto"/>
        </w:rPr>
      </w:pPr>
      <w:r>
        <w:rPr>
          <w:rFonts w:ascii="Arial" w:cs="Arial" w:eastAsia="Arial" w:hAnsi="Arial"/>
          <w:sz w:val="16"/>
          <w:szCs w:val="16"/>
          <w:color w:val="auto"/>
        </w:rPr>
        <w:t>A Fourth Amended and Restated Certificate of Incorporation was filed with the Secretary of State of the State of Delaware on December 12,</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2013.</w:t>
      </w:r>
    </w:p>
    <w:p>
      <w:pPr>
        <w:spacing w:after="0" w:line="210" w:lineRule="exact"/>
        <w:rPr>
          <w:rFonts w:ascii="Arial" w:cs="Arial" w:eastAsia="Arial" w:hAnsi="Arial"/>
          <w:sz w:val="16"/>
          <w:szCs w:val="16"/>
          <w:b w:val="1"/>
          <w:bCs w:val="1"/>
          <w:color w:val="auto"/>
        </w:rPr>
      </w:pPr>
    </w:p>
    <w:p>
      <w:pPr>
        <w:ind w:left="740" w:hanging="304"/>
        <w:spacing w:after="0"/>
        <w:tabs>
          <w:tab w:leader="none" w:pos="740" w:val="left"/>
        </w:tabs>
        <w:numPr>
          <w:ilvl w:val="0"/>
          <w:numId w:val="218"/>
        </w:numPr>
        <w:rPr>
          <w:rFonts w:ascii="Arial" w:cs="Arial" w:eastAsia="Arial" w:hAnsi="Arial"/>
          <w:sz w:val="16"/>
          <w:szCs w:val="16"/>
          <w:b w:val="1"/>
          <w:bCs w:val="1"/>
          <w:color w:val="auto"/>
        </w:rPr>
      </w:pPr>
      <w:r>
        <w:rPr>
          <w:rFonts w:ascii="Arial" w:cs="Arial" w:eastAsia="Arial" w:hAnsi="Arial"/>
          <w:sz w:val="16"/>
          <w:szCs w:val="16"/>
          <w:color w:val="auto"/>
        </w:rPr>
        <w:t>A Fifth Amended and Restated Certificate of Incorporation was filed with the Secretary of State of the State of Delaware on January 7, 2015.</w:t>
      </w:r>
    </w:p>
    <w:p>
      <w:pPr>
        <w:spacing w:after="0" w:line="248" w:lineRule="exact"/>
        <w:rPr>
          <w:rFonts w:ascii="Arial" w:cs="Arial" w:eastAsia="Arial" w:hAnsi="Arial"/>
          <w:sz w:val="16"/>
          <w:szCs w:val="16"/>
          <w:b w:val="1"/>
          <w:bCs w:val="1"/>
          <w:color w:val="auto"/>
        </w:rPr>
      </w:pPr>
    </w:p>
    <w:p>
      <w:pPr>
        <w:ind w:left="740" w:hanging="304"/>
        <w:spacing w:after="0"/>
        <w:tabs>
          <w:tab w:leader="none" w:pos="740" w:val="left"/>
        </w:tabs>
        <w:numPr>
          <w:ilvl w:val="0"/>
          <w:numId w:val="218"/>
        </w:numPr>
        <w:rPr>
          <w:rFonts w:ascii="Arial" w:cs="Arial" w:eastAsia="Arial" w:hAnsi="Arial"/>
          <w:sz w:val="16"/>
          <w:szCs w:val="16"/>
          <w:b w:val="1"/>
          <w:bCs w:val="1"/>
          <w:color w:val="auto"/>
        </w:rPr>
      </w:pPr>
      <w:r>
        <w:rPr>
          <w:rFonts w:ascii="Arial" w:cs="Arial" w:eastAsia="Arial" w:hAnsi="Arial"/>
          <w:sz w:val="16"/>
          <w:szCs w:val="16"/>
          <w:color w:val="auto"/>
        </w:rPr>
        <w:t>A Sixth Amended and Restated Certificate of Incorporation was filed with the Secretary of State of the State of Delaware on July 3, 2018.</w:t>
      </w:r>
    </w:p>
    <w:p>
      <w:pPr>
        <w:spacing w:after="0" w:line="248" w:lineRule="exact"/>
        <w:rPr>
          <w:rFonts w:ascii="Arial" w:cs="Arial" w:eastAsia="Arial" w:hAnsi="Arial"/>
          <w:sz w:val="16"/>
          <w:szCs w:val="16"/>
          <w:b w:val="1"/>
          <w:bCs w:val="1"/>
          <w:color w:val="auto"/>
        </w:rPr>
      </w:pPr>
    </w:p>
    <w:p>
      <w:pPr>
        <w:ind w:right="160" w:firstLine="436"/>
        <w:spacing w:after="0" w:line="277" w:lineRule="auto"/>
        <w:tabs>
          <w:tab w:leader="none" w:pos="745"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A Seventh Amended and Restated Certificate of Incorporation was filed with the Secretary of State of the State of Delaware on February 12, 2020 (the “</w:t>
      </w:r>
      <w:r>
        <w:rPr>
          <w:rFonts w:ascii="Arial" w:cs="Arial" w:eastAsia="Arial" w:hAnsi="Arial"/>
          <w:sz w:val="18"/>
          <w:szCs w:val="18"/>
          <w:b w:val="1"/>
          <w:bCs w:val="1"/>
          <w:color w:val="auto"/>
        </w:rPr>
        <w:t>Seventh Amended and Restated Certificate of Incorporation</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right="140" w:firstLine="436"/>
        <w:spacing w:after="0" w:line="259" w:lineRule="auto"/>
        <w:tabs>
          <w:tab w:leader="none" w:pos="752"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That the Board of Directors duly adopted resolutions proposing to amend and restate the Seventh Amended and Restated Certificate of Incorporation of this corporation in the form set forth in this Eighth Amended and Restated Certificate of Incorporation (as amended from time to time, the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declaring said amendment and restatement to be advisable and in the best interests of this corporation and its stockholders, and authorizing the</w:t>
      </w:r>
    </w:p>
    <w:p>
      <w:pPr>
        <w:sectPr>
          <w:pgSz w:w="11900" w:h="16838" w:orient="portrait"/>
          <w:cols w:equalWidth="0" w:num="1">
            <w:col w:w="11020"/>
          </w:cols>
          <w:pgMar w:left="440" w:top="121" w:right="439" w:bottom="1440" w:gutter="0" w:footer="0" w:header="0"/>
        </w:sectPr>
      </w:pPr>
    </w:p>
    <w:bookmarkStart w:id="323" w:name="page324"/>
    <w:bookmarkEnd w:id="323"/>
    <w:p>
      <w:pPr>
        <w:ind w:left="4"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appropriate officers of this corporation to solicit the consent of the stockholders therefor, which resolution setting forth the proposed amendment and restatement is as follows:</w:t>
      </w:r>
    </w:p>
    <w:p>
      <w:pPr>
        <w:spacing w:after="0" w:line="166" w:lineRule="exact"/>
        <w:rPr>
          <w:sz w:val="20"/>
          <w:szCs w:val="20"/>
          <w:color w:val="auto"/>
        </w:rPr>
      </w:pPr>
    </w:p>
    <w:p>
      <w:pPr>
        <w:ind w:left="4" w:right="460" w:firstLine="440"/>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Seventh Amended and Restated Certificate of Incorporation of this corporation be further amended and restated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to read as follows: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Flywire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left="4" w:right="240" w:firstLine="440"/>
        <w:spacing w:after="0" w:line="312"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The address of the registered office of the Corporation in the State of Delaware is 251 Little Falls Drive, in the City of Wilmington,</w:t>
      </w:r>
      <w:r>
        <w:rPr>
          <w:rFonts w:ascii="Arial" w:cs="Arial" w:eastAsia="Arial" w:hAnsi="Arial"/>
          <w:sz w:val="17"/>
          <w:szCs w:val="17"/>
          <w:b w:val="1"/>
          <w:bCs w:val="1"/>
          <w:color w:val="auto"/>
        </w:rPr>
        <w:t xml:space="preserve"> </w:t>
      </w:r>
      <w:r>
        <w:rPr>
          <w:rFonts w:ascii="Arial" w:cs="Arial" w:eastAsia="Arial" w:hAnsi="Arial"/>
          <w:sz w:val="17"/>
          <w:szCs w:val="17"/>
          <w:color w:val="auto"/>
        </w:rPr>
        <w:t>County of New Castle, Delaware 19808. The name of its registered agent at such address is Corporation Service Company.</w:t>
      </w:r>
    </w:p>
    <w:p>
      <w:pPr>
        <w:spacing w:after="0" w:line="140"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 corporations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organized under the General Corporation Law.</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FOURTH: </w:t>
      </w:r>
      <w:r>
        <w:rPr>
          <w:rFonts w:ascii="Arial" w:cs="Arial" w:eastAsia="Arial" w:hAnsi="Arial"/>
          <w:sz w:val="17"/>
          <w:szCs w:val="17"/>
          <w:color w:val="auto"/>
        </w:rPr>
        <w:t>The total number of shares of all classes of stock which the Corporation shall have authority to issue is (i) 51,523,465 shares of</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7"/>
          <w:szCs w:val="17"/>
          <w:color w:val="auto"/>
        </w:rPr>
        <w:t>Common Stock, $0.0001 par value per share (“</w:t>
      </w:r>
      <w:r>
        <w:rPr>
          <w:rFonts w:ascii="Arial" w:cs="Arial" w:eastAsia="Arial" w:hAnsi="Arial"/>
          <w:sz w:val="17"/>
          <w:szCs w:val="17"/>
          <w:b w:val="1"/>
          <w:bCs w:val="1"/>
          <w:color w:val="auto"/>
        </w:rPr>
        <w:t>Common Stock</w:t>
      </w:r>
      <w:r>
        <w:rPr>
          <w:rFonts w:ascii="Arial" w:cs="Arial" w:eastAsia="Arial" w:hAnsi="Arial"/>
          <w:sz w:val="17"/>
          <w:szCs w:val="17"/>
          <w:color w:val="auto"/>
        </w:rPr>
        <w:t>”), of which (A) 48,500,000 shares are designated as Class A Common Stock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A Common Stock</w:t>
      </w:r>
      <w:r>
        <w:rPr>
          <w:rFonts w:ascii="Arial" w:cs="Arial" w:eastAsia="Arial" w:hAnsi="Arial"/>
          <w:sz w:val="16"/>
          <w:szCs w:val="16"/>
          <w:color w:val="auto"/>
        </w:rPr>
        <w:t>”) and (B) 3,023,465 shares are designated as Class B Common Stock (the “</w:t>
      </w:r>
      <w:r>
        <w:rPr>
          <w:rFonts w:ascii="Arial" w:cs="Arial" w:eastAsia="Arial" w:hAnsi="Arial"/>
          <w:sz w:val="16"/>
          <w:szCs w:val="16"/>
          <w:b w:val="1"/>
          <w:bCs w:val="1"/>
          <w:color w:val="auto"/>
        </w:rPr>
        <w:t>Class B Common Stock</w:t>
      </w:r>
      <w:r>
        <w:rPr>
          <w:rFonts w:ascii="Arial" w:cs="Arial" w:eastAsia="Arial" w:hAnsi="Arial"/>
          <w:sz w:val="16"/>
          <w:szCs w:val="16"/>
          <w:color w:val="auto"/>
        </w:rPr>
        <w:t>”), and (ii) 27,227,529</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shares of Preferred Stock, $0.0001 par value per share (“</w:t>
      </w:r>
      <w:r>
        <w:rPr>
          <w:rFonts w:ascii="Arial" w:cs="Arial" w:eastAsia="Arial" w:hAnsi="Arial"/>
          <w:sz w:val="16"/>
          <w:szCs w:val="16"/>
          <w:b w:val="1"/>
          <w:bCs w:val="1"/>
          <w:color w:val="auto"/>
        </w:rPr>
        <w:t>Preferred Stock</w:t>
      </w:r>
      <w:r>
        <w:rPr>
          <w:rFonts w:ascii="Arial" w:cs="Arial" w:eastAsia="Arial" w:hAnsi="Arial"/>
          <w:sz w:val="16"/>
          <w:szCs w:val="16"/>
          <w:color w:val="auto"/>
        </w:rPr>
        <w:t>”) of which (A) 4,825,062 shares are designated as Series A Preferred Stock</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(B) 3,305,829 shares are designated as Series B Preferred Stock (the “</w:t>
      </w:r>
      <w:r>
        <w:rPr>
          <w:rFonts w:ascii="Arial" w:cs="Arial" w:eastAsia="Arial" w:hAnsi="Arial"/>
          <w:sz w:val="16"/>
          <w:szCs w:val="16"/>
          <w:b w:val="1"/>
          <w:bCs w:val="1"/>
          <w:color w:val="auto"/>
        </w:rPr>
        <w:t>Series B Preferred Stock</w:t>
      </w:r>
      <w:r>
        <w:rPr>
          <w:rFonts w:ascii="Arial" w:cs="Arial" w:eastAsia="Arial" w:hAnsi="Arial"/>
          <w:sz w:val="16"/>
          <w:szCs w:val="16"/>
          <w:color w:val="auto"/>
        </w:rPr>
        <w:t>”), (C) 2,775,311</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shares are designated as Series B1-NV Preferred Stock (the “</w:t>
      </w:r>
      <w:r>
        <w:rPr>
          <w:rFonts w:ascii="Arial" w:cs="Arial" w:eastAsia="Arial" w:hAnsi="Arial"/>
          <w:sz w:val="16"/>
          <w:szCs w:val="16"/>
          <w:b w:val="1"/>
          <w:bCs w:val="1"/>
          <w:color w:val="auto"/>
        </w:rPr>
        <w:t>Series B1-NV Preferred Stock</w:t>
      </w:r>
      <w:r>
        <w:rPr>
          <w:rFonts w:ascii="Arial" w:cs="Arial" w:eastAsia="Arial" w:hAnsi="Arial"/>
          <w:sz w:val="16"/>
          <w:szCs w:val="16"/>
          <w:color w:val="auto"/>
        </w:rPr>
        <w:t>”), (D) 2,775,311 shares are designated as Series B1</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Preferred Stock (the “</w:t>
      </w:r>
      <w:r>
        <w:rPr>
          <w:rFonts w:ascii="Arial" w:cs="Arial" w:eastAsia="Arial" w:hAnsi="Arial"/>
          <w:sz w:val="16"/>
          <w:szCs w:val="16"/>
          <w:b w:val="1"/>
          <w:bCs w:val="1"/>
          <w:color w:val="auto"/>
        </w:rPr>
        <w:t>Series B1 Preferred Stock</w:t>
      </w:r>
      <w:r>
        <w:rPr>
          <w:rFonts w:ascii="Arial" w:cs="Arial" w:eastAsia="Arial" w:hAnsi="Arial"/>
          <w:sz w:val="16"/>
          <w:szCs w:val="16"/>
          <w:color w:val="auto"/>
        </w:rPr>
        <w:t>” and together with the Series B Preferred Stock and the Series B1-NV Preferred Stock, the “</w:t>
      </w:r>
      <w:r>
        <w:rPr>
          <w:rFonts w:ascii="Arial" w:cs="Arial" w:eastAsia="Arial" w:hAnsi="Arial"/>
          <w:sz w:val="16"/>
          <w:szCs w:val="16"/>
          <w:b w:val="1"/>
          <w:bCs w:val="1"/>
          <w:color w:val="auto"/>
        </w:rPr>
        <w:t>Tier 1</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Preferred Stock</w:t>
      </w:r>
      <w:r>
        <w:rPr>
          <w:rFonts w:ascii="Arial" w:cs="Arial" w:eastAsia="Arial" w:hAnsi="Arial"/>
          <w:sz w:val="17"/>
          <w:szCs w:val="17"/>
          <w:color w:val="auto"/>
        </w:rPr>
        <w:t>”), (E) 5,081,951 shares are designated as Series C Preferred Stock (the “</w:t>
      </w:r>
      <w:r>
        <w:rPr>
          <w:rFonts w:ascii="Arial" w:cs="Arial" w:eastAsia="Arial" w:hAnsi="Arial"/>
          <w:sz w:val="17"/>
          <w:szCs w:val="17"/>
          <w:b w:val="1"/>
          <w:bCs w:val="1"/>
          <w:color w:val="auto"/>
        </w:rPr>
        <w:t>Series C Preferred Stock</w:t>
      </w:r>
      <w:r>
        <w:rPr>
          <w:rFonts w:ascii="Arial" w:cs="Arial" w:eastAsia="Arial" w:hAnsi="Arial"/>
          <w:sz w:val="17"/>
          <w:szCs w:val="17"/>
          <w:color w:val="auto"/>
        </w:rPr>
        <w:t>”), (F) 2,208,334 shares are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designated as Series D Preferred Stock (the “</w:t>
      </w:r>
      <w:r>
        <w:rPr>
          <w:rFonts w:ascii="Arial" w:cs="Arial" w:eastAsia="Arial" w:hAnsi="Arial"/>
          <w:sz w:val="16"/>
          <w:szCs w:val="16"/>
          <w:b w:val="1"/>
          <w:bCs w:val="1"/>
          <w:color w:val="auto"/>
        </w:rPr>
        <w:t>Series D Preferred Stock</w:t>
      </w:r>
      <w:r>
        <w:rPr>
          <w:rFonts w:ascii="Arial" w:cs="Arial" w:eastAsia="Arial" w:hAnsi="Arial"/>
          <w:sz w:val="16"/>
          <w:szCs w:val="16"/>
          <w:color w:val="auto"/>
        </w:rPr>
        <w:t>”), (G) 2,374,954 shares are designated as Series E-1 Preferred Stock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E-1 Preferred Stock</w:t>
      </w:r>
      <w:r>
        <w:rPr>
          <w:rFonts w:ascii="Arial" w:cs="Arial" w:eastAsia="Arial" w:hAnsi="Arial"/>
          <w:sz w:val="16"/>
          <w:szCs w:val="16"/>
          <w:color w:val="auto"/>
        </w:rPr>
        <w:t>”), (H) 2,966,090 shares are designated as Series E-2 Preferred Stock (the “</w:t>
      </w:r>
      <w:r>
        <w:rPr>
          <w:rFonts w:ascii="Arial" w:cs="Arial" w:eastAsia="Arial" w:hAnsi="Arial"/>
          <w:sz w:val="16"/>
          <w:szCs w:val="16"/>
          <w:b w:val="1"/>
          <w:bCs w:val="1"/>
          <w:color w:val="auto"/>
        </w:rPr>
        <w:t>Series E-2 Preferred Stock</w:t>
      </w:r>
      <w:r>
        <w:rPr>
          <w:rFonts w:ascii="Arial" w:cs="Arial" w:eastAsia="Arial" w:hAnsi="Arial"/>
          <w:sz w:val="16"/>
          <w:szCs w:val="16"/>
          <w:color w:val="auto"/>
        </w:rPr>
        <w:t>” and together with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Series E-1 Preferred Stock, the “</w:t>
      </w:r>
      <w:r>
        <w:rPr>
          <w:rFonts w:ascii="Arial" w:cs="Arial" w:eastAsia="Arial" w:hAnsi="Arial"/>
          <w:sz w:val="16"/>
          <w:szCs w:val="16"/>
          <w:b w:val="1"/>
          <w:bCs w:val="1"/>
          <w:color w:val="auto"/>
        </w:rPr>
        <w:t>Series E Preferred Stock</w:t>
      </w:r>
      <w:r>
        <w:rPr>
          <w:rFonts w:ascii="Arial" w:cs="Arial" w:eastAsia="Arial" w:hAnsi="Arial"/>
          <w:sz w:val="16"/>
          <w:szCs w:val="16"/>
          <w:color w:val="auto"/>
        </w:rPr>
        <w:t>”), (I) 857,312 shares are designated as Series F-1 Preferred Stock (the “</w:t>
      </w:r>
      <w:r>
        <w:rPr>
          <w:rFonts w:ascii="Arial" w:cs="Arial" w:eastAsia="Arial" w:hAnsi="Arial"/>
          <w:sz w:val="16"/>
          <w:szCs w:val="16"/>
          <w:b w:val="1"/>
          <w:bCs w:val="1"/>
          <w:color w:val="auto"/>
        </w:rPr>
        <w:t>Series F-1</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Preferred Stock</w:t>
      </w:r>
      <w:r>
        <w:rPr>
          <w:rFonts w:ascii="Arial" w:cs="Arial" w:eastAsia="Arial" w:hAnsi="Arial"/>
          <w:sz w:val="16"/>
          <w:szCs w:val="16"/>
          <w:color w:val="auto"/>
        </w:rPr>
        <w:t>”) and (J) 57,375 shares are designated as Series F-2 Preferred Stock (the “</w:t>
      </w:r>
      <w:r>
        <w:rPr>
          <w:rFonts w:ascii="Arial" w:cs="Arial" w:eastAsia="Arial" w:hAnsi="Arial"/>
          <w:sz w:val="16"/>
          <w:szCs w:val="16"/>
          <w:b w:val="1"/>
          <w:bCs w:val="1"/>
          <w:color w:val="auto"/>
        </w:rPr>
        <w:t>Series F-2 Preferred Stock</w:t>
      </w:r>
      <w:r>
        <w:rPr>
          <w:rFonts w:ascii="Arial" w:cs="Arial" w:eastAsia="Arial" w:hAnsi="Arial"/>
          <w:sz w:val="16"/>
          <w:szCs w:val="16"/>
          <w:color w:val="auto"/>
        </w:rPr>
        <w:t>” and, together with the Series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F-1 Preferred Stock, the “</w:t>
      </w:r>
      <w:r>
        <w:rPr>
          <w:rFonts w:ascii="Arial" w:cs="Arial" w:eastAsia="Arial" w:hAnsi="Arial"/>
          <w:sz w:val="16"/>
          <w:szCs w:val="16"/>
          <w:b w:val="1"/>
          <w:bCs w:val="1"/>
          <w:color w:val="auto"/>
        </w:rPr>
        <w:t>Series F Preferred Stock</w:t>
      </w:r>
      <w:r>
        <w:rPr>
          <w:rFonts w:ascii="Arial" w:cs="Arial" w:eastAsia="Arial" w:hAnsi="Arial"/>
          <w:sz w:val="16"/>
          <w:szCs w:val="16"/>
          <w:color w:val="auto"/>
        </w:rPr>
        <w:t>” and together with the Tier 1 Preferred Stock, the Series C Preferred Stock, the Series D Preferred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 and the Series E Preferred Stock, the “</w:t>
      </w:r>
      <w:r>
        <w:rPr>
          <w:rFonts w:ascii="Arial" w:cs="Arial" w:eastAsia="Arial" w:hAnsi="Arial"/>
          <w:sz w:val="16"/>
          <w:szCs w:val="16"/>
          <w:b w:val="1"/>
          <w:bCs w:val="1"/>
          <w:color w:val="auto"/>
        </w:rPr>
        <w:t>Senior Preferred Stock</w:t>
      </w:r>
      <w:r>
        <w:rPr>
          <w:rFonts w:ascii="Arial" w:cs="Arial" w:eastAsia="Arial" w:hAnsi="Arial"/>
          <w:sz w:val="16"/>
          <w:szCs w:val="16"/>
          <w:color w:val="auto"/>
        </w:rPr>
        <w:t>”). The shares of Series B1 Preferred Stock and Series B1-NV Preferred Stock</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shall have identical rights, preferences, privileges, restrictions in every respect, except as expressly set forth in Part B of this Article Fourth.</w:t>
      </w:r>
    </w:p>
    <w:p>
      <w:pPr>
        <w:spacing w:after="0" w:line="222"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278" w:lineRule="exact"/>
        <w:rPr>
          <w:sz w:val="20"/>
          <w:szCs w:val="20"/>
          <w:color w:val="auto"/>
        </w:rPr>
      </w:pPr>
    </w:p>
    <w:p>
      <w:pPr>
        <w:ind w:left="364" w:hanging="364"/>
        <w:spacing w:after="0"/>
        <w:tabs>
          <w:tab w:leader="none" w:pos="36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CERTAIN DEFINED TERMS</w:t>
      </w:r>
    </w:p>
    <w:p>
      <w:pPr>
        <w:spacing w:after="0" w:line="113" w:lineRule="exact"/>
        <w:rPr>
          <w:rFonts w:ascii="Arial" w:cs="Arial" w:eastAsia="Arial" w:hAnsi="Arial"/>
          <w:sz w:val="18"/>
          <w:szCs w:val="18"/>
          <w:color w:val="auto"/>
        </w:rPr>
      </w:pPr>
    </w:p>
    <w:p>
      <w:pPr>
        <w:jc w:val="both"/>
        <w:ind w:left="4" w:firstLine="436"/>
        <w:spacing w:after="0" w:line="266" w:lineRule="auto"/>
        <w:tabs>
          <w:tab w:leader="none" w:pos="759" w:val="left"/>
        </w:tabs>
        <w:numPr>
          <w:ilvl w:val="1"/>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Person, any other Person directly or indirectly controlling, controlled by, or under common control with such Person. For purposes of this definition, “control” (including, with correlative meanings, the terms “controlled by” and “under common control with”) has the meaning set forth in 12 C.F.R. § 225.2(e)(1).</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324" w:name="page325"/>
    <w:bookmarkEnd w:id="324"/>
    <w:p>
      <w:pPr>
        <w:ind w:left="4" w:right="80" w:firstLine="436"/>
        <w:spacing w:after="0" w:line="282" w:lineRule="auto"/>
        <w:tabs>
          <w:tab w:leader="none" w:pos="759" w:val="left"/>
        </w:tabs>
        <w:numPr>
          <w:ilvl w:val="1"/>
          <w:numId w:val="2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Bank Holding Company Act</w:t>
      </w:r>
      <w:r>
        <w:rPr>
          <w:rFonts w:ascii="Arial" w:cs="Arial" w:eastAsia="Arial" w:hAnsi="Arial"/>
          <w:sz w:val="18"/>
          <w:szCs w:val="18"/>
          <w:color w:val="auto"/>
        </w:rPr>
        <w:t>’ shall mean the Bank Holding Company Act of 1956, as amended, and the rules and regulations promulgated thereunder.</w:t>
      </w:r>
    </w:p>
    <w:p>
      <w:pPr>
        <w:spacing w:after="0" w:line="161" w:lineRule="exact"/>
        <w:rPr>
          <w:rFonts w:ascii="Arial" w:cs="Arial" w:eastAsia="Arial" w:hAnsi="Arial"/>
          <w:sz w:val="18"/>
          <w:szCs w:val="18"/>
          <w:color w:val="auto"/>
        </w:rPr>
      </w:pPr>
    </w:p>
    <w:p>
      <w:pPr>
        <w:ind w:left="764" w:hanging="324"/>
        <w:spacing w:after="0"/>
        <w:tabs>
          <w:tab w:leader="none" w:pos="764"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Reserve Board</w:t>
      </w:r>
      <w:r>
        <w:rPr>
          <w:rFonts w:ascii="Arial" w:cs="Arial" w:eastAsia="Arial" w:hAnsi="Arial"/>
          <w:sz w:val="18"/>
          <w:szCs w:val="18"/>
          <w:color w:val="auto"/>
        </w:rPr>
        <w:t>” shall mean the Board of Governors of the Federal Reserve System.</w:t>
      </w:r>
    </w:p>
    <w:p>
      <w:pPr>
        <w:spacing w:after="0" w:line="225" w:lineRule="exact"/>
        <w:rPr>
          <w:rFonts w:ascii="Arial" w:cs="Arial" w:eastAsia="Arial" w:hAnsi="Arial"/>
          <w:sz w:val="18"/>
          <w:szCs w:val="18"/>
          <w:color w:val="auto"/>
        </w:rPr>
      </w:pPr>
    </w:p>
    <w:p>
      <w:pPr>
        <w:ind w:left="4" w:right="40" w:firstLine="436"/>
        <w:spacing w:after="0" w:line="312" w:lineRule="auto"/>
        <w:tabs>
          <w:tab w:leader="none" w:pos="759" w:val="left"/>
        </w:tabs>
        <w:numPr>
          <w:ilvl w:val="1"/>
          <w:numId w:val="2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Investors’ Rights Agreement</w:t>
      </w:r>
      <w:r>
        <w:rPr>
          <w:rFonts w:ascii="Arial" w:cs="Arial" w:eastAsia="Arial" w:hAnsi="Arial"/>
          <w:sz w:val="17"/>
          <w:szCs w:val="17"/>
          <w:color w:val="auto"/>
        </w:rPr>
        <w:t>” shall mean that certain Seventh Amended and Restated Investors’ Rights Agreement, dated on or around the Original Issue Date, by and among the Corporation and certain of its stockholders, as may be amended in accordance with its terms.</w:t>
      </w:r>
    </w:p>
    <w:p>
      <w:pPr>
        <w:spacing w:after="0" w:line="139" w:lineRule="exact"/>
        <w:rPr>
          <w:rFonts w:ascii="Arial" w:cs="Arial" w:eastAsia="Arial" w:hAnsi="Arial"/>
          <w:sz w:val="17"/>
          <w:szCs w:val="17"/>
          <w:color w:val="auto"/>
        </w:rPr>
      </w:pPr>
    </w:p>
    <w:p>
      <w:pPr>
        <w:ind w:left="764" w:hanging="324"/>
        <w:spacing w:after="0"/>
        <w:tabs>
          <w:tab w:leader="none" w:pos="764"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 individual, firm, corporation, partnership, association, limited liability company, trust or any other entity.</w:t>
      </w:r>
    </w:p>
    <w:p>
      <w:pPr>
        <w:spacing w:after="0" w:line="225" w:lineRule="exact"/>
        <w:rPr>
          <w:rFonts w:ascii="Arial" w:cs="Arial" w:eastAsia="Arial" w:hAnsi="Arial"/>
          <w:sz w:val="18"/>
          <w:szCs w:val="18"/>
          <w:color w:val="auto"/>
        </w:rPr>
      </w:pPr>
    </w:p>
    <w:p>
      <w:pPr>
        <w:ind w:left="4" w:right="60" w:firstLine="436"/>
        <w:spacing w:after="0" w:line="282" w:lineRule="auto"/>
        <w:tabs>
          <w:tab w:leader="none" w:pos="759"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shall mean that certain Series F Preferred Stock Purchase Agreement, dated on or around the Original Issue Date, by and among the Corporation and certain of its stockholders, as may be amended in accordance with its terms.</w:t>
      </w:r>
    </w:p>
    <w:p>
      <w:pPr>
        <w:spacing w:after="0" w:line="161" w:lineRule="exact"/>
        <w:rPr>
          <w:rFonts w:ascii="Arial" w:cs="Arial" w:eastAsia="Arial" w:hAnsi="Arial"/>
          <w:sz w:val="18"/>
          <w:szCs w:val="18"/>
          <w:color w:val="auto"/>
        </w:rPr>
      </w:pPr>
    </w:p>
    <w:p>
      <w:pPr>
        <w:ind w:left="4" w:firstLine="436"/>
        <w:spacing w:after="0" w:line="266" w:lineRule="auto"/>
        <w:tabs>
          <w:tab w:leader="none" w:pos="759"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Regulated Investor</w:t>
      </w:r>
      <w:r>
        <w:rPr>
          <w:rFonts w:ascii="Arial" w:cs="Arial" w:eastAsia="Arial" w:hAnsi="Arial"/>
          <w:sz w:val="18"/>
          <w:szCs w:val="18"/>
          <w:color w:val="auto"/>
        </w:rPr>
        <w:t>” shall mean any stockholder that is a bank, bank holding company, financial holding company or an entity that is controlled by a bank, a bank holding company or a financial holding company, in each case, as such terms are defined under the Bank Holding Company Act.</w:t>
      </w:r>
    </w:p>
    <w:p>
      <w:pPr>
        <w:spacing w:after="0" w:line="175" w:lineRule="exact"/>
        <w:rPr>
          <w:rFonts w:ascii="Arial" w:cs="Arial" w:eastAsia="Arial" w:hAnsi="Arial"/>
          <w:sz w:val="18"/>
          <w:szCs w:val="18"/>
          <w:color w:val="auto"/>
        </w:rPr>
      </w:pPr>
    </w:p>
    <w:p>
      <w:pPr>
        <w:ind w:left="4" w:right="520" w:firstLine="436"/>
        <w:spacing w:after="0" w:line="282" w:lineRule="auto"/>
        <w:tabs>
          <w:tab w:leader="none" w:pos="759"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Y</w:t>
      </w:r>
      <w:r>
        <w:rPr>
          <w:rFonts w:ascii="Arial" w:cs="Arial" w:eastAsia="Arial" w:hAnsi="Arial"/>
          <w:sz w:val="18"/>
          <w:szCs w:val="18"/>
          <w:color w:val="auto"/>
        </w:rPr>
        <w:t>” shall mean Regulation Y under the Bank Holding Company Act as promulgated by the Federal Reserve Board (or any replacement or successor provision thereto, and as may be amended or otherwise modified from time to time).</w:t>
      </w:r>
    </w:p>
    <w:p>
      <w:pPr>
        <w:spacing w:after="0" w:line="161" w:lineRule="exact"/>
        <w:rPr>
          <w:rFonts w:ascii="Arial" w:cs="Arial" w:eastAsia="Arial" w:hAnsi="Arial"/>
          <w:sz w:val="18"/>
          <w:szCs w:val="18"/>
          <w:color w:val="auto"/>
        </w:rPr>
      </w:pPr>
    </w:p>
    <w:p>
      <w:pPr>
        <w:ind w:left="4" w:right="120" w:firstLine="436"/>
        <w:spacing w:after="0" w:line="282" w:lineRule="auto"/>
        <w:tabs>
          <w:tab w:leader="none" w:pos="759"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Agreement</w:t>
      </w:r>
      <w:r>
        <w:rPr>
          <w:rFonts w:ascii="Arial" w:cs="Arial" w:eastAsia="Arial" w:hAnsi="Arial"/>
          <w:sz w:val="18"/>
          <w:szCs w:val="18"/>
          <w:color w:val="auto"/>
        </w:rPr>
        <w:t>” shall mean that certain Seventh Amended and Restated Voting Agreement, dated on or around the Original Issue Date, by and among the Corporation and certain of its stockholders, as may be amended in accordance with its terms.</w:t>
      </w:r>
    </w:p>
    <w:p>
      <w:pPr>
        <w:spacing w:after="0" w:line="273" w:lineRule="exact"/>
        <w:rPr>
          <w:rFonts w:ascii="Arial" w:cs="Arial" w:eastAsia="Arial" w:hAnsi="Arial"/>
          <w:sz w:val="18"/>
          <w:szCs w:val="18"/>
          <w:color w:val="auto"/>
        </w:rPr>
      </w:pPr>
    </w:p>
    <w:p>
      <w:pPr>
        <w:ind w:left="344" w:hanging="344"/>
        <w:spacing w:after="0"/>
        <w:tabs>
          <w:tab w:leader="none" w:pos="34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4" w:right="20" w:firstLine="436"/>
        <w:spacing w:after="0" w:line="270" w:lineRule="auto"/>
        <w:tabs>
          <w:tab w:leader="none" w:pos="759" w:val="left"/>
        </w:tabs>
        <w:numPr>
          <w:ilvl w:val="1"/>
          <w:numId w:val="221"/>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voting powers, dividend and liquidation rights and preferences of the holders of the Common Stock are subject to and qualified by the rights, powers and preferences of the holders of the Preferred Stock set forth herein. The Class A Common Stock and Class B Common Stock will be identical in all respects except as otherwise expressly set forth in this Article Fourth. Dividends paid on shares of Class A Common Stock in the form of shares of Common Stock shall be paid in the form of shares of Class A Common Stock, and dividends paid on shares of Class B Common Stock in the form of shares of Common Stock shall be paid in the form of shares of Class B Common Stock. The Corporation shall not declare or make any dividend or distribution upon or effect any subdivision or combination (in each case, through a stock split, reverse stock split, stock dividend, merger, recapitalization or otherwise) of the Class A Common Stock or Class B Common Stock unless the Corporation simultaneously declares or makes an identical (other than with respect to voting rights) dividend or distribution upon or effects an identical subdivision or combination of the Class B Common Stock or Class A Common Stock,</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25" w:name="page326"/>
    <w:bookmarkEnd w:id="325"/>
    <w:p>
      <w:pPr>
        <w:ind w:left="4" w:right="6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respectively. All shares of Common Stock shall have the same dividend and liquidation rights, and the holders thereof shall be entitled to receive dividends and liquidating distributions with respect to their shares of Common Stock on a pari passu basis with each other.</w:t>
      </w:r>
    </w:p>
    <w:p>
      <w:pPr>
        <w:spacing w:after="0" w:line="146" w:lineRule="exact"/>
        <w:rPr>
          <w:sz w:val="20"/>
          <w:szCs w:val="20"/>
          <w:color w:val="auto"/>
        </w:rPr>
      </w:pPr>
    </w:p>
    <w:p>
      <w:pPr>
        <w:ind w:left="4" w:firstLine="436"/>
        <w:spacing w:after="0" w:line="254" w:lineRule="auto"/>
        <w:tabs>
          <w:tab w:leader="none" w:pos="759"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The holders of the Class A Common Stock are entitled to one (1) vote for each share of Class A Common Stock held at all meetings of stockholders (and written actions in lieu of meetings). There shall be no cumulative voting. The number of authorized shares of Class A Common Stock and Class B Common Stock may be increased or decreased (but not below the number of shares thereof then outstanding) by (in addition to any vote of the holders of one or more series of Preferred Stock that may be required by the terms of this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 Except as expressly set forth herein or as otherwise required under the General Corporation Law or other applicable law, the holders of Class B Common Stock shall have no voting rights in respect of such shares.</w:t>
      </w:r>
    </w:p>
    <w:p>
      <w:pPr>
        <w:spacing w:after="0" w:line="299" w:lineRule="exact"/>
        <w:rPr>
          <w:rFonts w:ascii="Arial" w:cs="Arial" w:eastAsia="Arial" w:hAnsi="Arial"/>
          <w:sz w:val="18"/>
          <w:szCs w:val="18"/>
          <w:color w:val="auto"/>
        </w:rPr>
      </w:pPr>
    </w:p>
    <w:p>
      <w:pPr>
        <w:ind w:left="344" w:hanging="344"/>
        <w:spacing w:after="0"/>
        <w:tabs>
          <w:tab w:leader="none" w:pos="34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The shares of Preferred Stock shall have the following rights, preferences, powers, privileges and restrictions, qualifications and limitations, as applicable. Unless otherwise indicated, references to “</w:t>
      </w:r>
      <w:r>
        <w:rPr>
          <w:rFonts w:ascii="Arial" w:cs="Arial" w:eastAsia="Arial" w:hAnsi="Arial"/>
          <w:sz w:val="18"/>
          <w:szCs w:val="18"/>
          <w:b w:val="1"/>
          <w:bCs w:val="1"/>
          <w:color w:val="auto"/>
        </w:rPr>
        <w:t>Sections</w:t>
      </w:r>
      <w:r>
        <w:rPr>
          <w:rFonts w:ascii="Arial" w:cs="Arial" w:eastAsia="Arial" w:hAnsi="Arial"/>
          <w:sz w:val="18"/>
          <w:szCs w:val="18"/>
          <w:color w:val="auto"/>
        </w:rPr>
        <w:t>” or “</w:t>
      </w:r>
      <w:r>
        <w:rPr>
          <w:rFonts w:ascii="Arial" w:cs="Arial" w:eastAsia="Arial" w:hAnsi="Arial"/>
          <w:sz w:val="18"/>
          <w:szCs w:val="18"/>
          <w:b w:val="1"/>
          <w:bCs w:val="1"/>
          <w:color w:val="auto"/>
        </w:rPr>
        <w:t>Subsections</w:t>
      </w:r>
      <w:r>
        <w:rPr>
          <w:rFonts w:ascii="Arial" w:cs="Arial" w:eastAsia="Arial" w:hAnsi="Arial"/>
          <w:sz w:val="18"/>
          <w:szCs w:val="18"/>
          <w:color w:val="auto"/>
        </w:rPr>
        <w:t>” in this Part C of this Article Fourth refer to sections and subsections of Part C of this Article Fourth.</w:t>
      </w:r>
    </w:p>
    <w:p>
      <w:pPr>
        <w:spacing w:after="0" w:line="184" w:lineRule="exact"/>
        <w:rPr>
          <w:sz w:val="20"/>
          <w:szCs w:val="20"/>
          <w:color w:val="auto"/>
        </w:rPr>
      </w:pPr>
    </w:p>
    <w:p>
      <w:pPr>
        <w:ind w:left="764" w:hanging="324"/>
        <w:spacing w:after="0"/>
        <w:tabs>
          <w:tab w:leader="none" w:pos="764"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17"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From and after the date of the issuance of any shares of Preferred Stock until and including July 3, 2018, dividends at a rate per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annum of eight percent (8%) of the Series C Original Issue Price (as defined below) shall accrue with respect to such shares of Series C Preferred Stock</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Series C Dividend</w:t>
      </w:r>
      <w:r>
        <w:rPr>
          <w:rFonts w:ascii="Arial" w:cs="Arial" w:eastAsia="Arial" w:hAnsi="Arial"/>
          <w:sz w:val="16"/>
          <w:szCs w:val="16"/>
          <w:color w:val="auto"/>
        </w:rPr>
        <w:t>”), dividends at a rate per annum of eight percent (8%) of the Series B1 Original Issue Price (as defined below) shall accrue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with respect to such shares of Series B1 Preferred Stock (the “</w:t>
      </w:r>
      <w:r>
        <w:rPr>
          <w:rFonts w:ascii="Arial" w:cs="Arial" w:eastAsia="Arial" w:hAnsi="Arial"/>
          <w:sz w:val="17"/>
          <w:szCs w:val="17"/>
          <w:b w:val="1"/>
          <w:bCs w:val="1"/>
          <w:color w:val="auto"/>
        </w:rPr>
        <w:t>Series B1 Dividend</w:t>
      </w:r>
      <w:r>
        <w:rPr>
          <w:rFonts w:ascii="Arial" w:cs="Arial" w:eastAsia="Arial" w:hAnsi="Arial"/>
          <w:sz w:val="17"/>
          <w:szCs w:val="17"/>
          <w:color w:val="auto"/>
        </w:rPr>
        <w:t>”), dividends at a rate per annum of eight percent (8%) of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Series B1-NV Original Issue Price (as defined below) shall accrue with respect to such shares of Series B1-NV Preferred Stock (the “</w:t>
      </w:r>
      <w:r>
        <w:rPr>
          <w:rFonts w:ascii="Arial" w:cs="Arial" w:eastAsia="Arial" w:hAnsi="Arial"/>
          <w:sz w:val="16"/>
          <w:szCs w:val="16"/>
          <w:b w:val="1"/>
          <w:bCs w:val="1"/>
          <w:color w:val="auto"/>
        </w:rPr>
        <w:t>Series B1-NV</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Dividend</w:t>
      </w:r>
      <w:r>
        <w:rPr>
          <w:rFonts w:ascii="Arial" w:cs="Arial" w:eastAsia="Arial" w:hAnsi="Arial"/>
          <w:sz w:val="16"/>
          <w:szCs w:val="16"/>
          <w:color w:val="auto"/>
        </w:rPr>
        <w:t>”), dividends at a rate per annum of eight percent (8%) of the Series B Original Issue Price (as defined below) shall accrue with respect to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shares of Series B Preferred Stock (the “</w:t>
      </w:r>
      <w:r>
        <w:rPr>
          <w:rFonts w:ascii="Arial" w:cs="Arial" w:eastAsia="Arial" w:hAnsi="Arial"/>
          <w:sz w:val="16"/>
          <w:szCs w:val="16"/>
          <w:b w:val="1"/>
          <w:bCs w:val="1"/>
          <w:color w:val="auto"/>
        </w:rPr>
        <w:t>Series B Dividend</w:t>
      </w:r>
      <w:r>
        <w:rPr>
          <w:rFonts w:ascii="Arial" w:cs="Arial" w:eastAsia="Arial" w:hAnsi="Arial"/>
          <w:sz w:val="16"/>
          <w:szCs w:val="16"/>
          <w:color w:val="auto"/>
        </w:rPr>
        <w:t>”), and dividends at a rate per annum of eight percent (8%) of the Series A Original Issue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Price (as defined below) shall accrue with respect to such shares of Series A Preferred Stock (the “</w:t>
      </w:r>
      <w:r>
        <w:rPr>
          <w:rFonts w:ascii="Arial" w:cs="Arial" w:eastAsia="Arial" w:hAnsi="Arial"/>
          <w:sz w:val="17"/>
          <w:szCs w:val="17"/>
          <w:b w:val="1"/>
          <w:bCs w:val="1"/>
          <w:color w:val="auto"/>
        </w:rPr>
        <w:t>Series A Dividend,</w:t>
      </w:r>
      <w:r>
        <w:rPr>
          <w:rFonts w:ascii="Arial" w:cs="Arial" w:eastAsia="Arial" w:hAnsi="Arial"/>
          <w:sz w:val="17"/>
          <w:szCs w:val="17"/>
          <w:color w:val="auto"/>
        </w:rPr>
        <w:t>” and each of the Series A</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Dividend, the Series B Dividend, the Series B1-NV Dividend, Series B1 Dividend and Series C Dividend are sometimes referred to herein as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Accrued Dividends</w:t>
      </w:r>
      <w:r>
        <w:rPr>
          <w:rFonts w:ascii="Arial" w:cs="Arial" w:eastAsia="Arial" w:hAnsi="Arial"/>
          <w:sz w:val="16"/>
          <w:szCs w:val="16"/>
          <w:color w:val="auto"/>
        </w:rPr>
        <w:t xml:space="preserve">”). The Accrued Dividends shall accrue from day to day, whether or not declared, and shall be cumulative;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Subsection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Subsection 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2.6</w:t>
      </w:r>
      <w:r>
        <w:rPr>
          <w:rFonts w:ascii="Arial" w:cs="Arial" w:eastAsia="Arial" w:hAnsi="Arial"/>
          <w:sz w:val="16"/>
          <w:szCs w:val="16"/>
          <w:color w:val="auto"/>
        </w:rPr>
        <w:t>, such Accrued Dividends shall be payable only when, as, and if declared by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Board of Directors and the Corporation shall be under no obligation to pay such Accrued Dividends. The “</w:t>
      </w:r>
      <w:r>
        <w:rPr>
          <w:rFonts w:ascii="Arial" w:cs="Arial" w:eastAsia="Arial" w:hAnsi="Arial"/>
          <w:sz w:val="16"/>
          <w:szCs w:val="16"/>
          <w:b w:val="1"/>
          <w:bCs w:val="1"/>
          <w:color w:val="auto"/>
        </w:rPr>
        <w:t>Series A Original Issue Price</w:t>
      </w:r>
      <w:r>
        <w:rPr>
          <w:rFonts w:ascii="Arial" w:cs="Arial" w:eastAsia="Arial" w:hAnsi="Arial"/>
          <w:sz w:val="16"/>
          <w:szCs w:val="16"/>
          <w:color w:val="auto"/>
        </w:rPr>
        <w:t>” shall mean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$1.974 per share, subject to appropriate adjustment in the event of any stock dividend, stock split, combination or other similar recapitalization with</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respect to the Series A Preferred Stock. The “</w:t>
      </w:r>
      <w:r>
        <w:rPr>
          <w:rFonts w:ascii="Arial" w:cs="Arial" w:eastAsia="Arial" w:hAnsi="Arial"/>
          <w:sz w:val="18"/>
          <w:szCs w:val="18"/>
          <w:b w:val="1"/>
          <w:bCs w:val="1"/>
          <w:color w:val="auto"/>
        </w:rPr>
        <w:t>Series B Original Issue Price</w:t>
      </w:r>
      <w:r>
        <w:rPr>
          <w:rFonts w:ascii="Arial" w:cs="Arial" w:eastAsia="Arial" w:hAnsi="Arial"/>
          <w:sz w:val="18"/>
          <w:szCs w:val="18"/>
          <w:color w:val="auto"/>
        </w:rPr>
        <w:t>”</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326" w:name="page327"/>
    <w:bookmarkEnd w:id="32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mean $1.974 per share, subject to appropriate adjustment in the event of any stock dividend, stock split, combination or other similar recapitalization with respect to the Series B Preferred Stock. The “</w:t>
      </w:r>
      <w:r>
        <w:rPr>
          <w:rFonts w:ascii="Arial" w:cs="Arial" w:eastAsia="Arial" w:hAnsi="Arial"/>
          <w:sz w:val="16"/>
          <w:szCs w:val="16"/>
          <w:b w:val="1"/>
          <w:bCs w:val="1"/>
          <w:color w:val="auto"/>
        </w:rPr>
        <w:t>Series B1-NV Original Issue Price</w:t>
      </w:r>
      <w:r>
        <w:rPr>
          <w:rFonts w:ascii="Arial" w:cs="Arial" w:eastAsia="Arial" w:hAnsi="Arial"/>
          <w:sz w:val="16"/>
          <w:szCs w:val="16"/>
          <w:color w:val="auto"/>
        </w:rPr>
        <w:t>” shall mean $2.252 per share, subject to appropriate adjustment in the event of any stock dividend, stock split, combination or other similar recapitalization with respect to the Series B1-NV Preferred Stock. The “</w:t>
      </w:r>
      <w:r>
        <w:rPr>
          <w:rFonts w:ascii="Arial" w:cs="Arial" w:eastAsia="Arial" w:hAnsi="Arial"/>
          <w:sz w:val="16"/>
          <w:szCs w:val="16"/>
          <w:b w:val="1"/>
          <w:bCs w:val="1"/>
          <w:color w:val="auto"/>
        </w:rPr>
        <w:t>Series B1 Original Issue Price</w:t>
      </w:r>
      <w:r>
        <w:rPr>
          <w:rFonts w:ascii="Arial" w:cs="Arial" w:eastAsia="Arial" w:hAnsi="Arial"/>
          <w:sz w:val="16"/>
          <w:szCs w:val="16"/>
          <w:color w:val="auto"/>
        </w:rPr>
        <w:t>” shall mean $2.252 per share, subject to appropriate adjustment in the event of any stock dividend, stock split, combination or other similar recapitalization with respect to the Series B1 Preferred Stock. The “</w:t>
      </w:r>
      <w:r>
        <w:rPr>
          <w:rFonts w:ascii="Arial" w:cs="Arial" w:eastAsia="Arial" w:hAnsi="Arial"/>
          <w:sz w:val="16"/>
          <w:szCs w:val="16"/>
          <w:b w:val="1"/>
          <w:bCs w:val="1"/>
          <w:color w:val="auto"/>
        </w:rPr>
        <w:t>Series C Original Issue Price</w:t>
      </w:r>
      <w:r>
        <w:rPr>
          <w:rFonts w:ascii="Arial" w:cs="Arial" w:eastAsia="Arial" w:hAnsi="Arial"/>
          <w:sz w:val="16"/>
          <w:szCs w:val="16"/>
          <w:color w:val="auto"/>
        </w:rPr>
        <w:t>” shall mean $4.44 per share, subject to appropriate adjustment in the event of any stock dividend, stock split, combination or other similar recapitalization with respect to the Series C Preferred Stock. The “</w:t>
      </w:r>
      <w:r>
        <w:rPr>
          <w:rFonts w:ascii="Arial" w:cs="Arial" w:eastAsia="Arial" w:hAnsi="Arial"/>
          <w:sz w:val="16"/>
          <w:szCs w:val="16"/>
          <w:b w:val="1"/>
          <w:bCs w:val="1"/>
          <w:color w:val="auto"/>
        </w:rPr>
        <w:t>Series D Original Issue Price</w:t>
      </w:r>
      <w:r>
        <w:rPr>
          <w:rFonts w:ascii="Arial" w:cs="Arial" w:eastAsia="Arial" w:hAnsi="Arial"/>
          <w:sz w:val="16"/>
          <w:szCs w:val="16"/>
          <w:color w:val="auto"/>
        </w:rPr>
        <w:t>” shall mean $22.6415 per share, subject to appropriate adjustment in the event of any stock dividend, stock split, combination or other similar recapitalization with respect to the Series D Preferred Stock. The “</w:t>
      </w:r>
      <w:r>
        <w:rPr>
          <w:rFonts w:ascii="Arial" w:cs="Arial" w:eastAsia="Arial" w:hAnsi="Arial"/>
          <w:sz w:val="16"/>
          <w:szCs w:val="16"/>
          <w:b w:val="1"/>
          <w:bCs w:val="1"/>
          <w:color w:val="auto"/>
        </w:rPr>
        <w:t>Series E</w:t>
      </w:r>
      <w:r>
        <w:rPr>
          <w:rFonts w:ascii="Arial" w:cs="Arial" w:eastAsia="Arial" w:hAnsi="Arial"/>
          <w:sz w:val="16"/>
          <w:szCs w:val="16"/>
          <w:color w:val="auto"/>
        </w:rPr>
        <w:t xml:space="preserve"> </w:t>
      </w:r>
      <w:r>
        <w:rPr>
          <w:rFonts w:ascii="Arial" w:cs="Arial" w:eastAsia="Arial" w:hAnsi="Arial"/>
          <w:sz w:val="16"/>
          <w:szCs w:val="16"/>
          <w:b w:val="1"/>
          <w:bCs w:val="1"/>
          <w:color w:val="auto"/>
        </w:rPr>
        <w:t>Original Issue Price</w:t>
      </w:r>
      <w:r>
        <w:rPr>
          <w:rFonts w:ascii="Arial" w:cs="Arial" w:eastAsia="Arial" w:hAnsi="Arial"/>
          <w:sz w:val="16"/>
          <w:szCs w:val="16"/>
          <w:color w:val="auto"/>
        </w:rPr>
        <w:t>” shall mean $32.0287 per share, subject to appropriate adjustment in the event of any stock dividend, stock split, combination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similar recapitalization with respect to the Series E Preferred Stock. The “</w:t>
      </w:r>
      <w:r>
        <w:rPr>
          <w:rFonts w:ascii="Arial" w:cs="Arial" w:eastAsia="Arial" w:hAnsi="Arial"/>
          <w:sz w:val="16"/>
          <w:szCs w:val="16"/>
          <w:b w:val="1"/>
          <w:bCs w:val="1"/>
          <w:color w:val="auto"/>
        </w:rPr>
        <w:t>Series F Original Issue Price</w:t>
      </w:r>
      <w:r>
        <w:rPr>
          <w:rFonts w:ascii="Arial" w:cs="Arial" w:eastAsia="Arial" w:hAnsi="Arial"/>
          <w:sz w:val="16"/>
          <w:szCs w:val="16"/>
          <w:color w:val="auto"/>
        </w:rPr>
        <w:t>” shall mean $69.9862 per share, subject to appropriate adjustment in the event of any stock dividend, stock split, combination or other similar recapitalization with respect to the Series F Preferred Stock. The “</w:t>
      </w:r>
      <w:r>
        <w:rPr>
          <w:rFonts w:ascii="Arial" w:cs="Arial" w:eastAsia="Arial" w:hAnsi="Arial"/>
          <w:sz w:val="16"/>
          <w:szCs w:val="16"/>
          <w:b w:val="1"/>
          <w:bCs w:val="1"/>
          <w:color w:val="auto"/>
        </w:rPr>
        <w:t>Applicable Original Issue Price</w:t>
      </w:r>
      <w:r>
        <w:rPr>
          <w:rFonts w:ascii="Arial" w:cs="Arial" w:eastAsia="Arial" w:hAnsi="Arial"/>
          <w:sz w:val="16"/>
          <w:szCs w:val="16"/>
          <w:color w:val="auto"/>
        </w:rPr>
        <w:t>” shall mean the Series A Original Issue Price with respect to the Series A Preferred Stock, the Series B Original Issue Price with respect to the Series B Preferred Stock, the Series B1-NV Original Issue Price with respect to the Series B1-NV Preferred Stock, the Series B1 Original Issue Price with respect to the Series B1 Preferred Stock, the Series C Original Issue Price with respect to the Series C Preferred Stock, the Series D Original Issue Price with respect to the Series D Preferred Stock, the Series E Original Issue Price with respect to the Series E Preferred Stock, and the Series F Original Issue Price with respect to the Series F Preferred Stock.</w:t>
      </w:r>
    </w:p>
    <w:p>
      <w:pPr>
        <w:spacing w:after="0" w:line="176"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1.2 The Corporation shall not declare, pay or set aside any dividends on shares of any other class or series of capital stock of the Corporation (other than dividends on shares of Common Stock payable in shares of Common Stock and the Accrued Dividends as set forth in </w:t>
      </w:r>
      <w:r>
        <w:rPr>
          <w:rFonts w:ascii="Arial" w:cs="Arial" w:eastAsia="Arial" w:hAnsi="Arial"/>
          <w:sz w:val="16"/>
          <w:szCs w:val="16"/>
          <w:u w:val="single" w:color="auto"/>
          <w:color w:val="auto"/>
        </w:rPr>
        <w:t>Subsection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Subsection 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2.6</w:t>
      </w:r>
      <w:r>
        <w:rPr>
          <w:rFonts w:ascii="Arial" w:cs="Arial" w:eastAsia="Arial" w:hAnsi="Arial"/>
          <w:sz w:val="16"/>
          <w:szCs w:val="16"/>
          <w:color w:val="auto"/>
        </w:rPr>
        <w:t>) unless (in addition to the obtaining of any consents required elsewhere in this Certificate of Incorporation) the holders of the Series F Preferred Stock then outstanding shall first receive, or simultaneously receive, a dividend on each outstanding share of Series F Preferred Stock in an amount at least equal to the greater of (i) in the case of a dividend on Common Stock or any class or series that is convertible into Common Stock, that dividend per share of Series 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Series F Preferred Stock, in each case calculated on the record date for determination of holders entitled to receive such dividend or (ii) in the case of a dividend on any class or series that is not convertible into Common Stock, at a rate per share of Series 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Series F Original Issue Price; provided that, if the Corporation declares, pays or sets aside, on the same date, a dividend on shares of more than one class or series of capital stock of the Corporation, the dividend payable to the holders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27" w:name="page328"/>
    <w:bookmarkEnd w:id="32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Series F Preferred Stock pursuant to this </w:t>
      </w:r>
      <w:r>
        <w:rPr>
          <w:rFonts w:ascii="Arial" w:cs="Arial" w:eastAsia="Arial" w:hAnsi="Arial"/>
          <w:sz w:val="18"/>
          <w:szCs w:val="18"/>
          <w:u w:val="single" w:color="auto"/>
          <w:color w:val="auto"/>
        </w:rPr>
        <w:t>Subsection 1.2</w:t>
      </w:r>
      <w:r>
        <w:rPr>
          <w:rFonts w:ascii="Arial" w:cs="Arial" w:eastAsia="Arial" w:hAnsi="Arial"/>
          <w:sz w:val="18"/>
          <w:szCs w:val="18"/>
          <w:color w:val="auto"/>
        </w:rPr>
        <w:t xml:space="preserve"> shall be calculated based upon the dividend on the class or series of capital stock that would result in the highest dividend payable to such holders of Series F Preferred Stock. The Corporation shall not declare or make any dividend or distribution upon or effect any subdivision or combination (in each case, through a stock split, reverse stock split, stock dividend, merger, recapitalization or otherwise) of the Series F-1 Preferred Stock or Series F-2 Preferred Stock unless the Corporation simultaneously declares or makes an identical (other than with respect to voting rights) dividend or distribution upon or effects an identical subdivision or combination of the Series F-1 Preferred Stock or Series F-2 Preferred Stock, respectively.</w:t>
      </w:r>
    </w:p>
    <w:p>
      <w:pPr>
        <w:spacing w:after="0" w:line="192"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1.3 The Corporation shall not declare, pay or set aside any dividends on shares of any other class or series of capital stock of the Corporation (other than dividends on shares of Common Stock payable in shares of Common Stock and the Accrued Dividends as set forth in </w:t>
      </w:r>
      <w:r>
        <w:rPr>
          <w:rFonts w:ascii="Arial" w:cs="Arial" w:eastAsia="Arial" w:hAnsi="Arial"/>
          <w:sz w:val="16"/>
          <w:szCs w:val="16"/>
          <w:u w:val="single" w:color="auto"/>
          <w:color w:val="auto"/>
        </w:rPr>
        <w:t>Subsection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Subsection 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2.6</w:t>
      </w:r>
      <w:r>
        <w:rPr>
          <w:rFonts w:ascii="Arial" w:cs="Arial" w:eastAsia="Arial" w:hAnsi="Arial"/>
          <w:sz w:val="16"/>
          <w:szCs w:val="16"/>
          <w:color w:val="auto"/>
        </w:rPr>
        <w:t xml:space="preserve">) unless (in addition to the obtaining of any consents required elsewhere in this Certificate of Incorporation) the holders of the Series E Preferred Stock then outstanding shall first receive, or simultaneously receive, a dividend on each outstanding share of Series E Preferred Stock in an amount at least equal to the greater of (i) in the case of a dividend on Common Stock or any class or series that is convertible into Common Stock, that dividend per share of Series E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Series E Preferred Stock, in each case calculated on the record date for determination of holders entitled to receive such dividend or (ii) in the case of a dividend on any class or series that is not convertible into Common Stock, at a rate per share of Series E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Series E Original Issue Price; provided that, if the Corporation declares, pays or sets aside, on the same date, a dividend on shares of more than one class or series of capital stock of the Corporation, the dividend payable to the holders of Series E Preferred Stock pursuant to this </w:t>
      </w:r>
      <w:r>
        <w:rPr>
          <w:rFonts w:ascii="Arial" w:cs="Arial" w:eastAsia="Arial" w:hAnsi="Arial"/>
          <w:sz w:val="16"/>
          <w:szCs w:val="16"/>
          <w:u w:val="single" w:color="auto"/>
          <w:color w:val="auto"/>
        </w:rPr>
        <w:t>Subsection 1.3</w:t>
      </w:r>
      <w:r>
        <w:rPr>
          <w:rFonts w:ascii="Arial" w:cs="Arial" w:eastAsia="Arial" w:hAnsi="Arial"/>
          <w:sz w:val="16"/>
          <w:szCs w:val="16"/>
          <w:color w:val="auto"/>
        </w:rPr>
        <w:t xml:space="preserve"> shall be calculated based upon the dividend on the class or series of capital stock that would result in the highest dividend payable to such holders of Series E Preferred Stock. The Corporation shall not declare or make any dividend or distribution upon or effect any subdivision or combination (in each case, through a stock split, reverse stock split, stock dividend, merger, recapitalization or otherwise) of the Series E-1 Preferred Stock or Series E-2 Preferred Stock unless the Corporation simultaneously declares or makes an identical (other than with respect to voting rights) dividend or distribution upon or effects an identical subdivision or combination of the Series E-1 Preferred Stock or Series E-2 Preferred Stock, respectively.</w:t>
      </w:r>
    </w:p>
    <w:p>
      <w:pPr>
        <w:spacing w:after="0" w:line="169" w:lineRule="exact"/>
        <w:rPr>
          <w:sz w:val="20"/>
          <w:szCs w:val="20"/>
          <w:color w:val="auto"/>
        </w:rPr>
      </w:pPr>
    </w:p>
    <w:p>
      <w:pPr>
        <w:ind w:right="660" w:firstLine="991"/>
        <w:spacing w:after="0" w:line="301" w:lineRule="auto"/>
        <w:rPr>
          <w:sz w:val="20"/>
          <w:szCs w:val="20"/>
          <w:color w:val="auto"/>
        </w:rPr>
      </w:pPr>
      <w:r>
        <w:rPr>
          <w:rFonts w:ascii="Arial" w:cs="Arial" w:eastAsia="Arial" w:hAnsi="Arial"/>
          <w:sz w:val="16"/>
          <w:szCs w:val="16"/>
          <w:color w:val="auto"/>
        </w:rPr>
        <w:t xml:space="preserve">1.4 The Corporation shall not declare, pay or set aside any dividends on shares of any other class or series of capital stock of the Corporation (other than dividends on shares of Common Stock payable in shares of Common Stock and the Accrued Dividends as set forth in </w:t>
      </w:r>
      <w:r>
        <w:rPr>
          <w:rFonts w:ascii="Arial" w:cs="Arial" w:eastAsia="Arial" w:hAnsi="Arial"/>
          <w:sz w:val="16"/>
          <w:szCs w:val="16"/>
          <w:u w:val="single" w:color="auto"/>
          <w:color w:val="auto"/>
        </w:rPr>
        <w:t>Subsection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Subsection 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2.6</w:t>
      </w:r>
      <w:r>
        <w:rPr>
          <w:rFonts w:ascii="Arial" w:cs="Arial" w:eastAsia="Arial" w:hAnsi="Arial"/>
          <w:sz w:val="16"/>
          <w:szCs w:val="16"/>
          <w:color w:val="auto"/>
        </w:rPr>
        <w:t>) unless (in addition to the obtaining of any consents required elsewhere in this Certificate of Incorporation) the holders of the Series D Preferred Stock then outstanding shall first receive, or simultaneously receive, a dividend on each</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28" w:name="page329"/>
    <w:bookmarkEnd w:id="32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outstanding share of Series D Preferred Stock in an amount at least equal to the greater of (i) in the case of a dividend on Common Stock or any class or series that is convertible into Common Stock, that dividend per share of Series D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Series D Preferred Stock, in each case calculated on the record date for determination of holders entitled to receive such dividend or (ii) in the case of a dividend on any class or series that is not convertible into Common Stock, at a rate per share of Series D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Series D Original Issue Price; provided that, if the Corporation declares, pays or sets aside, on the same date, a dividend on shares of more than one class or series of capital stock of the Corporation, the dividend payable to the holders of Series D Preferred Stock pursuant to this </w:t>
      </w:r>
      <w:r>
        <w:rPr>
          <w:rFonts w:ascii="Arial" w:cs="Arial" w:eastAsia="Arial" w:hAnsi="Arial"/>
          <w:sz w:val="17"/>
          <w:szCs w:val="17"/>
          <w:u w:val="single" w:color="auto"/>
          <w:color w:val="auto"/>
        </w:rPr>
        <w:t>Subsection 1.4</w:t>
      </w:r>
      <w:r>
        <w:rPr>
          <w:rFonts w:ascii="Arial" w:cs="Arial" w:eastAsia="Arial" w:hAnsi="Arial"/>
          <w:sz w:val="17"/>
          <w:szCs w:val="17"/>
          <w:color w:val="auto"/>
        </w:rPr>
        <w:t xml:space="preserve"> shall be calculated based upon the dividend on the class or series of capital stock that would result in the highest dividend payable to such holders of Series D Preferred Stock.</w:t>
      </w:r>
    </w:p>
    <w:p>
      <w:pPr>
        <w:spacing w:after="0" w:line="179" w:lineRule="exact"/>
        <w:rPr>
          <w:sz w:val="20"/>
          <w:szCs w:val="20"/>
          <w:color w:val="auto"/>
        </w:rPr>
      </w:pPr>
    </w:p>
    <w:p>
      <w:pPr>
        <w:ind w:right="80" w:firstLine="991"/>
        <w:spacing w:after="0" w:line="285" w:lineRule="auto"/>
        <w:rPr>
          <w:sz w:val="20"/>
          <w:szCs w:val="20"/>
          <w:color w:val="auto"/>
        </w:rPr>
      </w:pPr>
      <w:r>
        <w:rPr>
          <w:rFonts w:ascii="Arial" w:cs="Arial" w:eastAsia="Arial" w:hAnsi="Arial"/>
          <w:sz w:val="16"/>
          <w:szCs w:val="16"/>
          <w:color w:val="auto"/>
        </w:rPr>
        <w:t xml:space="preserve">1.5 The Corporation shall not declare, pay or set aside any dividends on shares of any other class or series of capital stock of the Corporation (other than dividends on shares of Common Stock payable in shares of Common Stock and the Accrued Dividends as set forth in </w:t>
      </w:r>
      <w:r>
        <w:rPr>
          <w:rFonts w:ascii="Arial" w:cs="Arial" w:eastAsia="Arial" w:hAnsi="Arial"/>
          <w:sz w:val="16"/>
          <w:szCs w:val="16"/>
          <w:u w:val="single" w:color="auto"/>
          <w:color w:val="auto"/>
        </w:rPr>
        <w:t>Subsection 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2.6</w:t>
      </w:r>
      <w:r>
        <w:rPr>
          <w:rFonts w:ascii="Arial" w:cs="Arial" w:eastAsia="Arial" w:hAnsi="Arial"/>
          <w:sz w:val="16"/>
          <w:szCs w:val="16"/>
          <w:color w:val="auto"/>
        </w:rPr>
        <w:t xml:space="preserve">) unless (in addition to the obtaining of any consents required elsewhere in this Certificate of Incorporation) the holders of the Series C Preferred Stock then outstanding shall first receive, or simultaneously receive, a dividend on each outstanding share of Series C Preferred Stock in an amount at least equal to the greater of (i) the amount of the aggregate Series C Dividends accrued on such share of Series C Preferred Stock and not previously paid and (ii) (A) in the case of a dividend on Common Stock or any class or series that is convertible into Common Stock, that dividend per share of Series C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C Preferred Stock, in each case calculated on the record date for determination of holders entitled to receive such dividend or (B) in the case of a dividend on any class or series that is not convertible into Common Stock, at a rate per share of Series C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Series C Original Issue Price; provided that, if the Corporation declares, pays or sets aside, on the same date, a dividend on shares of more than one class or series of capital stock of the Corporation, the dividend payable to the holders of Series C Preferred Stock pursuant to this </w:t>
      </w:r>
      <w:r>
        <w:rPr>
          <w:rFonts w:ascii="Arial" w:cs="Arial" w:eastAsia="Arial" w:hAnsi="Arial"/>
          <w:sz w:val="16"/>
          <w:szCs w:val="16"/>
          <w:u w:val="single" w:color="auto"/>
          <w:color w:val="auto"/>
        </w:rPr>
        <w:t>Subsection 1.5</w:t>
      </w:r>
      <w:r>
        <w:rPr>
          <w:rFonts w:ascii="Arial" w:cs="Arial" w:eastAsia="Arial" w:hAnsi="Arial"/>
          <w:sz w:val="16"/>
          <w:szCs w:val="16"/>
          <w:color w:val="auto"/>
        </w:rPr>
        <w:t xml:space="preserve"> shall be calculated based upon the dividend on the class or series of capital stock that would result in the highest dividend payable to such holders of Series C Preferred Stock.</w:t>
      </w:r>
    </w:p>
    <w:p>
      <w:pPr>
        <w:spacing w:after="0" w:line="176" w:lineRule="exact"/>
        <w:rPr>
          <w:sz w:val="20"/>
          <w:szCs w:val="20"/>
          <w:color w:val="auto"/>
        </w:rPr>
      </w:pPr>
    </w:p>
    <w:p>
      <w:pPr>
        <w:ind w:right="660" w:firstLine="991"/>
        <w:spacing w:after="0" w:line="277" w:lineRule="auto"/>
        <w:rPr>
          <w:sz w:val="20"/>
          <w:szCs w:val="20"/>
          <w:color w:val="auto"/>
        </w:rPr>
      </w:pPr>
      <w:r>
        <w:rPr>
          <w:rFonts w:ascii="Arial" w:cs="Arial" w:eastAsia="Arial" w:hAnsi="Arial"/>
          <w:sz w:val="18"/>
          <w:szCs w:val="18"/>
          <w:color w:val="auto"/>
        </w:rPr>
        <w:t>1.6 The Corporation shall not declare, pay or set aside any dividends on shares of any other class or series of capital stock of the Corporation (other than dividends on shares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29" w:name="page330"/>
    <w:bookmarkEnd w:id="32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Common Stock payable in shares of Common Stock and the Accrued Dividends as set forth in </w:t>
      </w:r>
      <w:r>
        <w:rPr>
          <w:rFonts w:ascii="Arial" w:cs="Arial" w:eastAsia="Arial" w:hAnsi="Arial"/>
          <w:sz w:val="16"/>
          <w:szCs w:val="16"/>
          <w:u w:val="single" w:color="auto"/>
          <w:color w:val="auto"/>
        </w:rPr>
        <w:t>Subsection 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2.6</w:t>
      </w:r>
      <w:r>
        <w:rPr>
          <w:rFonts w:ascii="Arial" w:cs="Arial" w:eastAsia="Arial" w:hAnsi="Arial"/>
          <w:sz w:val="16"/>
          <w:szCs w:val="16"/>
          <w:color w:val="auto"/>
        </w:rPr>
        <w:t xml:space="preserve">) unless (in addition to the obtaining of any consents required elsewhere in this Certificate of Incorporation) the holders of the Tier 1 Preferred Stock then outstanding shall first receive, or simultaneously receive, a dividend on each outstanding share of Tier 1 Preferred Stock in an amount at least equal to the greater of (i) the amount of the aggregate Accrued Dividends accrued on such share of Tier 1 Preferred Stock and not previously paid and (ii) (A) in the case of a dividend on Common Stock or any class or series that is convertible into Common Stock, that dividend per share of Tier 1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such Tier 1 Preferred Stock, in each case calculated on the record date for determination of holders entitled to receive such dividend or (B) in the case of a dividend on any class or series that is not convertible into Common Stock, at a rate per share of such Tier 1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Applicable Original Issue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Corporation declares, pays or sets aside, on the same date, a dividend on shares of more than one class or series of capital stock of the Corporation, the dividend payable to the holders of Tier 1 Preferred Stock pursuant to this </w:t>
      </w:r>
      <w:r>
        <w:rPr>
          <w:rFonts w:ascii="Arial" w:cs="Arial" w:eastAsia="Arial" w:hAnsi="Arial"/>
          <w:sz w:val="16"/>
          <w:szCs w:val="16"/>
          <w:u w:val="single" w:color="auto"/>
          <w:color w:val="auto"/>
        </w:rPr>
        <w:t>Subsection 1.6</w:t>
      </w:r>
      <w:r>
        <w:rPr>
          <w:rFonts w:ascii="Arial" w:cs="Arial" w:eastAsia="Arial" w:hAnsi="Arial"/>
          <w:sz w:val="16"/>
          <w:szCs w:val="16"/>
          <w:color w:val="auto"/>
        </w:rPr>
        <w:t xml:space="preserve"> shall be calculated based upon the dividend on the class or series of capital stock that would result in the highest dividend payable to such holders of Tier 1 Preferred Stock.</w:t>
      </w:r>
    </w:p>
    <w:p>
      <w:pPr>
        <w:spacing w:after="0" w:line="167" w:lineRule="exact"/>
        <w:rPr>
          <w:sz w:val="20"/>
          <w:szCs w:val="20"/>
          <w:color w:val="auto"/>
        </w:rPr>
      </w:pPr>
    </w:p>
    <w:p>
      <w:pPr>
        <w:ind w:right="60" w:firstLine="991"/>
        <w:spacing w:after="0" w:line="267" w:lineRule="auto"/>
        <w:rPr>
          <w:sz w:val="20"/>
          <w:szCs w:val="20"/>
          <w:color w:val="auto"/>
        </w:rPr>
      </w:pPr>
      <w:r>
        <w:rPr>
          <w:rFonts w:ascii="Arial" w:cs="Arial" w:eastAsia="Arial" w:hAnsi="Arial"/>
          <w:sz w:val="17"/>
          <w:szCs w:val="17"/>
          <w:color w:val="auto"/>
        </w:rPr>
        <w:t xml:space="preserve">1.7 The Corporation shall not declare, pay or set aside any dividends on shares of any other class or series of capital stock of the Corporation (other than dividends on shares of Common Stock payable in shares of Common Stock and the Accrued Dividends as set forth in </w:t>
      </w:r>
      <w:r>
        <w:rPr>
          <w:rFonts w:ascii="Arial" w:cs="Arial" w:eastAsia="Arial" w:hAnsi="Arial"/>
          <w:sz w:val="17"/>
          <w:szCs w:val="17"/>
          <w:u w:val="single" w:color="auto"/>
          <w:color w:val="auto"/>
        </w:rPr>
        <w:t>Subsection 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2.5</w:t>
      </w:r>
      <w:r>
        <w:rPr>
          <w:rFonts w:ascii="Arial" w:cs="Arial" w:eastAsia="Arial" w:hAnsi="Arial"/>
          <w:sz w:val="17"/>
          <w:szCs w:val="17"/>
          <w:color w:val="auto"/>
        </w:rPr>
        <w:t xml:space="preserve">) unless (in addition to the obtaining of any consents required elsewhere in this Certificate of Incorporation) the holders of the Series A Preferred Stock then outstanding shall first receive, or simultaneously receive, a dividend on each outstanding share of Series A Preferred Stock in an amount at least equal to the greater of (i) the amount of the aggregate Series A Dividends accrued on such share of Series A Preferred Stock and not previously paid and (ii) (A) in the case of a dividend on Common Stock or any class or series that is convertible into Common Stock, that dividend per share of Series A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A Preferred Stock, in each case calculated on the record date for determination of holders entitled to receive such dividend or (B) in the case of a dividend on any class or series that is not convertible into Common Stock, at a rate per share of Series A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Series A Original Issue Price (as defined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Corporation declares, pays or sets aside, on the same date, a dividend on shares of more than one class or series of capital stock of the Corporation, the dividend payable to the holders of Series A Preferred Stock pursuant to this </w:t>
      </w:r>
      <w:r>
        <w:rPr>
          <w:rFonts w:ascii="Arial" w:cs="Arial" w:eastAsia="Arial" w:hAnsi="Arial"/>
          <w:sz w:val="17"/>
          <w:szCs w:val="17"/>
          <w:u w:val="single" w:color="auto"/>
          <w:color w:val="auto"/>
        </w:rPr>
        <w:t>Subsection 1.7</w:t>
      </w:r>
      <w:r>
        <w:rPr>
          <w:rFonts w:ascii="Arial" w:cs="Arial" w:eastAsia="Arial" w:hAnsi="Arial"/>
          <w:sz w:val="17"/>
          <w:szCs w:val="17"/>
          <w:color w:val="auto"/>
        </w:rPr>
        <w:t xml:space="preserve"> shall be calculated based upon the dividend on the class or series of capital stock that would result in the highest dividend payable to such holders of Series A Preferred Stock.</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330" w:name="page331"/>
    <w:bookmarkEnd w:id="330"/>
    <w:p>
      <w:pPr>
        <w:ind w:left="764" w:hanging="324"/>
        <w:spacing w:after="0"/>
        <w:tabs>
          <w:tab w:leader="none" w:pos="764"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Liquidation, Dissolution or Winding Up: Certain Mergers, Consolidations and Asset Sales</w:t>
      </w:r>
      <w:r>
        <w:rPr>
          <w:rFonts w:ascii="Arial" w:cs="Arial" w:eastAsia="Arial" w:hAnsi="Arial"/>
          <w:sz w:val="18"/>
          <w:szCs w:val="18"/>
          <w:color w:val="auto"/>
        </w:rPr>
        <w:t>.</w:t>
      </w:r>
    </w:p>
    <w:p>
      <w:pPr>
        <w:spacing w:after="0" w:line="117" w:lineRule="exact"/>
        <w:rPr>
          <w:sz w:val="20"/>
          <w:szCs w:val="20"/>
          <w:color w:val="auto"/>
        </w:rPr>
      </w:pPr>
    </w:p>
    <w:p>
      <w:pPr>
        <w:ind w:left="4" w:right="60" w:firstLine="991"/>
        <w:spacing w:after="0" w:line="28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Series F Preferred Stock</w:t>
      </w:r>
      <w:r>
        <w:rPr>
          <w:rFonts w:ascii="Arial" w:cs="Arial" w:eastAsia="Arial" w:hAnsi="Arial"/>
          <w:sz w:val="16"/>
          <w:szCs w:val="16"/>
          <w:color w:val="auto"/>
        </w:rPr>
        <w:t xml:space="preserve">. In the event of any voluntary or involuntary liquidation, dissolution or winding up of the Corporation or Deemed Liquidation Event, the holders of shares of Series F Preferred Stock then outstanding shall be entitled to be paid out of the assets of the Corporation available for distribution to its stockholders before any payment shall be made to the holders of (i) Series E Preferred Stock, (ii) Series D Preferred Stock, (iii) Series C Preferred Stock, (iv) Tier 1 Preferred Stock, (v) Series A Preferred Stock, (vi) Common Stock or (vii) any other class or series of capital stock of the Corporation, in each case, by reason of their ownership thereof, an amount per share equal to the greater of (a) the Series F Original Issue Price, plus any dividends declared but unpaid thereon or (b) such amount per share as would have been payable had all shares of Series F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6"/>
          <w:szCs w:val="16"/>
          <w:b w:val="1"/>
          <w:bCs w:val="1"/>
          <w:color w:val="auto"/>
        </w:rPr>
        <w:t>Series F</w:t>
      </w:r>
      <w:r>
        <w:rPr>
          <w:rFonts w:ascii="Arial" w:cs="Arial" w:eastAsia="Arial" w:hAnsi="Arial"/>
          <w:sz w:val="16"/>
          <w:szCs w:val="16"/>
          <w:color w:val="auto"/>
        </w:rPr>
        <w:t xml:space="preserve"> </w:t>
      </w:r>
      <w:r>
        <w:rPr>
          <w:rFonts w:ascii="Arial" w:cs="Arial" w:eastAsia="Arial" w:hAnsi="Arial"/>
          <w:sz w:val="16"/>
          <w:szCs w:val="16"/>
          <w:b w:val="1"/>
          <w:bCs w:val="1"/>
          <w:color w:val="auto"/>
        </w:rPr>
        <w:t>Liquidation Amount</w:t>
      </w:r>
      <w:r>
        <w:rPr>
          <w:rFonts w:ascii="Arial" w:cs="Arial" w:eastAsia="Arial" w:hAnsi="Arial"/>
          <w:sz w:val="16"/>
          <w:szCs w:val="16"/>
          <w:color w:val="auto"/>
        </w:rPr>
        <w:t>”). If upon any such liquidation, dissolution or winding up of the Corporation or Deemed Liquidation Event, the assets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available for distribution to its stockholders shall be insufficient to pay the holders of shares of Series F Preferred Stock the full amount to which they shall be entitled under this </w:t>
      </w:r>
      <w:r>
        <w:rPr>
          <w:rFonts w:ascii="Arial" w:cs="Arial" w:eastAsia="Arial" w:hAnsi="Arial"/>
          <w:sz w:val="16"/>
          <w:szCs w:val="16"/>
          <w:u w:val="single" w:color="auto"/>
          <w:color w:val="auto"/>
        </w:rPr>
        <w:t>Subsection 2.1</w:t>
      </w:r>
      <w:r>
        <w:rPr>
          <w:rFonts w:ascii="Arial" w:cs="Arial" w:eastAsia="Arial" w:hAnsi="Arial"/>
          <w:sz w:val="16"/>
          <w:szCs w:val="16"/>
          <w:color w:val="auto"/>
        </w:rPr>
        <w:t>, the holders of shares of Series 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4" w:lineRule="exact"/>
        <w:rPr>
          <w:sz w:val="20"/>
          <w:szCs w:val="20"/>
          <w:color w:val="auto"/>
        </w:rPr>
      </w:pPr>
    </w:p>
    <w:p>
      <w:pPr>
        <w:ind w:left="4" w:right="60" w:firstLine="991"/>
        <w:spacing w:after="0" w:line="28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Preferential Payments to Holders of Series E Preferred Stock</w:t>
      </w:r>
      <w:r>
        <w:rPr>
          <w:rFonts w:ascii="Arial" w:cs="Arial" w:eastAsia="Arial" w:hAnsi="Arial"/>
          <w:sz w:val="16"/>
          <w:szCs w:val="16"/>
          <w:color w:val="auto"/>
        </w:rPr>
        <w:t xml:space="preserve">. In the event of any voluntary or involuntary liquidation, dissolution or winding up of the Corporation or Deemed Liquidation Event, after the payment of the preferential amounts required to be paid to the holders of the shares of Series F Preferred Stock in accordance with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above, the holders of shares of Series E Preferred Stock then outstanding shall be entitled to be paid out of the assets of the Corporation available for distribution to its stockholders before any payment shall be made to the holders of</w:t>
      </w:r>
    </w:p>
    <w:p>
      <w:pPr>
        <w:spacing w:after="0" w:line="1" w:lineRule="exact"/>
        <w:rPr>
          <w:sz w:val="20"/>
          <w:szCs w:val="20"/>
          <w:color w:val="auto"/>
        </w:rPr>
      </w:pPr>
    </w:p>
    <w:p>
      <w:pPr>
        <w:ind w:left="4" w:hanging="4"/>
        <w:spacing w:after="0" w:line="281" w:lineRule="auto"/>
        <w:tabs>
          <w:tab w:leader="none" w:pos="219" w:val="left"/>
        </w:tabs>
        <w:numPr>
          <w:ilvl w:val="0"/>
          <w:numId w:val="226"/>
        </w:numPr>
        <w:rPr>
          <w:rFonts w:ascii="Arial" w:cs="Arial" w:eastAsia="Arial" w:hAnsi="Arial"/>
          <w:sz w:val="16"/>
          <w:szCs w:val="16"/>
          <w:color w:val="auto"/>
        </w:rPr>
      </w:pPr>
      <w:r>
        <w:rPr>
          <w:rFonts w:ascii="Arial" w:cs="Arial" w:eastAsia="Arial" w:hAnsi="Arial"/>
          <w:sz w:val="16"/>
          <w:szCs w:val="16"/>
          <w:color w:val="auto"/>
        </w:rPr>
        <w:t>Series D Preferred Stock, (ii) Series C Preferred Stock, (iii) Tier 1 Preferred Stock, (iv) Series A Preferred Stock, (v) Common Stock or (vi) any other class or series of capital stock of the Corporation, in each case, by reason of their ownership thereof, an amount per share equal to the greater of (a) (1) in connection with any voluntary or involuntary liquidation, dissolution or winding up of the Corporation or any Deemed Liquidation Event consummated before February 12, 2022, an amount equal to 125% the Series E Original Issue Price, plus any dividends declared but unpaid thereon and</w:t>
      </w:r>
    </w:p>
    <w:p>
      <w:pPr>
        <w:spacing w:after="0" w:line="2" w:lineRule="exact"/>
        <w:rPr>
          <w:rFonts w:ascii="Arial" w:cs="Arial" w:eastAsia="Arial" w:hAnsi="Arial"/>
          <w:sz w:val="16"/>
          <w:szCs w:val="16"/>
          <w:color w:val="auto"/>
        </w:rPr>
      </w:pPr>
    </w:p>
    <w:p>
      <w:pPr>
        <w:ind w:left="4" w:right="300"/>
        <w:spacing w:after="0" w:line="281" w:lineRule="auto"/>
        <w:rPr>
          <w:rFonts w:ascii="Arial" w:cs="Arial" w:eastAsia="Arial" w:hAnsi="Arial"/>
          <w:sz w:val="16"/>
          <w:szCs w:val="16"/>
          <w:color w:val="auto"/>
        </w:rPr>
      </w:pPr>
      <w:r>
        <w:rPr>
          <w:rFonts w:ascii="Arial" w:cs="Arial" w:eastAsia="Arial" w:hAnsi="Arial"/>
          <w:sz w:val="16"/>
          <w:szCs w:val="16"/>
          <w:color w:val="auto"/>
        </w:rPr>
        <w:t>(2) in connection with any voluntary or involuntary liquidation, dissolution or winding up of the Corporation or any Deemed Liquidation Event consummated on or after February 12, 2022, an amount equal to the Series E Original Issue Price, plus any dividends declared but unpaid thereon or</w:t>
      </w:r>
    </w:p>
    <w:p>
      <w:pPr>
        <w:spacing w:after="0" w:line="1" w:lineRule="exact"/>
        <w:rPr>
          <w:rFonts w:ascii="Arial" w:cs="Arial" w:eastAsia="Arial" w:hAnsi="Arial"/>
          <w:sz w:val="16"/>
          <w:szCs w:val="16"/>
          <w:color w:val="auto"/>
        </w:rPr>
      </w:pPr>
    </w:p>
    <w:p>
      <w:pPr>
        <w:ind w:left="4" w:right="120" w:hanging="4"/>
        <w:spacing w:after="0" w:line="302" w:lineRule="auto"/>
        <w:tabs>
          <w:tab w:leader="none" w:pos="259"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such amount per share as would have been payable had all shares of Series E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6"/>
          <w:szCs w:val="16"/>
          <w:b w:val="1"/>
          <w:bCs w:val="1"/>
          <w:color w:val="auto"/>
        </w:rPr>
        <w:t>Series E Liquidation Amount</w:t>
      </w:r>
      <w:r>
        <w:rPr>
          <w:rFonts w:ascii="Arial" w:cs="Arial" w:eastAsia="Arial" w:hAnsi="Arial"/>
          <w:sz w:val="16"/>
          <w:szCs w:val="16"/>
          <w:color w:val="auto"/>
        </w:rPr>
        <w:t>”). If upon any such liquidation, dissolution or winding up of the Corporation</w:t>
      </w:r>
    </w:p>
    <w:p>
      <w:pPr>
        <w:spacing w:after="0" w:line="8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331" w:name="page332"/>
    <w:bookmarkEnd w:id="331"/>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Deemed Liquidation Event, the assets of the Corporation available for distribution to its stockholders shall be insufficient to pay the holders of shares of Series E Preferred Stock the full amount to which they shall be entitled under this </w:t>
      </w:r>
      <w:r>
        <w:rPr>
          <w:rFonts w:ascii="Arial" w:cs="Arial" w:eastAsia="Arial" w:hAnsi="Arial"/>
          <w:sz w:val="18"/>
          <w:szCs w:val="18"/>
          <w:u w:val="single" w:color="auto"/>
          <w:color w:val="auto"/>
        </w:rPr>
        <w:t>Subsection 2.2</w:t>
      </w:r>
      <w:r>
        <w:rPr>
          <w:rFonts w:ascii="Arial" w:cs="Arial" w:eastAsia="Arial" w:hAnsi="Arial"/>
          <w:sz w:val="18"/>
          <w:szCs w:val="18"/>
          <w:color w:val="auto"/>
        </w:rPr>
        <w:t xml:space="preserve">, after the payment of the preferential amounts required to be paid to the holders of the shares of Series F Preferred Stock in accordance with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above, the holders of shares of Series E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2" w:lineRule="exact"/>
        <w:rPr>
          <w:sz w:val="20"/>
          <w:szCs w:val="20"/>
          <w:color w:val="auto"/>
        </w:rPr>
      </w:pPr>
    </w:p>
    <w:p>
      <w:pPr>
        <w:ind w:right="20" w:firstLine="991"/>
        <w:spacing w:after="0" w:line="267"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Preferential Payments to Holders of Series D Preferred Stock</w:t>
      </w:r>
      <w:r>
        <w:rPr>
          <w:rFonts w:ascii="Arial" w:cs="Arial" w:eastAsia="Arial" w:hAnsi="Arial"/>
          <w:sz w:val="17"/>
          <w:szCs w:val="17"/>
          <w:color w:val="auto"/>
        </w:rPr>
        <w:t xml:space="preserve">. In the event of any voluntary or involuntary liquidation, dissolution or winding up of the Corporation or Deemed Liquidation Event, after the payment of the preferential amounts required to be paid to the holders of the shares of Series F Preferred Stock in accordance with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above and to the holders of the shares of Series E Preferred Stock in accordance with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above, the holders of shares of Series D Preferred Stock then outstanding shall be entitled to be paid out of the assets of the Corporation available for distribution to its stockholders before any payment shall be made to the holders of (i) Series C Preferred Stock, (ii) Tier 1 Preferred Stock, (iii) Series A Preferred Stock, (iv) Common Stock or (v) any other class or series of capital stock of the Corporation, in each case, by reason of their ownership thereof, an amount per share equal to the greater of (a) the Series D Original Issue Price, plus any dividends declared but unpaid thereon, or (b) such amount per share as would have been payable had all shares of Series D Preferred Stock been converted into Common Stock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7"/>
          <w:szCs w:val="17"/>
          <w:b w:val="1"/>
          <w:bCs w:val="1"/>
          <w:color w:val="auto"/>
        </w:rPr>
        <w:t>Series D Liquidation Amount</w:t>
      </w:r>
      <w:r>
        <w:rPr>
          <w:rFonts w:ascii="Arial" w:cs="Arial" w:eastAsia="Arial" w:hAnsi="Arial"/>
          <w:sz w:val="17"/>
          <w:szCs w:val="17"/>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D Preferred Stock the full amount to which they shall be entitled under this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after the payment of the preferential amounts required to be paid to the holders of the shares of Series F Preferred Stock in accordance with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above and after the payment in full of the preferential amounts required to be paid to the holders of the shares of Series E Preferred Stock in accordance with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above, the holders of shares of Series D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1"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Preferential Payments to Holders of Series C Preferred Stock</w:t>
      </w:r>
      <w:r>
        <w:rPr>
          <w:rFonts w:ascii="Arial" w:cs="Arial" w:eastAsia="Arial" w:hAnsi="Arial"/>
          <w:sz w:val="16"/>
          <w:szCs w:val="16"/>
          <w:color w:val="auto"/>
        </w:rPr>
        <w:t xml:space="preserve">. In the event of any voluntary or involuntary liquidation, dissolution or winding up of the Corporation or Deemed Liquidation Event, after the payment of the preferential amounts required to be paid to the holders of the shares of Series F Preferred Stock in accordance with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above, to the holders of the shares of Series E Preferred Stock in accordance with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above and to the holders of shares of Series D Preferred Stock in accordance with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above, the holders of shares of Series C Preferred Stock then outstanding shall be entitled to be paid out of the assets of the Corporation available for distribution to its stockholders before any payment shall be made to the holders of (i) Tier 1 Preferred Stock, (ii) Series A Preferred Stock, (iii) Common Stock or (iv) any other class or series of capital stock of the Corporation, in each case, by reason of their ownership thereof, an amount per share equal to the greater of (a)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32" w:name="page333"/>
    <w:bookmarkEnd w:id="332"/>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Series C Original Issue Price, plus any Accrued Dividends accrued but unpaid thereon, whether or not declared, together with any other dividends declared but unpaid thereon or (b) such amount per share as would have been payable had all shares of Series C Preferred Stock been converted into Common Stock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7"/>
          <w:szCs w:val="17"/>
          <w:b w:val="1"/>
          <w:bCs w:val="1"/>
          <w:color w:val="auto"/>
        </w:rPr>
        <w:t>Series C Liquidation Amount</w:t>
      </w:r>
      <w:r>
        <w:rPr>
          <w:rFonts w:ascii="Arial" w:cs="Arial" w:eastAsia="Arial" w:hAnsi="Arial"/>
          <w:sz w:val="17"/>
          <w:szCs w:val="17"/>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C Preferred Stock the full amount to which they shall be entitled under this </w:t>
      </w:r>
      <w:r>
        <w:rPr>
          <w:rFonts w:ascii="Arial" w:cs="Arial" w:eastAsia="Arial" w:hAnsi="Arial"/>
          <w:sz w:val="17"/>
          <w:szCs w:val="17"/>
          <w:u w:val="single" w:color="auto"/>
          <w:color w:val="auto"/>
        </w:rPr>
        <w:t>Subsection 2.4</w:t>
      </w:r>
      <w:r>
        <w:rPr>
          <w:rFonts w:ascii="Arial" w:cs="Arial" w:eastAsia="Arial" w:hAnsi="Arial"/>
          <w:sz w:val="17"/>
          <w:szCs w:val="17"/>
          <w:color w:val="auto"/>
        </w:rPr>
        <w:t xml:space="preserve">, after the payment in full of the preferential amounts required to be paid to the holders of the shares of Series F Preferred Stock in accordance with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above, after the payment in full of the preferential amounts required to be paid to the holders of the shares of Series E Preferred Stock in accordance with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above and after the payment in full of the preferential amounts required to be paid to the holders of the shares of Series D Preferred Stock in accordance with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above, the holders of shares of Series C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9" w:lineRule="exact"/>
        <w:rPr>
          <w:sz w:val="20"/>
          <w:szCs w:val="20"/>
          <w:color w:val="auto"/>
        </w:rPr>
      </w:pPr>
    </w:p>
    <w:p>
      <w:pPr>
        <w:ind w:firstLine="991"/>
        <w:spacing w:after="0" w:line="283"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Preferential Payments to Holders of Tier 1 Preferred Stock</w:t>
      </w:r>
      <w:r>
        <w:rPr>
          <w:rFonts w:ascii="Arial" w:cs="Arial" w:eastAsia="Arial" w:hAnsi="Arial"/>
          <w:sz w:val="16"/>
          <w:szCs w:val="16"/>
          <w:color w:val="auto"/>
        </w:rPr>
        <w:t xml:space="preserve">. In the event of any voluntary or involuntary liquidation, dissolution or winding up of the Corporation or Deemed Liquidation Event, after the payment in full of the preferential amounts required to be paid to the holders of the shares of Series F Preferred Stock in accordance with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above, to the holders of the shares of Series E Preferred Stock in accordance with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above, to the holders of the shares of Series D Preferred Stock in accordance with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above and to the holders of the shares of Series C Preferred Stock in accordance with </w:t>
      </w:r>
      <w:r>
        <w:rPr>
          <w:rFonts w:ascii="Arial" w:cs="Arial" w:eastAsia="Arial" w:hAnsi="Arial"/>
          <w:sz w:val="16"/>
          <w:szCs w:val="16"/>
          <w:u w:val="single" w:color="auto"/>
          <w:color w:val="auto"/>
        </w:rPr>
        <w:t>Subsection 2.4</w:t>
      </w:r>
      <w:r>
        <w:rPr>
          <w:rFonts w:ascii="Arial" w:cs="Arial" w:eastAsia="Arial" w:hAnsi="Arial"/>
          <w:sz w:val="16"/>
          <w:szCs w:val="16"/>
          <w:color w:val="auto"/>
        </w:rPr>
        <w:t xml:space="preserve"> above, the holders of shares of each series of Tier 1 Preferred Stock then outstanding shall be entitled to be paid out of the assets of the Corporation available for distribution to its stockholders before any payment shall be made to the holders of (i) Series A Preferred Stock or (ii) Common Stock, in each case, by reason of their ownership thereof, an amount per share equal to the greater of (a) the Applicable Original Issue Price of such series of Tier 1 Preferred Stock, plus any Accrued Dividends accrued but unpaid thereon, whether or not declared, together with any other dividends declared but unpaid thereon or (b) such amount per share as would have been payable had all shares of such series of Tier 1 Preferred Stock, as applicable,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6"/>
          <w:szCs w:val="16"/>
          <w:b w:val="1"/>
          <w:bCs w:val="1"/>
          <w:color w:val="auto"/>
        </w:rPr>
        <w:t>Series B Liquidation Amount</w:t>
      </w:r>
      <w:r>
        <w:rPr>
          <w:rFonts w:ascii="Arial" w:cs="Arial" w:eastAsia="Arial" w:hAnsi="Arial"/>
          <w:sz w:val="16"/>
          <w:szCs w:val="16"/>
          <w:color w:val="auto"/>
        </w:rPr>
        <w:t>” in the case of the Series 13 Preferred Stock, the “</w:t>
      </w:r>
      <w:r>
        <w:rPr>
          <w:rFonts w:ascii="Arial" w:cs="Arial" w:eastAsia="Arial" w:hAnsi="Arial"/>
          <w:sz w:val="16"/>
          <w:szCs w:val="16"/>
          <w:b w:val="1"/>
          <w:bCs w:val="1"/>
          <w:color w:val="auto"/>
        </w:rPr>
        <w:t>Series B1-NV Liquidation Amount</w:t>
      </w:r>
      <w:r>
        <w:rPr>
          <w:rFonts w:ascii="Arial" w:cs="Arial" w:eastAsia="Arial" w:hAnsi="Arial"/>
          <w:sz w:val="16"/>
          <w:szCs w:val="16"/>
          <w:color w:val="auto"/>
        </w:rPr>
        <w:t>” in the case of the</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Series B1-NV Preferred Stock, and the “</w:t>
      </w:r>
      <w:r>
        <w:rPr>
          <w:rFonts w:ascii="Arial" w:cs="Arial" w:eastAsia="Arial" w:hAnsi="Arial"/>
          <w:sz w:val="18"/>
          <w:szCs w:val="18"/>
          <w:b w:val="1"/>
          <w:bCs w:val="1"/>
          <w:color w:val="auto"/>
        </w:rPr>
        <w:t>Series B1 Liquidation Amount</w:t>
      </w:r>
      <w:r>
        <w:rPr>
          <w:rFonts w:ascii="Arial" w:cs="Arial" w:eastAsia="Arial" w:hAnsi="Arial"/>
          <w:sz w:val="18"/>
          <w:szCs w:val="18"/>
          <w:color w:val="auto"/>
        </w:rPr>
        <w:t xml:space="preserve">” in the case of the Series B1 Preferred Stock). If upon any such liquidation, dissolution or winding up of the Corporation or Deemed Liquidation Event, the assets of the Corporation available for distribution to its stockholders shall be insufficient to pay the holders of shares of Tier 1 Preferred Stock the full amount to which they shall be entitled under this </w:t>
      </w:r>
      <w:r>
        <w:rPr>
          <w:rFonts w:ascii="Arial" w:cs="Arial" w:eastAsia="Arial" w:hAnsi="Arial"/>
          <w:sz w:val="18"/>
          <w:szCs w:val="18"/>
          <w:u w:val="single" w:color="auto"/>
          <w:color w:val="auto"/>
        </w:rPr>
        <w:t>Subsection 2.5</w:t>
      </w:r>
      <w:r>
        <w:rPr>
          <w:rFonts w:ascii="Arial" w:cs="Arial" w:eastAsia="Arial" w:hAnsi="Arial"/>
          <w:sz w:val="18"/>
          <w:szCs w:val="18"/>
          <w:color w:val="auto"/>
        </w:rPr>
        <w:t xml:space="preserve">, after the payment in full of the preferential amounts required to be paid to the holders of the shares of Series F Preferred Stock in accordance with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above, after the payment in full of the preferential amounts required to be paid to the holders of the shares of Series E Preferred Stock in accordance with </w:t>
      </w:r>
      <w:r>
        <w:rPr>
          <w:rFonts w:ascii="Arial" w:cs="Arial" w:eastAsia="Arial" w:hAnsi="Arial"/>
          <w:sz w:val="18"/>
          <w:szCs w:val="18"/>
          <w:u w:val="single" w:color="auto"/>
          <w:color w:val="auto"/>
        </w:rPr>
        <w:t>Subsection 2.2</w:t>
      </w:r>
      <w:r>
        <w:rPr>
          <w:rFonts w:ascii="Arial" w:cs="Arial" w:eastAsia="Arial" w:hAnsi="Arial"/>
          <w:sz w:val="18"/>
          <w:szCs w:val="18"/>
          <w:color w:val="auto"/>
        </w:rPr>
        <w:t xml:space="preserve"> above, the preferential amounts required to be paid to the holders of shares of Series D Preferred Stock in accordance with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33" w:name="page334"/>
    <w:bookmarkEnd w:id="333"/>
    <w:p>
      <w:pPr>
        <w:ind w:right="40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Subsection 2.3</w:t>
      </w:r>
      <w:r>
        <w:rPr>
          <w:rFonts w:ascii="Arial" w:cs="Arial" w:eastAsia="Arial" w:hAnsi="Arial"/>
          <w:sz w:val="18"/>
          <w:szCs w:val="18"/>
          <w:color w:val="auto"/>
        </w:rPr>
        <w:t xml:space="preserve"> above, and the preferential amounts required to be paid to the holders of the shares of Series C Preferred Stock in accordance with </w:t>
      </w:r>
      <w:r>
        <w:rPr>
          <w:rFonts w:ascii="Arial" w:cs="Arial" w:eastAsia="Arial" w:hAnsi="Arial"/>
          <w:sz w:val="18"/>
          <w:szCs w:val="18"/>
          <w:u w:val="single" w:color="auto"/>
          <w:color w:val="auto"/>
        </w:rPr>
        <w:t>Subsection 2.4</w:t>
      </w:r>
      <w:r>
        <w:rPr>
          <w:rFonts w:ascii="Arial" w:cs="Arial" w:eastAsia="Arial" w:hAnsi="Arial"/>
          <w:sz w:val="18"/>
          <w:szCs w:val="18"/>
          <w:color w:val="auto"/>
        </w:rPr>
        <w:t xml:space="preserve"> above, the holders of shares of Tier 1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7" w:lineRule="exact"/>
        <w:rPr>
          <w:sz w:val="20"/>
          <w:szCs w:val="20"/>
          <w:color w:val="auto"/>
        </w:rPr>
      </w:pPr>
    </w:p>
    <w:p>
      <w:pPr>
        <w:ind w:right="60" w:firstLine="991"/>
        <w:spacing w:after="0" w:line="26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Preferential Payments to Holders of Series A Preferred Stock</w:t>
      </w:r>
      <w:r>
        <w:rPr>
          <w:rFonts w:ascii="Arial" w:cs="Arial" w:eastAsia="Arial" w:hAnsi="Arial"/>
          <w:sz w:val="17"/>
          <w:szCs w:val="17"/>
          <w:color w:val="auto"/>
        </w:rPr>
        <w:t xml:space="preserve">. In the event of any voluntary or involuntary liquidation, dissolution or winding up of the Corporation or Deemed Liquidation Event, after the payment of the preferential amounts required to be paid to the holders of shares of each series of Senior Preferred Stock in accordance with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2.5</w:t>
      </w:r>
      <w:r>
        <w:rPr>
          <w:rFonts w:ascii="Arial" w:cs="Arial" w:eastAsia="Arial" w:hAnsi="Arial"/>
          <w:sz w:val="17"/>
          <w:szCs w:val="17"/>
          <w:color w:val="auto"/>
        </w:rPr>
        <w:t xml:space="preserve"> above, as applicable, the holders of shares of Series A Preferred Stock then outstanding shall be entitled to be paid out of the assets of the Corporation available for distribution to its stockholders before any payment shall be made to the holders of Common Stock by reason of their ownership thereof, an amount per share equal to the greater of (a) Series A Original Issue Price, plus any Accrued Dividends accrued but unpaid thereon, whether or not declared, together with any other dividends declared but unpaid thereon or (b) such amount per share as would have been payable had all shares of Series A Preferred Stock been converted into Common Stock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7"/>
          <w:szCs w:val="17"/>
          <w:b w:val="1"/>
          <w:bCs w:val="1"/>
          <w:color w:val="auto"/>
        </w:rPr>
        <w:t>Series A Liquidation Amount</w:t>
      </w:r>
      <w:r>
        <w:rPr>
          <w:rFonts w:ascii="Arial" w:cs="Arial" w:eastAsia="Arial" w:hAnsi="Arial"/>
          <w:sz w:val="17"/>
          <w:szCs w:val="17"/>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A Preferred Stock the full amount to which they shall be entitled under this </w:t>
      </w:r>
      <w:r>
        <w:rPr>
          <w:rFonts w:ascii="Arial" w:cs="Arial" w:eastAsia="Arial" w:hAnsi="Arial"/>
          <w:sz w:val="17"/>
          <w:szCs w:val="17"/>
          <w:u w:val="single" w:color="auto"/>
          <w:color w:val="auto"/>
        </w:rPr>
        <w:t>Subsection 2.6</w:t>
      </w:r>
      <w:r>
        <w:rPr>
          <w:rFonts w:ascii="Arial" w:cs="Arial" w:eastAsia="Arial" w:hAnsi="Arial"/>
          <w:sz w:val="17"/>
          <w:szCs w:val="17"/>
          <w:color w:val="auto"/>
        </w:rPr>
        <w:t xml:space="preserve"> after the payment in full of the preferential amounts required to be paid to the holders of shares of each series of Senior Preferred Stock in accordance with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2.5</w:t>
      </w:r>
      <w:r>
        <w:rPr>
          <w:rFonts w:ascii="Arial" w:cs="Arial" w:eastAsia="Arial" w:hAnsi="Arial"/>
          <w:sz w:val="17"/>
          <w:szCs w:val="17"/>
          <w:color w:val="auto"/>
        </w:rPr>
        <w:t xml:space="preserve"> above, as applicable, the holders of shares of Series A Preferred Stock shall share ratably in any distribution of any remaining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0"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Payments to Holders of Common Stock</w:t>
      </w:r>
      <w:r>
        <w:rPr>
          <w:rFonts w:ascii="Arial" w:cs="Arial" w:eastAsia="Arial" w:hAnsi="Arial"/>
          <w:sz w:val="18"/>
          <w:szCs w:val="18"/>
          <w:color w:val="auto"/>
        </w:rPr>
        <w:t xml:space="preserve">. In the event of any voluntary or involuntary liquidation, dissolution or winding up of the Corporation or Deemed Liquidation Event, after the payment of all preferential amounts required to be paid to the holders of shares of Series F Preferred Stock, Series E Preferred Stock, Series D Preferred Stock, Series C Preferred Stock, Series B Preferred Stock, Series B1-NV Preferred Stock and Series B1 Preferred Stock and Series A Preferred Stock in accordance with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above, the remaining assets of the Corporation available for distribution to its stockholders shall be distributed among the holders of shares of Common Stock, pro rata based on the number of shares held by each such holder.</w:t>
      </w:r>
    </w:p>
    <w:p>
      <w:pPr>
        <w:spacing w:after="0" w:line="300"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Deemed Liquidation Events</w:t>
      </w:r>
      <w:r>
        <w:rPr>
          <w:rFonts w:ascii="Arial" w:cs="Arial" w:eastAsia="Arial" w:hAnsi="Arial"/>
          <w:sz w:val="16"/>
          <w:szCs w:val="16"/>
          <w:color w:val="auto"/>
        </w:rPr>
        <w:t>.</w:t>
      </w:r>
    </w:p>
    <w:p>
      <w:pPr>
        <w:spacing w:after="0" w:line="113" w:lineRule="exact"/>
        <w:rPr>
          <w:sz w:val="20"/>
          <w:szCs w:val="20"/>
          <w:color w:val="auto"/>
        </w:rPr>
      </w:pPr>
    </w:p>
    <w:p>
      <w:pPr>
        <w:ind w:right="440" w:firstLine="1432"/>
        <w:spacing w:after="0" w:line="312" w:lineRule="auto"/>
        <w:rPr>
          <w:sz w:val="20"/>
          <w:szCs w:val="20"/>
          <w:color w:val="auto"/>
        </w:rPr>
      </w:pPr>
      <w:r>
        <w:rPr>
          <w:rFonts w:ascii="Arial" w:cs="Arial" w:eastAsia="Arial" w:hAnsi="Arial"/>
          <w:sz w:val="17"/>
          <w:szCs w:val="17"/>
          <w:color w:val="auto"/>
        </w:rPr>
        <w:t xml:space="preserve">2.8.1 </w:t>
      </w:r>
      <w:r>
        <w:rPr>
          <w:rFonts w:ascii="Arial" w:cs="Arial" w:eastAsia="Arial" w:hAnsi="Arial"/>
          <w:sz w:val="17"/>
          <w:szCs w:val="17"/>
          <w:u w:val="single" w:color="auto"/>
          <w:color w:val="auto"/>
        </w:rPr>
        <w:t>Definition</w:t>
      </w:r>
      <w:r>
        <w:rPr>
          <w:rFonts w:ascii="Arial" w:cs="Arial" w:eastAsia="Arial" w:hAnsi="Arial"/>
          <w:sz w:val="17"/>
          <w:szCs w:val="17"/>
          <w:color w:val="auto"/>
        </w:rPr>
        <w:t>. Each of the following events shall be considered a “</w:t>
      </w:r>
      <w:r>
        <w:rPr>
          <w:rFonts w:ascii="Arial" w:cs="Arial" w:eastAsia="Arial" w:hAnsi="Arial"/>
          <w:sz w:val="17"/>
          <w:szCs w:val="17"/>
          <w:b w:val="1"/>
          <w:bCs w:val="1"/>
          <w:color w:val="auto"/>
        </w:rPr>
        <w:t>Deemed Liquidation Event</w:t>
      </w:r>
      <w:r>
        <w:rPr>
          <w:rFonts w:ascii="Arial" w:cs="Arial" w:eastAsia="Arial" w:hAnsi="Arial"/>
          <w:sz w:val="17"/>
          <w:szCs w:val="17"/>
          <w:color w:val="auto"/>
        </w:rPr>
        <w:t>” unless (i) the holders of a majority of the outstanding shares of Series A Preferred Stock, Series B Preferred Stock, Series B1 Preferred Stock, Series C Preferred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34" w:name="page335"/>
    <w:bookmarkEnd w:id="33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Series D Preferred Stock, Series E-1 Preferred Stock and Series F-1 Preferred Stock, voting together as a single class on an as-converted to Common Stock basis (the “</w:t>
      </w:r>
      <w:r>
        <w:rPr>
          <w:rFonts w:ascii="Arial" w:cs="Arial" w:eastAsia="Arial" w:hAnsi="Arial"/>
          <w:sz w:val="18"/>
          <w:szCs w:val="18"/>
          <w:b w:val="1"/>
          <w:bCs w:val="1"/>
          <w:color w:val="auto"/>
        </w:rPr>
        <w:t>Requisite Holders</w:t>
      </w:r>
      <w:r>
        <w:rPr>
          <w:rFonts w:ascii="Arial" w:cs="Arial" w:eastAsia="Arial" w:hAnsi="Arial"/>
          <w:sz w:val="18"/>
          <w:szCs w:val="18"/>
          <w:color w:val="auto"/>
        </w:rPr>
        <w:t>”), (ii) the holders of a majority of the outstanding shares of Series B1 Preferred Stock, voting as a separate class, (iii) the holders of a majority of the then outstanding shares of Series C Preferred Stock, voting as a separate class (the “</w:t>
      </w:r>
      <w:r>
        <w:rPr>
          <w:rFonts w:ascii="Arial" w:cs="Arial" w:eastAsia="Arial" w:hAnsi="Arial"/>
          <w:sz w:val="18"/>
          <w:szCs w:val="18"/>
          <w:b w:val="1"/>
          <w:bCs w:val="1"/>
          <w:color w:val="auto"/>
        </w:rPr>
        <w:t>Requisite</w:t>
      </w:r>
      <w:r>
        <w:rPr>
          <w:rFonts w:ascii="Arial" w:cs="Arial" w:eastAsia="Arial" w:hAnsi="Arial"/>
          <w:sz w:val="18"/>
          <w:szCs w:val="18"/>
          <w:color w:val="auto"/>
        </w:rPr>
        <w:t xml:space="preserve"> </w:t>
      </w:r>
      <w:r>
        <w:rPr>
          <w:rFonts w:ascii="Arial" w:cs="Arial" w:eastAsia="Arial" w:hAnsi="Arial"/>
          <w:sz w:val="18"/>
          <w:szCs w:val="18"/>
          <w:b w:val="1"/>
          <w:bCs w:val="1"/>
          <w:color w:val="auto"/>
        </w:rPr>
        <w:t>Series C Holders</w:t>
      </w:r>
      <w:r>
        <w:rPr>
          <w:rFonts w:ascii="Arial" w:cs="Arial" w:eastAsia="Arial" w:hAnsi="Arial"/>
          <w:sz w:val="18"/>
          <w:szCs w:val="18"/>
          <w:color w:val="auto"/>
        </w:rPr>
        <w:t>”), (iv) the holders of a majority of the then outstanding shares of Series D Preferred Stock, voting as a separate class, (v) the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a majority of the then outstanding shares of Series E Preferred Stock, voting as a separate class, and (vi) the holders of a majority of the then outstanding shares of Series F Preferred Stock, voting as a separate class, elect otherwise by written notice sent to the Corporation at least seven (7) days prior to the effective date of any such event:</w:t>
      </w:r>
    </w:p>
    <w:p>
      <w:pPr>
        <w:spacing w:after="0" w:line="195" w:lineRule="exact"/>
        <w:rPr>
          <w:sz w:val="20"/>
          <w:szCs w:val="20"/>
          <w:color w:val="auto"/>
        </w:rPr>
      </w:pPr>
    </w:p>
    <w:p>
      <w:pPr>
        <w:ind w:left="2360" w:hanging="381"/>
        <w:spacing w:after="0"/>
        <w:tabs>
          <w:tab w:leader="none" w:pos="23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merger, consolidation or similar transaction in which</w:t>
      </w:r>
    </w:p>
    <w:p>
      <w:pPr>
        <w:spacing w:after="0" w:line="225" w:lineRule="exact"/>
        <w:rPr>
          <w:rFonts w:ascii="Arial" w:cs="Arial" w:eastAsia="Arial" w:hAnsi="Arial"/>
          <w:sz w:val="18"/>
          <w:szCs w:val="18"/>
          <w:color w:val="auto"/>
        </w:rPr>
      </w:pPr>
    </w:p>
    <w:p>
      <w:pPr>
        <w:ind w:left="2760" w:hanging="341"/>
        <w:spacing w:after="0"/>
        <w:tabs>
          <w:tab w:leader="none" w:pos="276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225" w:lineRule="exact"/>
        <w:rPr>
          <w:rFonts w:ascii="Arial" w:cs="Arial" w:eastAsia="Arial" w:hAnsi="Arial"/>
          <w:sz w:val="18"/>
          <w:szCs w:val="18"/>
          <w:color w:val="auto"/>
        </w:rPr>
      </w:pPr>
    </w:p>
    <w:p>
      <w:pPr>
        <w:ind w:right="600" w:firstLine="2419"/>
        <w:spacing w:after="0" w:line="277" w:lineRule="auto"/>
        <w:tabs>
          <w:tab w:leader="none" w:pos="2823"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consolidation or similar transaction,</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except any such merger, consolidation or similar transaction involving the Corporation or a subsidiary in which the holders of shares of capital stock of the Corporation outstanding immediately prior to such merger, consolidation or similar transaction continue to represent, or such holders’ shares are converted into or exchanged for shares of capital stock that represent, immediately following such merger, consolidation or similar transaction, at least a majority, by voting power, of the capital stock of (1) the surviving or resulting corporation or (2) if the surviving or resulting corporation is a wholly owned subsidiary of another corporation immediately following such merger, consolidation or similar transaction, the parent corporation of such surviving or resulting corporation, in each case, with rights, preferences, powers and other provisions that are substantially identical to the rights, preferences, powers and other provisions of the capital stock each such holder held immediately prior to such merger, consolidation or similar transaction; or</w:t>
      </w:r>
    </w:p>
    <w:p>
      <w:pPr>
        <w:spacing w:after="0" w:line="192" w:lineRule="exact"/>
        <w:rPr>
          <w:sz w:val="20"/>
          <w:szCs w:val="20"/>
          <w:color w:val="auto"/>
        </w:rPr>
      </w:pPr>
    </w:p>
    <w:p>
      <w:pPr>
        <w:ind w:right="20" w:firstLine="1979"/>
        <w:spacing w:after="0" w:line="275" w:lineRule="auto"/>
        <w:tabs>
          <w:tab w:leader="none" w:pos="2373"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284"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u w:val="single" w:color="auto"/>
          <w:color w:val="auto"/>
        </w:rPr>
        <w:t>Effecting a Deemed Liquidation Event</w:t>
      </w:r>
      <w:r>
        <w:rPr>
          <w:rFonts w:ascii="Arial" w:cs="Arial" w:eastAsia="Arial" w:hAnsi="Arial"/>
          <w:sz w:val="16"/>
          <w:szCs w:val="16"/>
          <w:color w:val="auto"/>
        </w:rPr>
        <w:t>.</w:t>
      </w:r>
    </w:p>
    <w:p>
      <w:pPr>
        <w:spacing w:after="0" w:line="117" w:lineRule="exact"/>
        <w:rPr>
          <w:sz w:val="20"/>
          <w:szCs w:val="20"/>
          <w:color w:val="auto"/>
        </w:rPr>
      </w:pPr>
    </w:p>
    <w:p>
      <w:pPr>
        <w:jc w:val="both"/>
        <w:ind w:right="60" w:firstLine="1979"/>
        <w:spacing w:after="0" w:line="259" w:lineRule="auto"/>
        <w:tabs>
          <w:tab w:leader="none" w:pos="235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The Corporation shall not have the power to effect a Deemed Liquidation Event referred to in </w:t>
      </w:r>
      <w:r>
        <w:rPr>
          <w:rFonts w:ascii="Arial" w:cs="Arial" w:eastAsia="Arial" w:hAnsi="Arial"/>
          <w:sz w:val="18"/>
          <w:szCs w:val="18"/>
          <w:u w:val="single" w:color="auto"/>
          <w:color w:val="auto"/>
        </w:rPr>
        <w:t>Subsection 2.8.1(a)(i)</w:t>
      </w:r>
      <w:r>
        <w:rPr>
          <w:rFonts w:ascii="Arial" w:cs="Arial" w:eastAsia="Arial" w:hAnsi="Arial"/>
          <w:sz w:val="18"/>
          <w:szCs w:val="18"/>
          <w:color w:val="auto"/>
        </w:rPr>
        <w:t xml:space="preserve"> unless the purchase agreement or agreement and plan of merger or consolidation for such transaction (the “</w:t>
      </w:r>
      <w:r>
        <w:rPr>
          <w:rFonts w:ascii="Arial" w:cs="Arial" w:eastAsia="Arial" w:hAnsi="Arial"/>
          <w:sz w:val="18"/>
          <w:szCs w:val="18"/>
          <w:b w:val="1"/>
          <w:bCs w:val="1"/>
          <w:color w:val="auto"/>
        </w:rPr>
        <w:t>Purchase Agreement</w:t>
      </w:r>
      <w:r>
        <w:rPr>
          <w:rFonts w:ascii="Arial" w:cs="Arial" w:eastAsia="Arial" w:hAnsi="Arial"/>
          <w:sz w:val="18"/>
          <w:szCs w:val="18"/>
          <w:color w:val="auto"/>
        </w:rPr>
        <w:t xml:space="preserve">”) provides that the consideration payable to the stockholders of the Corporation shall be allocated among the holders of capital stock of the Corporation in accordance with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2.7</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35" w:name="page336"/>
    <w:bookmarkEnd w:id="335"/>
    <w:p>
      <w:pPr>
        <w:ind w:left="4" w:firstLine="1979"/>
        <w:spacing w:after="0" w:line="282" w:lineRule="auto"/>
        <w:tabs>
          <w:tab w:leader="none" w:pos="2377" w:val="left"/>
        </w:tabs>
        <w:numPr>
          <w:ilvl w:val="1"/>
          <w:numId w:val="2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of a Deemed Liquidation Event referred to in </w:t>
      </w:r>
      <w:r>
        <w:rPr>
          <w:rFonts w:ascii="Arial" w:cs="Arial" w:eastAsia="Arial" w:hAnsi="Arial"/>
          <w:sz w:val="16"/>
          <w:szCs w:val="16"/>
          <w:u w:val="single" w:color="auto"/>
          <w:color w:val="auto"/>
        </w:rPr>
        <w:t>Subsection 2.8.1(a)(ii)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2.8.1(b)</w:t>
      </w:r>
      <w:r>
        <w:rPr>
          <w:rFonts w:ascii="Arial" w:cs="Arial" w:eastAsia="Arial" w:hAnsi="Arial"/>
          <w:sz w:val="16"/>
          <w:szCs w:val="16"/>
          <w:color w:val="auto"/>
        </w:rPr>
        <w:t>, if the Corporation does not effect a dissolution of the Corporation under the General Corporation Law within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pursuant to the terms of the following clause (ii) to require the redemption of such shares of Preferred Stock, and (ii) if the Requisite Holders, the Requisite Series C Holders, the Requisite Series D Holders (as defined below), the Requisite Series E Holders (as defined below) or the Requisite Series F Holders (as defined below) so request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together with any other assets of the Corporation available for distribution to its stockholders, all to the extent permitted by Delaware law governing distributions to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on the 150th day after such Deemed Liquidation Event (the “</w:t>
      </w:r>
      <w:r>
        <w:rPr>
          <w:rFonts w:ascii="Arial" w:cs="Arial" w:eastAsia="Arial" w:hAnsi="Arial"/>
          <w:sz w:val="16"/>
          <w:szCs w:val="16"/>
          <w:b w:val="1"/>
          <w:bCs w:val="1"/>
          <w:color w:val="auto"/>
        </w:rPr>
        <w:t>Redemption Date</w:t>
      </w:r>
      <w:r>
        <w:rPr>
          <w:rFonts w:ascii="Arial" w:cs="Arial" w:eastAsia="Arial" w:hAnsi="Arial"/>
          <w:sz w:val="16"/>
          <w:szCs w:val="16"/>
          <w:color w:val="auto"/>
        </w:rPr>
        <w:t xml:space="preserve">”), to </w:t>
      </w:r>
      <w:r>
        <w:rPr>
          <w:rFonts w:ascii="Arial" w:cs="Arial" w:eastAsia="Arial" w:hAnsi="Arial"/>
          <w:sz w:val="16"/>
          <w:szCs w:val="16"/>
          <w:i w:val="1"/>
          <w:iCs w:val="1"/>
          <w:color w:val="auto"/>
        </w:rPr>
        <w:t>first</w:t>
      </w:r>
      <w:r>
        <w:rPr>
          <w:rFonts w:ascii="Arial" w:cs="Arial" w:eastAsia="Arial" w:hAnsi="Arial"/>
          <w:sz w:val="16"/>
          <w:szCs w:val="16"/>
          <w:color w:val="auto"/>
        </w:rPr>
        <w:t xml:space="preserve"> redeem all outstanding shares of Series F Preferred Stock at a price per share equal to the Series F Liquidation Amount (the “</w:t>
      </w:r>
      <w:r>
        <w:rPr>
          <w:rFonts w:ascii="Arial" w:cs="Arial" w:eastAsia="Arial" w:hAnsi="Arial"/>
          <w:sz w:val="16"/>
          <w:szCs w:val="16"/>
          <w:b w:val="1"/>
          <w:bCs w:val="1"/>
          <w:color w:val="auto"/>
        </w:rPr>
        <w:t>Series F Redemption Price</w:t>
      </w:r>
      <w:r>
        <w:rPr>
          <w:rFonts w:ascii="Arial" w:cs="Arial" w:eastAsia="Arial" w:hAnsi="Arial"/>
          <w:sz w:val="16"/>
          <w:szCs w:val="16"/>
          <w:color w:val="auto"/>
        </w:rPr>
        <w:t xml:space="preserve">”), </w:t>
      </w:r>
      <w:r>
        <w:rPr>
          <w:rFonts w:ascii="Arial" w:cs="Arial" w:eastAsia="Arial" w:hAnsi="Arial"/>
          <w:sz w:val="16"/>
          <w:szCs w:val="16"/>
          <w:i w:val="1"/>
          <w:iCs w:val="1"/>
          <w:color w:val="auto"/>
        </w:rPr>
        <w:t>second</w:t>
      </w:r>
      <w:r>
        <w:rPr>
          <w:rFonts w:ascii="Arial" w:cs="Arial" w:eastAsia="Arial" w:hAnsi="Arial"/>
          <w:sz w:val="16"/>
          <w:szCs w:val="16"/>
          <w:color w:val="auto"/>
        </w:rPr>
        <w:t xml:space="preserve"> redeem all outstanding shares of Series E Preferred Stock at a price per share equal to the Series E Liquidation Amount (the “</w:t>
      </w:r>
      <w:r>
        <w:rPr>
          <w:rFonts w:ascii="Arial" w:cs="Arial" w:eastAsia="Arial" w:hAnsi="Arial"/>
          <w:sz w:val="16"/>
          <w:szCs w:val="16"/>
          <w:b w:val="1"/>
          <w:bCs w:val="1"/>
          <w:color w:val="auto"/>
        </w:rPr>
        <w:t>Series E Redemption Price</w:t>
      </w:r>
      <w:r>
        <w:rPr>
          <w:rFonts w:ascii="Arial" w:cs="Arial" w:eastAsia="Arial" w:hAnsi="Arial"/>
          <w:sz w:val="16"/>
          <w:szCs w:val="16"/>
          <w:color w:val="auto"/>
        </w:rPr>
        <w:t xml:space="preserve">”), </w:t>
      </w:r>
      <w:r>
        <w:rPr>
          <w:rFonts w:ascii="Arial" w:cs="Arial" w:eastAsia="Arial" w:hAnsi="Arial"/>
          <w:sz w:val="16"/>
          <w:szCs w:val="16"/>
          <w:i w:val="1"/>
          <w:iCs w:val="1"/>
          <w:color w:val="auto"/>
        </w:rPr>
        <w:t>third</w:t>
      </w:r>
      <w:r>
        <w:rPr>
          <w:rFonts w:ascii="Arial" w:cs="Arial" w:eastAsia="Arial" w:hAnsi="Arial"/>
          <w:sz w:val="16"/>
          <w:szCs w:val="16"/>
          <w:color w:val="auto"/>
        </w:rPr>
        <w:t xml:space="preserve"> redeem all outstanding shares of Series D Preferred Stock at a price per share equal to the Series D Liquidation Amount (the “</w:t>
      </w:r>
      <w:r>
        <w:rPr>
          <w:rFonts w:ascii="Arial" w:cs="Arial" w:eastAsia="Arial" w:hAnsi="Arial"/>
          <w:sz w:val="16"/>
          <w:szCs w:val="16"/>
          <w:b w:val="1"/>
          <w:bCs w:val="1"/>
          <w:color w:val="auto"/>
        </w:rPr>
        <w:t>Series D Redemption Price</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redeem all outstanding shares of Series C Preferred Stock at a price per share equal to the Series C Liquidation Amount (the “</w:t>
      </w:r>
      <w:r>
        <w:rPr>
          <w:rFonts w:ascii="Arial" w:cs="Arial" w:eastAsia="Arial" w:hAnsi="Arial"/>
          <w:sz w:val="16"/>
          <w:szCs w:val="16"/>
          <w:b w:val="1"/>
          <w:bCs w:val="1"/>
          <w:color w:val="auto"/>
        </w:rPr>
        <w:t>Series C Redemption Price</w:t>
      </w:r>
      <w:r>
        <w:rPr>
          <w:rFonts w:ascii="Arial" w:cs="Arial" w:eastAsia="Arial" w:hAnsi="Arial"/>
          <w:sz w:val="16"/>
          <w:szCs w:val="16"/>
          <w:color w:val="auto"/>
        </w:rPr>
        <w:t xml:space="preserve">”), </w:t>
      </w:r>
      <w:r>
        <w:rPr>
          <w:rFonts w:ascii="Arial" w:cs="Arial" w:eastAsia="Arial" w:hAnsi="Arial"/>
          <w:sz w:val="16"/>
          <w:szCs w:val="16"/>
          <w:i w:val="1"/>
          <w:iCs w:val="1"/>
          <w:color w:val="auto"/>
        </w:rPr>
        <w:t>fifth</w:t>
      </w:r>
      <w:r>
        <w:rPr>
          <w:rFonts w:ascii="Arial" w:cs="Arial" w:eastAsia="Arial" w:hAnsi="Arial"/>
          <w:sz w:val="16"/>
          <w:szCs w:val="16"/>
          <w:color w:val="auto"/>
        </w:rPr>
        <w:t xml:space="preserve"> redeem all outstanding shares of Tier 1 Preferred Stock at a price per share equal to the Series B Liquidation Amount in the case of the Series B Preferred Stock (the “</w:t>
      </w:r>
      <w:r>
        <w:rPr>
          <w:rFonts w:ascii="Arial" w:cs="Arial" w:eastAsia="Arial" w:hAnsi="Arial"/>
          <w:sz w:val="16"/>
          <w:szCs w:val="16"/>
          <w:b w:val="1"/>
          <w:bCs w:val="1"/>
          <w:color w:val="auto"/>
        </w:rPr>
        <w:t>Series B Redemption Price</w:t>
      </w:r>
      <w:r>
        <w:rPr>
          <w:rFonts w:ascii="Arial" w:cs="Arial" w:eastAsia="Arial" w:hAnsi="Arial"/>
          <w:sz w:val="16"/>
          <w:szCs w:val="16"/>
          <w:color w:val="auto"/>
        </w:rPr>
        <w:t>”), the Series B1 - NV Liquidation Amount in the case of the Series B1-NV Preferred Stock (the “</w:t>
      </w:r>
      <w:r>
        <w:rPr>
          <w:rFonts w:ascii="Arial" w:cs="Arial" w:eastAsia="Arial" w:hAnsi="Arial"/>
          <w:sz w:val="16"/>
          <w:szCs w:val="16"/>
          <w:b w:val="1"/>
          <w:bCs w:val="1"/>
          <w:color w:val="auto"/>
        </w:rPr>
        <w:t>Series B1-NV Redemption Price</w:t>
      </w:r>
      <w:r>
        <w:rPr>
          <w:rFonts w:ascii="Arial" w:cs="Arial" w:eastAsia="Arial" w:hAnsi="Arial"/>
          <w:sz w:val="16"/>
          <w:szCs w:val="16"/>
          <w:color w:val="auto"/>
        </w:rPr>
        <w:t>”), and the Series B1 Liquidation Amount in the case of the Series B1 Preferred Stock (the “</w:t>
      </w:r>
      <w:r>
        <w:rPr>
          <w:rFonts w:ascii="Arial" w:cs="Arial" w:eastAsia="Arial" w:hAnsi="Arial"/>
          <w:sz w:val="16"/>
          <w:szCs w:val="16"/>
          <w:b w:val="1"/>
          <w:bCs w:val="1"/>
          <w:color w:val="auto"/>
        </w:rPr>
        <w:t>Series B1 Redemption Price</w:t>
      </w:r>
      <w:r>
        <w:rPr>
          <w:rFonts w:ascii="Arial" w:cs="Arial" w:eastAsia="Arial" w:hAnsi="Arial"/>
          <w:sz w:val="16"/>
          <w:szCs w:val="16"/>
          <w:color w:val="auto"/>
        </w:rPr>
        <w:t xml:space="preserve">”), and </w:t>
      </w:r>
      <w:r>
        <w:rPr>
          <w:rFonts w:ascii="Arial" w:cs="Arial" w:eastAsia="Arial" w:hAnsi="Arial"/>
          <w:sz w:val="16"/>
          <w:szCs w:val="16"/>
          <w:i w:val="1"/>
          <w:iCs w:val="1"/>
          <w:color w:val="auto"/>
        </w:rPr>
        <w:t>sixth</w:t>
      </w:r>
      <w:r>
        <w:rPr>
          <w:rFonts w:ascii="Arial" w:cs="Arial" w:eastAsia="Arial" w:hAnsi="Arial"/>
          <w:sz w:val="16"/>
          <w:szCs w:val="16"/>
          <w:color w:val="auto"/>
        </w:rPr>
        <w:t xml:space="preserve"> redeem all outstanding shares of Series A Preferred Stock at a price per share equal to the Series A Liquidation Amount (the “</w:t>
      </w:r>
      <w:r>
        <w:rPr>
          <w:rFonts w:ascii="Arial" w:cs="Arial" w:eastAsia="Arial" w:hAnsi="Arial"/>
          <w:sz w:val="16"/>
          <w:szCs w:val="16"/>
          <w:b w:val="1"/>
          <w:bCs w:val="1"/>
          <w:color w:val="auto"/>
        </w:rPr>
        <w:t>Series A Redemption Price</w:t>
      </w:r>
      <w:r>
        <w:rPr>
          <w:rFonts w:ascii="Arial" w:cs="Arial" w:eastAsia="Arial" w:hAnsi="Arial"/>
          <w:sz w:val="16"/>
          <w:szCs w:val="16"/>
          <w:color w:val="auto"/>
        </w:rPr>
        <w:t>”). Notwithstanding the foregoing, in the event of a redemption pursuant to the preceding sentence, (i) if the Available Proceeds are not sufficient to redeem all outstanding shares of Series F Preferred Stock, the Corporation shall ratably redeem each holder’s shares of Series F Preferred Stock to the fullest extent of such Available Proceeds, and shall redeem the remaining shares of Series F Preferred Stock as soon as it may lawfully do so under Delaware law governing distributions to stockholders,</w:t>
      </w:r>
    </w:p>
    <w:p>
      <w:pPr>
        <w:spacing w:after="0" w:line="10" w:lineRule="exact"/>
        <w:rPr>
          <w:rFonts w:ascii="Arial" w:cs="Arial" w:eastAsia="Arial" w:hAnsi="Arial"/>
          <w:sz w:val="16"/>
          <w:szCs w:val="16"/>
          <w:color w:val="auto"/>
        </w:rPr>
      </w:pPr>
    </w:p>
    <w:p>
      <w:pPr>
        <w:ind w:left="4" w:right="120" w:hanging="4"/>
        <w:spacing w:after="0" w:line="290" w:lineRule="auto"/>
        <w:tabs>
          <w:tab w:leader="none" w:pos="269"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if, after the redemption in full of the Series F Preferred Stock, the Available Proceeds are not sufficient to redeem all outstanding shares of Series E Preferred Stock, the Corporation shall ratably redeem each holder’s shares of Series E Preferred Stock to the fullest extent of such Available Proceeds, and shall redeem the remaining shares of Series E Preferred Stock as soon as it may lawfully do so under Delaware law governing distributions to stockholders, (iii) if, after the redemption in full of the Series F Preferred Stock and the Series E Preferred Stock, the remaining Available Proceeds are not sufficient to redeem all outstanding shares of Series D Preferred Stock, the Corporation shall ratably redeem each holder’s shares of Series D Preferred Stock to the fullest extent of such Available Proceeds, and shall redeem the remaining shares of Series D Preferred Stock as soon as</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336" w:name="page337"/>
    <w:bookmarkEnd w:id="336"/>
    <w:p>
      <w:pPr>
        <w:ind w:left="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may lawfully do so under Delaware law governing distributions to stockholders, (iv) if, after the redemption in full of the Series F Preferred Stock, the Series E Preferred Stock and the Series D Preferred Stock, the remaining Available Proceeds are not sufficient to redeem all outstanding shares of Series C Preferred Stock, the Corporation shall ratably redeem each holder’s shares of Series C Preferred Stock to the fullest extent of such Available Proceeds, and shall redeem the remaining shares of Series C Preferred Stock as soon as it may lawfully do so under Delaware law governing distributions to stockholders, (v) if, after the redemption in full of the Series F Preferred Stock, the Series E Preferred Stock, the Series D Preferred Stock and the Series C Preferred Stock, the remaining Available Proceeds are not sufficient to redeem all outstanding shares of Tier 1 Preferred Stock, the Corporation shall ratably redeem (based upon the aggregate amount payable on each share of Tier 1 Preferred Stock if the Applicable Redemption Price for such share was paid in full) each holder’s shares of Tier 1 Preferred Stock to the fullest extent of such remaining Available Proceeds, and shall redeem the remaining shares of Tier 1 Preferred Stock as soon as it may lawfully do so under Delaware law governing distributions to stockholders and</w:t>
      </w:r>
    </w:p>
    <w:p>
      <w:pPr>
        <w:spacing w:after="0" w:line="6" w:lineRule="exact"/>
        <w:rPr>
          <w:sz w:val="20"/>
          <w:szCs w:val="20"/>
          <w:color w:val="auto"/>
        </w:rPr>
      </w:pPr>
    </w:p>
    <w:p>
      <w:pPr>
        <w:ind w:left="4" w:hanging="4"/>
        <w:spacing w:after="0" w:line="283" w:lineRule="auto"/>
        <w:tabs>
          <w:tab w:leader="none" w:pos="309"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if, after the redemption in full of the Series F Preferred Stock, the Series E Preferred Stock, the Series D Preferred Stock, Series C Preferred Stock and Tier 1 Preferred Stock, the remaining Available Proceeds are not sufficient to redeem all outstanding shares of Series A Preferred Stock, the Corporation shall ratably redeem each holder’s shares of Series A Preferred Stock to the fullest extent of such remaining Available Proceeds, and shall redeem the remaining shares of Series A Preferred Stock as soon as it may lawfully do so under Delaware law governing distributions to stockholders. The “</w:t>
      </w:r>
      <w:r>
        <w:rPr>
          <w:rFonts w:ascii="Arial" w:cs="Arial" w:eastAsia="Arial" w:hAnsi="Arial"/>
          <w:sz w:val="16"/>
          <w:szCs w:val="16"/>
          <w:b w:val="1"/>
          <w:bCs w:val="1"/>
          <w:color w:val="auto"/>
        </w:rPr>
        <w:t>Applicable Redemption Price</w:t>
      </w:r>
      <w:r>
        <w:rPr>
          <w:rFonts w:ascii="Arial" w:cs="Arial" w:eastAsia="Arial" w:hAnsi="Arial"/>
          <w:sz w:val="16"/>
          <w:szCs w:val="16"/>
          <w:color w:val="auto"/>
        </w:rPr>
        <w:t xml:space="preserve">” shall mean the Series A Redemption Price with respect to the Series A Preferred Stock, the Series B Redemption Price with respect to the Series B Preferred Stock, the Series B1-NV Redemption Price with respect to the Series B1-NV Preferred Stock, the Series B1 Redemption Price with respect to the Series B1 Preferred Stock, the Series C Redemption Price with respect to the Series C Preferred Stock, the Series D Redemption Price with respect to the Series D Preferred Stock, the Series E Redemption Price with respect to the Series E Preferred Stock and the Series F Redemption Price with respect to the Series F Preferred Stock. If the requisite holders of Preferred Stock elect to have their shares redeemed pursuant to this </w:t>
      </w:r>
      <w:r>
        <w:rPr>
          <w:rFonts w:ascii="Arial" w:cs="Arial" w:eastAsia="Arial" w:hAnsi="Arial"/>
          <w:sz w:val="16"/>
          <w:szCs w:val="16"/>
          <w:u w:val="single" w:color="auto"/>
          <w:color w:val="auto"/>
        </w:rPr>
        <w:t>Subsection 2.8.2(b)</w:t>
      </w:r>
      <w:r>
        <w:rPr>
          <w:rFonts w:ascii="Arial" w:cs="Arial" w:eastAsia="Arial" w:hAnsi="Arial"/>
          <w:sz w:val="16"/>
          <w:szCs w:val="16"/>
          <w:color w:val="auto"/>
        </w:rPr>
        <w:t>, the Corporation shall send written notice (the “</w:t>
      </w:r>
      <w:r>
        <w:rPr>
          <w:rFonts w:ascii="Arial" w:cs="Arial" w:eastAsia="Arial" w:hAnsi="Arial"/>
          <w:sz w:val="16"/>
          <w:szCs w:val="16"/>
          <w:b w:val="1"/>
          <w:bCs w:val="1"/>
          <w:color w:val="auto"/>
        </w:rPr>
        <w:t>Redemption Notice</w:t>
      </w:r>
      <w:r>
        <w:rPr>
          <w:rFonts w:ascii="Arial" w:cs="Arial" w:eastAsia="Arial" w:hAnsi="Arial"/>
          <w:sz w:val="16"/>
          <w:szCs w:val="16"/>
          <w:color w:val="auto"/>
        </w:rPr>
        <w:t xml:space="preserve">”) to each applicable holder of record of Preferred Stock not less than twenty (20) days prior to the Redemption Date stating: (a) the number of shares of Preferred Stock held by the holder that the Corporation shall redeem on the Redemption Date specified in the Redemption Notice; (b) the Redemption Date and the Applicable Redemption Price; (c) the date upon which the holder’s right to convert such shares terminates (as determined in accordance with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and (d) that the holder is to surrender to the Corporation, in the manner and at the place designated, his, her or its certificate or certificates representing the shares of Preferred Stock to be redeemed. On or before the applicable Redemption Date, each holder of shares of Preferred Stock to be redeemed on such Redemption Date, unless such holder has exercised his, her or its right to convert such shares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Applicable Redemption Price for such shares shall be payable to the order of the person whose name appears on such certificate or certificates as the owner thereof. Prior to the distribution or redemption provided for in this</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337" w:name="page338"/>
    <w:bookmarkEnd w:id="337"/>
    <w:p>
      <w:pPr>
        <w:ind w:left="4" w:right="60"/>
        <w:spacing w:after="0" w:line="29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Subsection 2.8.2(b)</w:t>
      </w:r>
      <w:r>
        <w:rPr>
          <w:rFonts w:ascii="Arial" w:cs="Arial" w:eastAsia="Arial" w:hAnsi="Arial"/>
          <w:sz w:val="16"/>
          <w:szCs w:val="16"/>
          <w:color w:val="auto"/>
        </w:rPr>
        <w:t>, the Corporation shall not expend or dissipate the consideration received for such Deemed Liquidation Event, except to discharge expenses incurred in connection with such Deemed Liquidation Event or in the ordinary course of business. If the Redemption Notice shall have been duly given, and if on the applicable Redemption Date, the Applicable Redemption Price payable upon redemption of the shares of Preferred Stock to be redeemed on such Redemption Date is paid or tendered for payment or deposited with an independent payment agent so as to be available therefor in a timely manner, then notwithstanding that the certificates evidencing any of the shares of Preferred Stock so called for redemption shall not have been surrendered, all rights with respect to such shares shall forthwith after the Redemption Date terminate, except only the right of the holders to receive the Applicable Redemption Price without interest upon surrender of their certificate or certificates therefor.</w:t>
      </w:r>
    </w:p>
    <w:p>
      <w:pPr>
        <w:spacing w:after="0" w:line="166" w:lineRule="exact"/>
        <w:rPr>
          <w:sz w:val="20"/>
          <w:szCs w:val="20"/>
          <w:color w:val="auto"/>
        </w:rPr>
      </w:pPr>
    </w:p>
    <w:p>
      <w:pPr>
        <w:ind w:left="4" w:right="200" w:firstLine="1432"/>
        <w:spacing w:after="0" w:line="271" w:lineRule="auto"/>
        <w:rPr>
          <w:sz w:val="20"/>
          <w:szCs w:val="20"/>
          <w:color w:val="auto"/>
        </w:rPr>
      </w:pPr>
      <w:r>
        <w:rPr>
          <w:rFonts w:ascii="Arial" w:cs="Arial" w:eastAsia="Arial" w:hAnsi="Arial"/>
          <w:sz w:val="17"/>
          <w:szCs w:val="17"/>
          <w:color w:val="auto"/>
        </w:rPr>
        <w:t xml:space="preserve">2.8.3 </w:t>
      </w:r>
      <w:r>
        <w:rPr>
          <w:rFonts w:ascii="Arial" w:cs="Arial" w:eastAsia="Arial" w:hAnsi="Arial"/>
          <w:sz w:val="17"/>
          <w:szCs w:val="17"/>
          <w:u w:val="single" w:color="auto"/>
          <w:color w:val="auto"/>
        </w:rPr>
        <w:t>Amount Deemed Paid or Distributed</w:t>
      </w:r>
      <w:r>
        <w:rPr>
          <w:rFonts w:ascii="Arial" w:cs="Arial" w:eastAsia="Arial" w:hAnsi="Arial"/>
          <w:sz w:val="17"/>
          <w:szCs w:val="17"/>
          <w:color w:val="auto"/>
        </w:rPr>
        <w:t>. The amount deemed paid or distributed to the holders of capital stock of the Corporation upon any such Deemed Liquidation Event, other disposition or redemption (the “</w:t>
      </w:r>
      <w:r>
        <w:rPr>
          <w:rFonts w:ascii="Arial" w:cs="Arial" w:eastAsia="Arial" w:hAnsi="Arial"/>
          <w:sz w:val="17"/>
          <w:szCs w:val="17"/>
          <w:b w:val="1"/>
          <w:bCs w:val="1"/>
          <w:color w:val="auto"/>
        </w:rPr>
        <w:t>Distributed Amount</w:t>
      </w:r>
      <w:r>
        <w:rPr>
          <w:rFonts w:ascii="Arial" w:cs="Arial" w:eastAsia="Arial" w:hAnsi="Arial"/>
          <w:sz w:val="17"/>
          <w:szCs w:val="17"/>
          <w:color w:val="auto"/>
        </w:rPr>
        <w:t xml:space="preserve">”) shall be the cash or the value of the property, rights or securities paid or distributed to such holders by the Corporation or the acquiring person, firm or other entity. The value of such property, rights or securities shall be determined in good faith by the Board of Directors of the Corporation (including at least two of the Preferred Directors (as defined below), one of which shall be the Series C Director (as defined in the Corporation’s Seventh Amended and Restated Voting Agreement)). Subject to </w:t>
      </w:r>
      <w:r>
        <w:rPr>
          <w:rFonts w:ascii="Arial" w:cs="Arial" w:eastAsia="Arial" w:hAnsi="Arial"/>
          <w:sz w:val="17"/>
          <w:szCs w:val="17"/>
          <w:u w:val="single" w:color="auto"/>
          <w:color w:val="auto"/>
        </w:rPr>
        <w:t>Subsection 2.8.5</w:t>
      </w:r>
      <w:r>
        <w:rPr>
          <w:rFonts w:ascii="Arial" w:cs="Arial" w:eastAsia="Arial" w:hAnsi="Arial"/>
          <w:sz w:val="17"/>
          <w:szCs w:val="17"/>
          <w:color w:val="auto"/>
        </w:rPr>
        <w:t xml:space="preserve"> below, to the extent that the Distributed Amount consists of cash and non-cash consideration, the portion of the Distributed Amount consisting of cash consideration and the portion of the Distributed Amount consisting of non-cash consideration, respectively, shall be allocated among the holders of capital stock of the Corporation on a pro rata basis.</w:t>
      </w:r>
    </w:p>
    <w:p>
      <w:pPr>
        <w:spacing w:after="0" w:line="178" w:lineRule="exact"/>
        <w:rPr>
          <w:sz w:val="20"/>
          <w:szCs w:val="20"/>
          <w:color w:val="auto"/>
        </w:rPr>
      </w:pPr>
    </w:p>
    <w:p>
      <w:pPr>
        <w:ind w:left="4" w:firstLine="1432"/>
        <w:spacing w:after="0" w:line="285" w:lineRule="auto"/>
        <w:rPr>
          <w:sz w:val="20"/>
          <w:szCs w:val="20"/>
          <w:color w:val="auto"/>
        </w:rPr>
      </w:pPr>
      <w:r>
        <w:rPr>
          <w:rFonts w:ascii="Arial" w:cs="Arial" w:eastAsia="Arial" w:hAnsi="Arial"/>
          <w:sz w:val="16"/>
          <w:szCs w:val="16"/>
          <w:color w:val="auto"/>
        </w:rPr>
        <w:t xml:space="preserve">2.8.4 </w:t>
      </w:r>
      <w:r>
        <w:rPr>
          <w:rFonts w:ascii="Arial" w:cs="Arial" w:eastAsia="Arial" w:hAnsi="Arial"/>
          <w:sz w:val="16"/>
          <w:szCs w:val="16"/>
          <w:u w:val="single" w:color="auto"/>
          <w:color w:val="auto"/>
        </w:rPr>
        <w:t>Allocation of Escrow</w:t>
      </w:r>
      <w:r>
        <w:rPr>
          <w:rFonts w:ascii="Arial" w:cs="Arial" w:eastAsia="Arial" w:hAnsi="Arial"/>
          <w:sz w:val="16"/>
          <w:szCs w:val="16"/>
          <w:color w:val="auto"/>
        </w:rPr>
        <w:t>. In the event of a Deemed Liquidation Event, if any portion of the consideration payable to the stockholders of the Corporation is placed into escrow and/or is payable to the stockholders of the Corporation subject to contingencies (the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Consideration</w:t>
      </w:r>
      <w:r>
        <w:rPr>
          <w:rFonts w:ascii="Arial" w:cs="Arial" w:eastAsia="Arial" w:hAnsi="Arial"/>
          <w:sz w:val="16"/>
          <w:szCs w:val="16"/>
          <w:color w:val="auto"/>
        </w:rPr>
        <w:t>”), the Purchase Agreement or other acquisition agreement shall provide that (a) the portion of such consideration that is not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w:t>
      </w:r>
      <w:r>
        <w:rPr>
          <w:rFonts w:ascii="Arial" w:cs="Arial" w:eastAsia="Arial" w:hAnsi="Arial"/>
          <w:sz w:val="16"/>
          <w:szCs w:val="16"/>
          <w:u w:val="single" w:color="auto"/>
          <w:color w:val="auto"/>
        </w:rPr>
        <w:t>2.6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2.7</w:t>
      </w:r>
      <w:r>
        <w:rPr>
          <w:rFonts w:ascii="Arial" w:cs="Arial" w:eastAsia="Arial" w:hAnsi="Arial"/>
          <w:sz w:val="16"/>
          <w:szCs w:val="16"/>
          <w:color w:val="auto"/>
        </w:rPr>
        <w:t xml:space="preserve"> as if the Initial Consideration were the only consideration payable in connection with such Deemed Liquidation Event and</w:t>
      </w:r>
    </w:p>
    <w:p>
      <w:pPr>
        <w:spacing w:after="0" w:line="2" w:lineRule="exact"/>
        <w:rPr>
          <w:sz w:val="20"/>
          <w:szCs w:val="20"/>
          <w:color w:val="auto"/>
        </w:rPr>
      </w:pPr>
    </w:p>
    <w:p>
      <w:pPr>
        <w:ind w:left="4" w:right="100" w:hanging="4"/>
        <w:spacing w:after="0" w:line="255" w:lineRule="auto"/>
        <w:tabs>
          <w:tab w:leader="none" w:pos="25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any Additional Consideration which becomes payable to the stockholders of the Corporation upon release from escrow or satisfaction of contingencies shall be allocated among the holders of capital stock of the Corporation in accordance with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after taking into account the previous payment of the Initial Consideration as part of the same transaction.</w:t>
      </w:r>
    </w:p>
    <w:p>
      <w:pPr>
        <w:spacing w:after="0" w:line="190" w:lineRule="exact"/>
        <w:rPr>
          <w:sz w:val="20"/>
          <w:szCs w:val="20"/>
          <w:color w:val="auto"/>
        </w:rPr>
      </w:pPr>
    </w:p>
    <w:p>
      <w:pPr>
        <w:ind w:left="4" w:right="20" w:firstLine="1432"/>
        <w:spacing w:after="0" w:line="255" w:lineRule="auto"/>
        <w:rPr>
          <w:sz w:val="20"/>
          <w:szCs w:val="20"/>
          <w:color w:val="auto"/>
        </w:rPr>
      </w:pPr>
      <w:r>
        <w:rPr>
          <w:rFonts w:ascii="Arial" w:cs="Arial" w:eastAsia="Arial" w:hAnsi="Arial"/>
          <w:sz w:val="18"/>
          <w:szCs w:val="18"/>
          <w:color w:val="auto"/>
        </w:rPr>
        <w:t xml:space="preserve">2.8.5 </w:t>
      </w:r>
      <w:r>
        <w:rPr>
          <w:rFonts w:ascii="Arial" w:cs="Arial" w:eastAsia="Arial" w:hAnsi="Arial"/>
          <w:sz w:val="18"/>
          <w:szCs w:val="18"/>
          <w:u w:val="single" w:color="auto"/>
          <w:color w:val="auto"/>
        </w:rPr>
        <w:t>Consideration to Regulated Investors</w:t>
      </w:r>
      <w:r>
        <w:rPr>
          <w:rFonts w:ascii="Arial" w:cs="Arial" w:eastAsia="Arial" w:hAnsi="Arial"/>
          <w:sz w:val="18"/>
          <w:szCs w:val="18"/>
          <w:color w:val="auto"/>
        </w:rPr>
        <w:t xml:space="preserve">. Notwithstanding anything herein to the contrary, in the event of any liquidation, dissolution or winding up of the Corporation, Deemed Liquidation Event or redemption under this </w:t>
      </w:r>
      <w:r>
        <w:rPr>
          <w:rFonts w:ascii="Arial" w:cs="Arial" w:eastAsia="Arial" w:hAnsi="Arial"/>
          <w:sz w:val="18"/>
          <w:szCs w:val="18"/>
          <w:u w:val="single" w:color="auto"/>
          <w:color w:val="auto"/>
        </w:rPr>
        <w:t>Subsection 2.8</w:t>
      </w:r>
      <w:r>
        <w:rPr>
          <w:rFonts w:ascii="Arial" w:cs="Arial" w:eastAsia="Arial" w:hAnsi="Arial"/>
          <w:sz w:val="18"/>
          <w:szCs w:val="18"/>
          <w:color w:val="auto"/>
        </w:rPr>
        <w:t>, no Regulated Investor shall be required to accept any (a) shares of a bank, bank holding company, financial holding company or covered fund (as each such term is defined in the Bank Holding Company Act); (b) non-marketable securities, the receipt of which would be impermissible, unduly burdensome or present legal, regulatory operational or reputational risks to such Regulated Investor or any of its Affiliates; or (c) securities that do not meet each of the following three conditions: (i) the issuer thereof is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338" w:name="page339"/>
    <w:bookmarkEnd w:id="338"/>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subject to the reporting requirements of Section 13 or Section 15(d) of the Securities Exchange Act of 1934 and the rules and regulations promulgated thereunder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(ii) the issuer thereof is then current in its filing of all required reports and other information under the Exchange Act and the Securities Act of 1933 and the rules and regulations promulgated thereunder (as amended,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and (iii) that consist of a class of common equity that is then traded on a national securities exchange, and, to the extent necessary,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enumerated in the foregoing clauses (a) through (c) which such Regulated Investor would otherwise be required to receive will instead be paid to such Regulated Investor in the form of cash based upon the then-current fair market value of such non-cash consideration, as determined in good faith by the Board of Directors.</w:t>
      </w:r>
    </w:p>
    <w:p>
      <w:pPr>
        <w:spacing w:after="0" w:line="303" w:lineRule="exact"/>
        <w:rPr>
          <w:sz w:val="20"/>
          <w:szCs w:val="20"/>
          <w:color w:val="auto"/>
        </w:rPr>
      </w:pPr>
    </w:p>
    <w:p>
      <w:pPr>
        <w:ind w:left="760" w:hanging="324"/>
        <w:spacing w:after="0"/>
        <w:tabs>
          <w:tab w:leader="none" w:pos="76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117"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u w:val="single" w:color="auto"/>
          <w:color w:val="auto"/>
        </w:rPr>
        <w:t>General</w:t>
      </w:r>
      <w:r>
        <w:rPr>
          <w:rFonts w:ascii="Arial" w:cs="Arial" w:eastAsia="Arial" w:hAnsi="Arial"/>
          <w:sz w:val="15"/>
          <w:szCs w:val="15"/>
          <w:color w:val="auto"/>
        </w:rPr>
        <w:t>.</w:t>
      </w:r>
    </w:p>
    <w:p>
      <w:pPr>
        <w:spacing w:after="0" w:line="117" w:lineRule="exact"/>
        <w:rPr>
          <w:sz w:val="20"/>
          <w:szCs w:val="20"/>
          <w:color w:val="auto"/>
        </w:rPr>
      </w:pPr>
    </w:p>
    <w:p>
      <w:pPr>
        <w:ind w:firstLine="1432"/>
        <w:spacing w:after="0" w:line="287"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Voting Rights of Series A Preferred Stock, Series B Preferred Stock, Series B1 Preferred Stock, Series C Preferred Stock,</w:t>
      </w:r>
      <w:r>
        <w:rPr>
          <w:rFonts w:ascii="Arial" w:cs="Arial" w:eastAsia="Arial" w:hAnsi="Arial"/>
          <w:sz w:val="16"/>
          <w:szCs w:val="16"/>
          <w:color w:val="auto"/>
        </w:rPr>
        <w:t xml:space="preserve"> </w:t>
      </w:r>
      <w:r>
        <w:rPr>
          <w:rFonts w:ascii="Arial" w:cs="Arial" w:eastAsia="Arial" w:hAnsi="Arial"/>
          <w:sz w:val="16"/>
          <w:szCs w:val="16"/>
          <w:u w:val="single" w:color="auto"/>
          <w:color w:val="auto"/>
        </w:rPr>
        <w:t>Series D Preferred Stock, Series E Preferred Stock and Series F Preferred Stock</w:t>
      </w:r>
      <w:r>
        <w:rPr>
          <w:rFonts w:ascii="Arial" w:cs="Arial" w:eastAsia="Arial" w:hAnsi="Arial"/>
          <w:sz w:val="16"/>
          <w:szCs w:val="16"/>
          <w:color w:val="auto"/>
        </w:rPr>
        <w:t>. On any matter presented to the stockholders of the Corporation for their action or consideration at any meeting of stockholders of the Corporation (or by written consent of stockholders in lieu of meeting), each holder of outstanding shares of Series A Preferred Stock, Series B Preferred Stock, Series B1 Preferred Stock, Series C Preferred Stock, Series D Preferred Stock, Series E-1 Preferred Stock and Series F-1 Preferred Stock shall be entitled to cast the number of votes equal to the number of whole shares of Class A Common Stock into which the shares of Series A Preferred Stock, Series B Preferred Stock, Series B1 Preferred Stock, Series C Preferred Stock, Series D Preferred Stock, Series E-1 Preferred Stock or Series F-1 Preferred Stock (as the case may be) held by such holder are convertible as of the record date for determining stockholders entitled to vote on such matter. Except as provided by law or by the other provisions of this Certificate of Incorporation, holders of Series A Preferred Stock, Series B Preferred Stock, Series B1 Preferred Stock, Series C Preferred Stock, Series D Preferred Stock, Series E-1 Preferred Stock and Series F-1 Preferred Stock shall vote together with the holders of Class A Common Stock as a single class, on an as-converted basis. Except as expressly set forth herein or as otherwise required under the General Corporation Law or other applicable law, the holders of Series E-2 Preferred Stock and the holders of Series F-2 Preferred Stock shall have no voting rights in respect of such shares.</w:t>
      </w:r>
    </w:p>
    <w:p>
      <w:pPr>
        <w:spacing w:after="0" w:line="168"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Voting Rights of Series B1-NV Preferred Stock</w:t>
      </w:r>
      <w:r>
        <w:rPr>
          <w:rFonts w:ascii="Arial" w:cs="Arial" w:eastAsia="Arial" w:hAnsi="Arial"/>
          <w:sz w:val="16"/>
          <w:szCs w:val="16"/>
          <w:color w:val="auto"/>
        </w:rPr>
        <w:t>. Except (a) for any matters on which the vote of the holders of Series B1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-NV Preferred Stock as a separate class or series is required under the General Corporation Law or other applicable law and (b) as otherwise expressly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 forth in this Certificate of Incorporation, each holder of outstanding shares of Series B1-NV Preferred Stock shall have no right to vote in respect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share of Series B1-NV Preferred Stock held by such holder. Notwithstanding anything to the contrary in this Certificate of Incorporation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otherwise, (i) the Series B1-NV Preferred Stock shall not vote together with the holders of Common Stock as a single class on an as-converted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(ii) except as expressly set forth in this Certificate of Incorporation, the Series B1-NV Preferred Stock shall not be considered stock that is entitled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vote on any matter presented to the stockholders of the Corporation, including, without limitation, for purposes of the following sections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General Corporation Law: Section 211 (Meetings of Stockholders), Section 228 (Consent of Stockholders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39" w:name="page340"/>
    <w:bookmarkEnd w:id="339"/>
    <w:p>
      <w:pPr>
        <w:ind w:left="4"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Members in lieu of Meeting), Section 242 (Amendment of Certificate of Incorporation), Section 245 (Restated Certificate of Incorporation), Section 251 (Merger or Consolidation of Domestic Corporations), Section 252 (Merger or Consolidation of Domestic and Foreign Corporations) and Section 271 (Sale, Lease or Exchange of Assets).</w:t>
      </w:r>
    </w:p>
    <w:p>
      <w:pPr>
        <w:spacing w:after="0" w:line="184" w:lineRule="exact"/>
        <w:rPr>
          <w:sz w:val="20"/>
          <w:szCs w:val="20"/>
          <w:color w:val="auto"/>
        </w:rPr>
      </w:pPr>
    </w:p>
    <w:p>
      <w:pPr>
        <w:ind w:left="4" w:right="140" w:firstLine="1432"/>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(i) The holders of record of the shares of Preferred Stock (excluding the Series B1-NV Preferred Stock, the Series E-2 Preferred Stock and the Series F-2 Preferred Stock), exclusively and voting together as a single class, shall be entitled to elect three</w:t>
      </w:r>
    </w:p>
    <w:p>
      <w:pPr>
        <w:ind w:left="4" w:hanging="4"/>
        <w:spacing w:after="0" w:line="283" w:lineRule="auto"/>
        <w:tabs>
          <w:tab w:leader="none" w:pos="259" w:val="left"/>
        </w:tabs>
        <w:numPr>
          <w:ilvl w:val="0"/>
          <w:numId w:val="236"/>
        </w:numPr>
        <w:rPr>
          <w:rFonts w:ascii="Arial" w:cs="Arial" w:eastAsia="Arial" w:hAnsi="Arial"/>
          <w:sz w:val="16"/>
          <w:szCs w:val="16"/>
          <w:color w:val="auto"/>
        </w:rPr>
      </w:pPr>
      <w:r>
        <w:rPr>
          <w:rFonts w:ascii="Arial" w:cs="Arial" w:eastAsia="Arial" w:hAnsi="Arial"/>
          <w:sz w:val="16"/>
          <w:szCs w:val="16"/>
          <w:color w:val="auto"/>
        </w:rPr>
        <w:t>directors of the Corporation by the affirmative vote of a majority of the outstanding voting power of such class and (ii) the holders of record of the shares of Class A Common Stock, exclusively and as a separate class, shall be entitled to elect one (1) director of the Corporation by the affirmative vote of a majority of the outstanding voting power of such class. The directors elected pursuant to Subsection 3.2(i) shall be referred to herein as the “</w:t>
      </w:r>
      <w:r>
        <w:rPr>
          <w:rFonts w:ascii="Arial" w:cs="Arial" w:eastAsia="Arial" w:hAnsi="Arial"/>
          <w:sz w:val="16"/>
          <w:szCs w:val="16"/>
          <w:b w:val="1"/>
          <w:bCs w:val="1"/>
          <w:color w:val="auto"/>
        </w:rPr>
        <w:t>Preferred Directors</w:t>
      </w:r>
      <w:r>
        <w:rPr>
          <w:rFonts w:ascii="Arial" w:cs="Arial" w:eastAsia="Arial" w:hAnsi="Arial"/>
          <w:sz w:val="16"/>
          <w:szCs w:val="16"/>
          <w:color w:val="auto"/>
        </w:rPr>
        <w:t>” and the director elected by the holders of Class A Common Stock shall be referred to herein as the “</w:t>
      </w:r>
      <w:r>
        <w:rPr>
          <w:rFonts w:ascii="Arial" w:cs="Arial" w:eastAsia="Arial" w:hAnsi="Arial"/>
          <w:sz w:val="16"/>
          <w:szCs w:val="16"/>
          <w:b w:val="1"/>
          <w:bCs w:val="1"/>
          <w:color w:val="auto"/>
        </w:rPr>
        <w:t>Common Director</w:t>
      </w:r>
      <w:r>
        <w:rPr>
          <w:rFonts w:ascii="Arial" w:cs="Arial" w:eastAsia="Arial" w:hAnsi="Arial"/>
          <w:sz w:val="16"/>
          <w:szCs w:val="16"/>
          <w:color w:val="auto"/>
        </w:rPr>
        <w:t xml:space="preserve">”.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Preferred Stock or Class A Common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then any directorship not so filled shall remain vacant until such time as the holders of Preferred Stock or Class A Common Stock, as the case may be, pursuant to the Voting Agreement,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Class A Common Stock and of any other class or series of voting stock (including the Preferred Stock but excluding the Series E-2 Preferred Stock and the Series F-2 Preferred Stock), exclusively and voting together as a single class, shall be entitled to elect the balance of the total number of directors of the Corporation, two of which directors shall be Independent Directors (as defined in the Voting Agreement), by the affirmative vote of a majority of the outstanding voting power of such class.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The rights of the holders of the Preferred Stock and the rights of the holders of the Class A Common Stock under the first sentence of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shall terminate on the first date following the Original Issue Date (as defined below) on which there are issued and outstanding less than 5,454,032 shares of Preferred Stock (subject to appropriate adjustment in the event of any stock dividend, stock split, combination or other similar recapitalization with respect to the Preferred Stock). A copy of the Voting Agreement shall be provided without cost to any stockholder of the Corporation upon a written request delivered to the Secretary of the Corporation at its principal place of business.</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340" w:name="page341"/>
    <w:bookmarkEnd w:id="340"/>
    <w:p>
      <w:pPr>
        <w:ind w:right="240"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 </w:t>
      </w:r>
      <w:r>
        <w:rPr>
          <w:rFonts w:ascii="Arial" w:cs="Arial" w:eastAsia="Arial" w:hAnsi="Arial"/>
          <w:sz w:val="16"/>
          <w:szCs w:val="16"/>
          <w:u w:val="single" w:color="auto"/>
          <w:color w:val="auto"/>
        </w:rPr>
        <w:t>Preferred Stock Protective Provisions</w:t>
      </w:r>
      <w:r>
        <w:rPr>
          <w:rFonts w:ascii="Arial" w:cs="Arial" w:eastAsia="Arial" w:hAnsi="Arial"/>
          <w:sz w:val="16"/>
          <w:szCs w:val="16"/>
          <w:color w:val="auto"/>
        </w:rPr>
        <w:t xml:space="preserve">. At any time when at least 5,454,032 shares of Preferred Stock (subject to appropriate adjustment in the event of any stock dividend, stock split, combination or other similar recapitalization with respect to the Preferred Stock) are outstanding, the Corporation shall not, and shall cause any subsidiary to not, either directly or indirectly by amendment, merger, consolidation or otherwise, do any of the following without (in addition to any other vote required by law or this Certificate of Incorporation) the written consent or affirmative vote of the Requisite Holders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and of no force or effect:</w:t>
      </w:r>
    </w:p>
    <w:p>
      <w:pPr>
        <w:spacing w:after="0" w:line="27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3.3.1</w:t>
      </w:r>
    </w:p>
    <w:p>
      <w:pPr>
        <w:spacing w:after="0" w:line="117" w:lineRule="exact"/>
        <w:rPr>
          <w:sz w:val="20"/>
          <w:szCs w:val="20"/>
          <w:color w:val="auto"/>
        </w:rPr>
      </w:pPr>
    </w:p>
    <w:p>
      <w:pPr>
        <w:ind w:right="140" w:firstLine="1979"/>
        <w:spacing w:after="0" w:line="293" w:lineRule="auto"/>
        <w:tabs>
          <w:tab w:leader="none" w:pos="236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liquidate, dissolve or wind-up the business and affairs of the Corporation or consent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all holders of shares of Series E-2 Preferred Stock shall be entitled to vote such shares of Series E-2 Preferred Stock they may hold in respect thereof, and all such shares of Series E-2 Preferred Stock shall be counted, both in the numerator and in the denominator, for purposes of determining whether the consent of the Requisite Holders has been obtained and (ii) all holders of shares of Series F-2 Preferred Stock shall be entitled to vote such shares of Series F-2 Preferred Stock they may hold in respect thereof, and all such shares of Series F-2 Preferred Stock shall be counted, both in the numerator and in the denominator, for purposes of determining whether the consent of the Requisite Holders has been obtained; or</w:t>
      </w:r>
    </w:p>
    <w:p>
      <w:pPr>
        <w:spacing w:after="0" w:line="164" w:lineRule="exact"/>
        <w:rPr>
          <w:rFonts w:ascii="Arial" w:cs="Arial" w:eastAsia="Arial" w:hAnsi="Arial"/>
          <w:sz w:val="16"/>
          <w:szCs w:val="16"/>
          <w:color w:val="auto"/>
        </w:rPr>
      </w:pPr>
    </w:p>
    <w:p>
      <w:pPr>
        <w:ind w:left="2360" w:hanging="381"/>
        <w:spacing w:after="0"/>
        <w:tabs>
          <w:tab w:leader="none" w:pos="23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effect any merger or consolidation or any other Deemed Liquidation Event, or consent to any of the foregoing;</w:t>
      </w:r>
    </w:p>
    <w:p>
      <w:pPr>
        <w:spacing w:after="0" w:line="237" w:lineRule="exact"/>
        <w:rPr>
          <w:sz w:val="20"/>
          <w:szCs w:val="20"/>
          <w:color w:val="auto"/>
        </w:rPr>
      </w:pPr>
    </w:p>
    <w:p>
      <w:pPr>
        <w:ind w:firstLine="1432"/>
        <w:spacing w:after="0" w:line="288" w:lineRule="auto"/>
        <w:rPr>
          <w:sz w:val="20"/>
          <w:szCs w:val="20"/>
          <w:color w:val="auto"/>
        </w:rPr>
      </w:pPr>
      <w:r>
        <w:rPr>
          <w:rFonts w:ascii="Arial" w:cs="Arial" w:eastAsia="Arial" w:hAnsi="Arial"/>
          <w:sz w:val="16"/>
          <w:szCs w:val="16"/>
          <w:color w:val="auto"/>
        </w:rPr>
        <w:t xml:space="preserve">3.3.2 amend, alter or repeal any provision of this Certificate of Incorporation or Bylaws of the Corporation in a manner that adversely affects the powers, preferences or rights of any series of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in the event any amendment, alteration or repeal significantly and adversely affects the rights or preferences of any shares of capital stock held by a Regulated Investor (including, without limitation, shares of Series E-1 Preferred Stock, Series E-2 Preferred Stock, Series F-1 Preferred Stock and/or Series F-2 Preferred Stock), as determined by such Regulated Investor under Regulation Y (any such amendment, alteration or repeal, a “</w:t>
      </w:r>
      <w:r>
        <w:rPr>
          <w:rFonts w:ascii="Arial" w:cs="Arial" w:eastAsia="Arial" w:hAnsi="Arial"/>
          <w:sz w:val="16"/>
          <w:szCs w:val="16"/>
          <w:b w:val="1"/>
          <w:bCs w:val="1"/>
          <w:color w:val="auto"/>
        </w:rPr>
        <w:t>Regulated Investor</w:t>
      </w:r>
      <w:r>
        <w:rPr>
          <w:rFonts w:ascii="Arial" w:cs="Arial" w:eastAsia="Arial" w:hAnsi="Arial"/>
          <w:sz w:val="16"/>
          <w:szCs w:val="16"/>
          <w:color w:val="auto"/>
        </w:rPr>
        <w:t xml:space="preserve"> </w:t>
      </w:r>
      <w:r>
        <w:rPr>
          <w:rFonts w:ascii="Arial" w:cs="Arial" w:eastAsia="Arial" w:hAnsi="Arial"/>
          <w:sz w:val="16"/>
          <w:szCs w:val="16"/>
          <w:b w:val="1"/>
          <w:bCs w:val="1"/>
          <w:color w:val="auto"/>
        </w:rPr>
        <w:t>Amendment</w:t>
      </w:r>
      <w:r>
        <w:rPr>
          <w:rFonts w:ascii="Arial" w:cs="Arial" w:eastAsia="Arial" w:hAnsi="Arial"/>
          <w:sz w:val="16"/>
          <w:szCs w:val="16"/>
          <w:color w:val="auto"/>
        </w:rPr>
        <w:t>”), (i) all holders of shares of Series E-2 Preferred Stock shall be entitled to vote such shares of Series E-2 Preferred Stock they may hold in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thereof, and all such shares of Series E-2 Preferred Stock shall be counted, both in the numerator and in the denominator, for purposes of determining whether the consent of the Requisite Holders has been obtained and (ii) all holders of shares of Series F-2 Preferred Stock shall be entitled to vote such shares of Series F-2 Preferred Stock they may hold in respect thereof, and all such shares of Series F-2 Preferred Stock shall be counted, both in the numerator and in the denominator, for purposes of determining whether the consent of the Requisite Holders has been obtained;</w:t>
      </w:r>
    </w:p>
    <w:p>
      <w:pPr>
        <w:spacing w:after="0" w:line="168" w:lineRule="exact"/>
        <w:rPr>
          <w:sz w:val="20"/>
          <w:szCs w:val="20"/>
          <w:color w:val="auto"/>
        </w:rPr>
      </w:pPr>
    </w:p>
    <w:p>
      <w:pPr>
        <w:ind w:right="100" w:firstLine="1432"/>
        <w:spacing w:after="0" w:line="263" w:lineRule="auto"/>
        <w:rPr>
          <w:sz w:val="20"/>
          <w:szCs w:val="20"/>
          <w:color w:val="auto"/>
        </w:rPr>
      </w:pPr>
      <w:r>
        <w:rPr>
          <w:rFonts w:ascii="Arial" w:cs="Arial" w:eastAsia="Arial" w:hAnsi="Arial"/>
          <w:sz w:val="18"/>
          <w:szCs w:val="18"/>
          <w:color w:val="auto"/>
        </w:rPr>
        <w:t>3.3.3 increase or decrease the authorized number of shares of Preferred Stock, Series A Preferred Stock, Series B Preferred Stock, Series B1 Preferred Stock, Series B1-NV Preferred Stock, Series C Preferred Stock, Series D Preferred Stock, Series E-1 Preferred Stock, Series E-2 Preferred Stock, Series F-1 Preferred Stock, Series F-2 Preferred Stock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41" w:name="page342"/>
    <w:bookmarkEnd w:id="341"/>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in the event of any proposed decrease in the authorized number of shares of</w:t>
      </w:r>
    </w:p>
    <w:p>
      <w:pPr>
        <w:spacing w:after="0" w:line="46" w:lineRule="exact"/>
        <w:rPr>
          <w:sz w:val="20"/>
          <w:szCs w:val="20"/>
          <w:color w:val="auto"/>
        </w:rPr>
      </w:pPr>
    </w:p>
    <w:p>
      <w:pPr>
        <w:ind w:left="4" w:right="60" w:hanging="4"/>
        <w:spacing w:after="0" w:line="270" w:lineRule="auto"/>
        <w:tabs>
          <w:tab w:leader="none" w:pos="219" w:val="left"/>
        </w:tabs>
        <w:numPr>
          <w:ilvl w:val="0"/>
          <w:numId w:val="238"/>
        </w:numPr>
        <w:rPr>
          <w:rFonts w:ascii="Arial" w:cs="Arial" w:eastAsia="Arial" w:hAnsi="Arial"/>
          <w:sz w:val="17"/>
          <w:szCs w:val="17"/>
          <w:color w:val="auto"/>
        </w:rPr>
      </w:pPr>
      <w:r>
        <w:rPr>
          <w:rFonts w:ascii="Arial" w:cs="Arial" w:eastAsia="Arial" w:hAnsi="Arial"/>
          <w:sz w:val="17"/>
          <w:szCs w:val="17"/>
          <w:color w:val="auto"/>
        </w:rPr>
        <w:t>Class B Common Stock or Series E-2 Preferred Stock, all holders of shares of Series E-2 Preferred Stock shall be entitled to vote such shares of Series E-2 Preferred Stock they may hold in respect thereof, and all such shares of Series E-2 Preferred Stock shall be counted, both in the numerator and in the denominator, for purposes of determining whether the consent of the Requisite Holders has been obtained, and (ii) Class B Common Stock or Series F-2 Preferred Stock, all holders of shares of Series F-2 Preferred Stock shall be entitled to vote such shares of Series F-2 Preferred Stock they may hold in respect thereof, and all such shares of Series F-2 Preferred Stock shall be counted, both in the numerator and in the denominator, for purposes of determining whether the consent of the Requisite Holders has been obtained;</w:t>
      </w:r>
    </w:p>
    <w:p>
      <w:pPr>
        <w:spacing w:after="0" w:line="178" w:lineRule="exact"/>
        <w:rPr>
          <w:sz w:val="20"/>
          <w:szCs w:val="20"/>
          <w:color w:val="auto"/>
        </w:rPr>
      </w:pPr>
    </w:p>
    <w:p>
      <w:pPr>
        <w:ind w:left="4" w:right="20" w:firstLine="1432"/>
        <w:spacing w:after="0" w:line="283" w:lineRule="auto"/>
        <w:rPr>
          <w:sz w:val="20"/>
          <w:szCs w:val="20"/>
          <w:color w:val="auto"/>
        </w:rPr>
      </w:pPr>
      <w:r>
        <w:rPr>
          <w:rFonts w:ascii="Arial" w:cs="Arial" w:eastAsia="Arial" w:hAnsi="Arial"/>
          <w:sz w:val="16"/>
          <w:szCs w:val="16"/>
          <w:color w:val="auto"/>
        </w:rPr>
        <w:t xml:space="preserve">3.3.4 create, or authorize the creation of, or issue or obligate itself to issue shares of, any additional class or series of capital stock unless the same ranks junior to any series of Preferred Stock with respect to the distribution of assets on the liquidation, dissolution or winding up of the Corporation, the payment of dividends and rights of redemption, or increase the authorized number of shares of Preferred Stock or increase the authorized number of shares of any additional class or series of capital stock unless the same ranks junior to the Preferred Stock with respect to the distribution of assets on the liquidation, dissolution or winding up of the Corporation, the payment of dividends and rights of redemption;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(i) all holders of shares of Series E-2 Preferred Stock shall be entitled to vote such shares of Series E-2 Preferred Stock they may hold in respect thereof, and all such shares of Series E-2 Preferred Stock shall be counted, both in the numerator and in the denominator, for purposes of determining whether the consent of the Requisite Holders has been obtained, in respect of the creation, or authorization to create, or issuance or obligation to issue shares of, any additional class or series of capital stock which ranks senior to the Series E-2 Preferred Stock and</w:t>
      </w:r>
    </w:p>
    <w:p>
      <w:pPr>
        <w:spacing w:after="0" w:line="6" w:lineRule="exact"/>
        <w:rPr>
          <w:sz w:val="20"/>
          <w:szCs w:val="20"/>
          <w:color w:val="auto"/>
        </w:rPr>
      </w:pPr>
    </w:p>
    <w:p>
      <w:pPr>
        <w:ind w:left="4" w:hanging="4"/>
        <w:spacing w:after="0" w:line="273" w:lineRule="auto"/>
        <w:tabs>
          <w:tab w:leader="none" w:pos="269"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all holders of shares of Series F-2 Preferred Stock shall be entitled to vote such shares of Series F-2 Preferred Stock they may hold in respect thereof, and all such shares of Series F-2 Preferred Stock shall be counted, both in the numerator and in the denominator, for purposes of determining whether the consent of the Requisite Holders has been obtained, in respect of the creation, or authorization to create, or issuance or obligation to issue shares of, any additional class or series of capital stock which ranks senior to the Series F-2 Preferred Stock;</w:t>
      </w:r>
    </w:p>
    <w:p>
      <w:pPr>
        <w:spacing w:after="0" w:line="284"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3.3.5</w:t>
      </w:r>
    </w:p>
    <w:p>
      <w:pPr>
        <w:spacing w:after="0" w:line="117" w:lineRule="exact"/>
        <w:rPr>
          <w:sz w:val="20"/>
          <w:szCs w:val="20"/>
          <w:color w:val="auto"/>
        </w:rPr>
      </w:pPr>
    </w:p>
    <w:p>
      <w:pPr>
        <w:ind w:left="4" w:right="60" w:firstLine="1979"/>
        <w:spacing w:after="0" w:line="271" w:lineRule="auto"/>
        <w:tabs>
          <w:tab w:leader="none" w:pos="2366"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(i) reclassify, alter or amend any existing security of the Corporation that is pari passu with the Preferred Stock in respect of the distribution of assets on the liquidation, dissolution or winding up of the Corporation, the payment of dividends or rights of redemption, if such reclassification, alteration or amendment would render such other security senior to any series of Preferred Stock in respect of any such right, preference or privilege, or (ii) reclassify, alter or amend any existing security of the Corporation that is junior to any series of Preferred Stock in respect of the distribution of assets on the liquidation, dissolution or winding up of the Corporation, the payment of dividends or rights of redemption, if such reclassification, alteration or amendment would render such other security senior to the Preferred Stock in respect of any such right, preference or privilege;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foregoing, (i) in respect of any reclassification, alteration or amendment that would render such security senior to the Series E Preferred Stock, all holders of shares of Series E-2 Preferred Stock shall be</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342" w:name="page343"/>
    <w:bookmarkEnd w:id="342"/>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entitled to vote such shares of Series E-2 Preferred Stock they may hold in respect thereof, and all such shares of Series E-2 Preferred Stock shall be counted, both in the numerator and in the denominator, for purposes of determining whether the consent of the Requisite Holders has been obtained, in respect thereof and (ii) in respect of any reclassification, alteration or amendment that would render such security senior to the Series F Preferred Stock, all holders of shares of Series F-2 Preferred Stock shall be entitled to vote such shares of Series F-2 Preferred Stock they may hold in respect thereof, and all such shares of Series F-2 Preferred Stock shall be counted, both in the numerator and in the denominator, for purposes of determining whether the consent of the Requisite Holders has been obtained, in respect thereof; or</w:t>
      </w:r>
    </w:p>
    <w:p>
      <w:pPr>
        <w:spacing w:after="0" w:line="178" w:lineRule="exact"/>
        <w:rPr>
          <w:sz w:val="20"/>
          <w:szCs w:val="20"/>
          <w:color w:val="auto"/>
        </w:rPr>
      </w:pPr>
    </w:p>
    <w:p>
      <w:pPr>
        <w:ind w:right="60" w:firstLine="1979"/>
        <w:spacing w:after="0" w:line="259" w:lineRule="auto"/>
        <w:tabs>
          <w:tab w:leader="none" w:pos="237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reclassify, alter or amend any existing security of the Corporation that is junior to any series of Preferred Stock in respect of the distribution of assets on the liquidation, dissolution or winding up of the Corporation, the payment of dividends or rights of redemption, if such reclassification, alteration or amendment would render such other security pari passu with the Preferred Stock in respect of any such right, preference or privilege;</w:t>
      </w:r>
    </w:p>
    <w:p>
      <w:pPr>
        <w:spacing w:after="0" w:line="187" w:lineRule="exact"/>
        <w:rPr>
          <w:sz w:val="20"/>
          <w:szCs w:val="20"/>
          <w:color w:val="auto"/>
        </w:rPr>
      </w:pPr>
    </w:p>
    <w:p>
      <w:pPr>
        <w:ind w:right="20" w:firstLine="1432"/>
        <w:spacing w:after="0" w:line="253" w:lineRule="auto"/>
        <w:rPr>
          <w:sz w:val="20"/>
          <w:szCs w:val="20"/>
          <w:color w:val="auto"/>
        </w:rPr>
      </w:pPr>
      <w:r>
        <w:rPr>
          <w:rFonts w:ascii="Arial" w:cs="Arial" w:eastAsia="Arial" w:hAnsi="Arial"/>
          <w:sz w:val="18"/>
          <w:szCs w:val="18"/>
          <w:color w:val="auto"/>
        </w:rPr>
        <w:t xml:space="preserve">3.3.6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(including, without limitation, redemptions of shares of Series F Preferred Stock pursuant to </w:t>
      </w:r>
      <w:r>
        <w:rPr>
          <w:rFonts w:ascii="Arial" w:cs="Arial" w:eastAsia="Arial" w:hAnsi="Arial"/>
          <w:sz w:val="18"/>
          <w:szCs w:val="18"/>
          <w:u w:val="single" w:color="auto"/>
          <w:color w:val="auto"/>
        </w:rPr>
        <w:t>Subsection 7.2</w:t>
      </w:r>
      <w:r>
        <w:rPr>
          <w:rFonts w:ascii="Arial" w:cs="Arial" w:eastAsia="Arial" w:hAnsi="Arial"/>
          <w:sz w:val="18"/>
          <w:szCs w:val="18"/>
          <w:color w:val="auto"/>
        </w:rPr>
        <w:t xml:space="preserve"> and/or Series E Preferred Stock pursuant to </w:t>
      </w:r>
      <w:r>
        <w:rPr>
          <w:rFonts w:ascii="Arial" w:cs="Arial" w:eastAsia="Arial" w:hAnsi="Arial"/>
          <w:sz w:val="18"/>
          <w:szCs w:val="18"/>
          <w:u w:val="single" w:color="auto"/>
          <w:color w:val="auto"/>
        </w:rPr>
        <w:t>Subsection 7.3</w:t>
      </w:r>
      <w:r>
        <w:rPr>
          <w:rFonts w:ascii="Arial" w:cs="Arial" w:eastAsia="Arial" w:hAnsi="Arial"/>
          <w:sz w:val="18"/>
          <w:szCs w:val="18"/>
          <w:color w:val="auto"/>
        </w:rPr>
        <w:t xml:space="preserve"> of this Certificate of Incorporation), (ii) dividends or other distributions payable on the Common Stock solely in the form of additional shares of Common Stock, (iii)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 and (iv) the acceptance of shares of Common Stock or Preferred Stock from any Regulated Investor in accordance with a BHCA Tender (as defined in the Investors’ Rights Agreement) (clauses (i) through (iv), collectively, the “</w:t>
      </w:r>
      <w:r>
        <w:rPr>
          <w:rFonts w:ascii="Arial" w:cs="Arial" w:eastAsia="Arial" w:hAnsi="Arial"/>
          <w:sz w:val="18"/>
          <w:szCs w:val="18"/>
          <w:b w:val="1"/>
          <w:b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Transactions</w:t>
      </w:r>
      <w:r>
        <w:rPr>
          <w:rFonts w:ascii="Arial" w:cs="Arial" w:eastAsia="Arial" w:hAnsi="Arial"/>
          <w:sz w:val="18"/>
          <w:szCs w:val="18"/>
          <w:color w:val="auto"/>
        </w:rPr>
        <w:t>”);</w:t>
      </w:r>
    </w:p>
    <w:p>
      <w:pPr>
        <w:spacing w:after="0" w:line="196" w:lineRule="exact"/>
        <w:rPr>
          <w:sz w:val="20"/>
          <w:szCs w:val="20"/>
          <w:color w:val="auto"/>
        </w:rPr>
      </w:pPr>
    </w:p>
    <w:p>
      <w:pPr>
        <w:jc w:val="both"/>
        <w:ind w:right="220" w:firstLine="1432"/>
        <w:spacing w:after="0" w:line="263" w:lineRule="auto"/>
        <w:rPr>
          <w:sz w:val="20"/>
          <w:szCs w:val="20"/>
          <w:color w:val="auto"/>
        </w:rPr>
      </w:pPr>
      <w:r>
        <w:rPr>
          <w:rFonts w:ascii="Arial" w:cs="Arial" w:eastAsia="Arial" w:hAnsi="Arial"/>
          <w:sz w:val="18"/>
          <w:szCs w:val="18"/>
          <w:color w:val="auto"/>
        </w:rPr>
        <w:t>3.3.7 create, or authorize the creation of, or issue, or authorize the issuance of any debt security, or permit any subsidiary to take any such action with respect to any debt security, if the aggregate indebtedness of the Corporation and its subsidiaries for borrowed money following such action would exceed $1,000,000;</w:t>
      </w:r>
    </w:p>
    <w:p>
      <w:pPr>
        <w:spacing w:after="0" w:line="184" w:lineRule="exact"/>
        <w:rPr>
          <w:sz w:val="20"/>
          <w:szCs w:val="20"/>
          <w:color w:val="auto"/>
        </w:rPr>
      </w:pPr>
    </w:p>
    <w:p>
      <w:pPr>
        <w:ind w:right="400" w:firstLine="1432"/>
        <w:spacing w:after="0" w:line="259" w:lineRule="auto"/>
        <w:rPr>
          <w:sz w:val="20"/>
          <w:szCs w:val="20"/>
          <w:color w:val="auto"/>
        </w:rPr>
      </w:pPr>
      <w:r>
        <w:rPr>
          <w:rFonts w:ascii="Arial" w:cs="Arial" w:eastAsia="Arial" w:hAnsi="Arial"/>
          <w:sz w:val="18"/>
          <w:szCs w:val="18"/>
          <w:color w:val="auto"/>
        </w:rPr>
        <w:t>3.3.8 create, or hold capital stock in, any subsidiary that is not wholly owned (either directly or through one or more other subsidiaries) by the Corporation,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187"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3.3.9</w:t>
      </w:r>
      <w:r>
        <w:rPr>
          <w:sz w:val="20"/>
          <w:szCs w:val="20"/>
          <w:color w:val="auto"/>
        </w:rPr>
        <w:tab/>
      </w:r>
      <w:r>
        <w:rPr>
          <w:rFonts w:ascii="Arial" w:cs="Arial" w:eastAsia="Arial" w:hAnsi="Arial"/>
          <w:sz w:val="16"/>
          <w:szCs w:val="16"/>
          <w:color w:val="auto"/>
        </w:rPr>
        <w:t>adopt any new or amend any existing equity incentive plan; or</w:t>
      </w:r>
    </w:p>
    <w:p>
      <w:pPr>
        <w:spacing w:after="0" w:line="225" w:lineRule="exact"/>
        <w:rPr>
          <w:sz w:val="20"/>
          <w:szCs w:val="20"/>
          <w:color w:val="auto"/>
        </w:rPr>
      </w:pPr>
    </w:p>
    <w:p>
      <w:pPr>
        <w:ind w:firstLine="1432"/>
        <w:spacing w:after="0" w:line="277" w:lineRule="auto"/>
        <w:rPr>
          <w:sz w:val="20"/>
          <w:szCs w:val="20"/>
          <w:color w:val="auto"/>
        </w:rPr>
      </w:pPr>
      <w:r>
        <w:rPr>
          <w:rFonts w:ascii="Arial" w:cs="Arial" w:eastAsia="Arial" w:hAnsi="Arial"/>
          <w:sz w:val="18"/>
          <w:szCs w:val="18"/>
          <w:color w:val="auto"/>
        </w:rPr>
        <w:t>3.3.10 increase or decrease the authorized number of directors constituting the Board of Directors or change the method of electing directors to the Board of Directors.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43" w:name="page344"/>
    <w:bookmarkEnd w:id="343"/>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Arial" w:cs="Arial" w:eastAsia="Arial" w:hAnsi="Arial"/>
          <w:sz w:val="17"/>
          <w:szCs w:val="17"/>
          <w:u w:val="single" w:color="auto"/>
          <w:color w:val="auto"/>
        </w:rPr>
        <w:t>Series B1 Preferred Stock Protective Provisions</w:t>
      </w:r>
      <w:r>
        <w:rPr>
          <w:rFonts w:ascii="Arial" w:cs="Arial" w:eastAsia="Arial" w:hAnsi="Arial"/>
          <w:sz w:val="17"/>
          <w:szCs w:val="17"/>
          <w:color w:val="auto"/>
        </w:rPr>
        <w:t xml:space="preserve">. At any time when at least 533,839 shares of Series B1 Preferred Stock (subject to appropriate adjustment in the event of any stock dividend, stock split, combination or other similar recapitalization with respect to the Series B1 Preferred Stock) are outstanding, the Corporation shall not, and shall cause any subsidiary to not, either directly or indirectly by amendment, merger, consolidation or otherwise, do any of the following without (in addition to any other vote required by law or this Certificate of Incorporation) the written consent or affirmative vote of the holders of at least a majority of the then outstanding shares of Series B1 Preferred Stock, voting as a separate class, given in writing or by vote at a meeting, consenting or voting (as the case may be) separately as a single class,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w:t>
      </w:r>
    </w:p>
    <w:p>
      <w:pPr>
        <w:spacing w:after="0" w:line="177" w:lineRule="exact"/>
        <w:rPr>
          <w:sz w:val="20"/>
          <w:szCs w:val="20"/>
          <w:color w:val="auto"/>
        </w:rPr>
      </w:pPr>
    </w:p>
    <w:p>
      <w:pPr>
        <w:ind w:right="60" w:firstLine="1432"/>
        <w:spacing w:after="0" w:line="277" w:lineRule="auto"/>
        <w:rPr>
          <w:sz w:val="20"/>
          <w:szCs w:val="20"/>
          <w:color w:val="auto"/>
        </w:rPr>
      </w:pPr>
      <w:r>
        <w:rPr>
          <w:rFonts w:ascii="Arial" w:cs="Arial" w:eastAsia="Arial" w:hAnsi="Arial"/>
          <w:sz w:val="18"/>
          <w:szCs w:val="18"/>
          <w:color w:val="auto"/>
        </w:rPr>
        <w:t>3.4.1 amend or waive the amounts payable to holders of Series B1 Preferred Stock or Series B1-NV Preferred Stock in connection with a Deemed Liquidation Event (including any amounts in respect of any accrued but unpaid dividends);</w:t>
      </w:r>
    </w:p>
    <w:p>
      <w:pPr>
        <w:spacing w:after="0" w:line="170" w:lineRule="exact"/>
        <w:rPr>
          <w:sz w:val="20"/>
          <w:szCs w:val="20"/>
          <w:color w:val="auto"/>
        </w:rPr>
      </w:pPr>
    </w:p>
    <w:p>
      <w:pPr>
        <w:ind w:right="140" w:firstLine="1432"/>
        <w:spacing w:after="0" w:line="255" w:lineRule="auto"/>
        <w:rPr>
          <w:sz w:val="20"/>
          <w:szCs w:val="20"/>
          <w:color w:val="auto"/>
        </w:rPr>
      </w:pPr>
      <w:r>
        <w:rPr>
          <w:rFonts w:ascii="Arial" w:cs="Arial" w:eastAsia="Arial" w:hAnsi="Arial"/>
          <w:sz w:val="18"/>
          <w:szCs w:val="18"/>
          <w:color w:val="auto"/>
        </w:rPr>
        <w:t>3.4.2 amend, alter or repeal any provision of this Certificate of Incorporation in a manner that adversely affects any powers, preferences or rights of the Series B1 Preferred Stock or Series B1-NV Preferred Stock in a manner that is disproportionately adverse relative to the effect on any other series of Preferred Stock (it being understood that the issuance and sale by the Corporation in a bona fide capital raising transaction of a new series of capital stock with powers, preferences or rights senior to, on parity with or junior to the Series B1 Preferred Stock or Series B1-NV Preferred Stock shall not constitute an alteration or change of the powers, preferences or rights of the Series B1 Preferred Stock or Series B1 -NV Preferred Stock for this purpose);</w:t>
      </w:r>
    </w:p>
    <w:p>
      <w:pPr>
        <w:spacing w:after="0" w:line="192"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6"/>
          <w:szCs w:val="16"/>
          <w:color w:val="auto"/>
        </w:rPr>
        <w:t>increase the authorized number of shares of Series B1 Preferred Stock or Series B1-NV Preferred Stock; or</w:t>
      </w:r>
    </w:p>
    <w:p>
      <w:pPr>
        <w:spacing w:after="0" w:line="225" w:lineRule="exact"/>
        <w:rPr>
          <w:sz w:val="20"/>
          <w:szCs w:val="20"/>
          <w:color w:val="auto"/>
        </w:rPr>
      </w:pPr>
    </w:p>
    <w:p>
      <w:pPr>
        <w:ind w:right="20" w:firstLine="1432"/>
        <w:spacing w:after="0" w:line="277" w:lineRule="auto"/>
        <w:rPr>
          <w:sz w:val="20"/>
          <w:szCs w:val="20"/>
          <w:color w:val="auto"/>
        </w:rPr>
      </w:pPr>
      <w:r>
        <w:rPr>
          <w:rFonts w:ascii="Arial" w:cs="Arial" w:eastAsia="Arial" w:hAnsi="Arial"/>
          <w:sz w:val="18"/>
          <w:szCs w:val="18"/>
          <w:color w:val="auto"/>
        </w:rPr>
        <w:t>3.4.4 purchase or redeem (or permit any subsidiary to purchase or redeem) or pay or declare any dividend or make any distribution on, any shares of capital stock of the Corporation, other than any Permitted Transaction.</w:t>
      </w:r>
    </w:p>
    <w:p>
      <w:pPr>
        <w:spacing w:after="0" w:line="170"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Series C Preferred Stock Protective Provisions</w:t>
      </w:r>
      <w:r>
        <w:rPr>
          <w:rFonts w:ascii="Arial" w:cs="Arial" w:eastAsia="Arial" w:hAnsi="Arial"/>
          <w:sz w:val="18"/>
          <w:szCs w:val="18"/>
          <w:color w:val="auto"/>
        </w:rPr>
        <w:t xml:space="preserve">. At any time when at least 953,099 shares of Series C Preferred Stock (subject to appropriate adjustment in the event of any stock dividend, stock split, combination or other similar recapitalization with respect to the Series C Preferred Stock) are outstanding, the Corporation shall not, and shall cause any subsidiary to not, either directly or indirectly by amendment, merger, consolidation or otherwise, do any of the following without (in addition to any other vote required by law or this Certificate of Incorporation) the written consent or affirmative vote of the Requisite Series C Holders, voting as a separate class, given in writing or by vote at a meeting, consenting or voting (as the case may be) separately as a single class,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195" w:lineRule="exact"/>
        <w:rPr>
          <w:sz w:val="20"/>
          <w:szCs w:val="20"/>
          <w:color w:val="auto"/>
        </w:rPr>
      </w:pPr>
    </w:p>
    <w:p>
      <w:pPr>
        <w:ind w:right="80" w:firstLine="1432"/>
        <w:spacing w:after="0" w:line="277" w:lineRule="auto"/>
        <w:rPr>
          <w:sz w:val="20"/>
          <w:szCs w:val="20"/>
          <w:color w:val="auto"/>
        </w:rPr>
      </w:pPr>
      <w:r>
        <w:rPr>
          <w:rFonts w:ascii="Arial" w:cs="Arial" w:eastAsia="Arial" w:hAnsi="Arial"/>
          <w:sz w:val="18"/>
          <w:szCs w:val="18"/>
          <w:color w:val="auto"/>
        </w:rPr>
        <w:t>3.5.1 amend or waive the amounts payable to holders of Series C Preferred Stock in connection with a Deemed Liquidation Event (including any amounts in respect of any accrued but unpaid dividends);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44" w:name="page345"/>
    <w:bookmarkEnd w:id="344"/>
    <w:p>
      <w:pPr>
        <w:ind w:right="20" w:firstLine="1432"/>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3.5.2 amend, alter or repeal any provision of this Certificate of Incorporation in a manner that adversely affects any powers, preferences or rights of the Series C Preferred Stock in a manner that is disproportionately adverse relative to the effect on any other series of Preferred Stock (it being understood that (x) the issuance and sale by the Corporation in a bona fide capital raising transaction of a new series of capital stock with powers, preferences or rights senior to, on parity with or junior to the Series C Preferred Stock shall not constitute an alteration or change of the powers, preferences or rights of the Series C Preferred Stock for this purpose and (y) any modification to the terms of this </w:t>
      </w:r>
      <w:r>
        <w:rPr>
          <w:rFonts w:ascii="Arial" w:cs="Arial" w:eastAsia="Arial" w:hAnsi="Arial"/>
          <w:sz w:val="17"/>
          <w:szCs w:val="17"/>
          <w:u w:val="single" w:color="auto"/>
          <w:color w:val="auto"/>
        </w:rPr>
        <w:t>Subsection 3.5</w:t>
      </w:r>
      <w:r>
        <w:rPr>
          <w:rFonts w:ascii="Arial" w:cs="Arial" w:eastAsia="Arial" w:hAnsi="Arial"/>
          <w:sz w:val="17"/>
          <w:szCs w:val="17"/>
          <w:color w:val="auto"/>
        </w:rPr>
        <w:t xml:space="preserve"> shall constitute an alteration or change of the powers, preferences or rights of the Series C Preferred Stock for this purpose);</w:t>
      </w:r>
    </w:p>
    <w:p>
      <w:pPr>
        <w:spacing w:after="0" w:line="178"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6"/>
          <w:szCs w:val="16"/>
          <w:color w:val="auto"/>
        </w:rPr>
        <w:t>increase the authorized number of shares of Series C Preferred Stock; or</w:t>
      </w:r>
    </w:p>
    <w:p>
      <w:pPr>
        <w:spacing w:after="0" w:line="225" w:lineRule="exact"/>
        <w:rPr>
          <w:sz w:val="20"/>
          <w:szCs w:val="20"/>
          <w:color w:val="auto"/>
        </w:rPr>
      </w:pPr>
    </w:p>
    <w:p>
      <w:pPr>
        <w:ind w:right="20" w:firstLine="1432"/>
        <w:spacing w:after="0" w:line="277" w:lineRule="auto"/>
        <w:rPr>
          <w:sz w:val="20"/>
          <w:szCs w:val="20"/>
          <w:color w:val="auto"/>
        </w:rPr>
      </w:pPr>
      <w:r>
        <w:rPr>
          <w:rFonts w:ascii="Arial" w:cs="Arial" w:eastAsia="Arial" w:hAnsi="Arial"/>
          <w:sz w:val="18"/>
          <w:szCs w:val="18"/>
          <w:color w:val="auto"/>
        </w:rPr>
        <w:t>3.5.4 purchase or redeem (or permit any subsidiary to purchase or redeem) or pay or declare any dividend or make any distribution on, any shares of capital stock of the Corporation, other than any Permitted Transaction.</w:t>
      </w:r>
    </w:p>
    <w:p>
      <w:pPr>
        <w:spacing w:after="0" w:line="170"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Series D Preferred Stock Protective Provisions</w:t>
      </w:r>
      <w:r>
        <w:rPr>
          <w:rFonts w:ascii="Arial" w:cs="Arial" w:eastAsia="Arial" w:hAnsi="Arial"/>
          <w:sz w:val="17"/>
          <w:szCs w:val="17"/>
          <w:color w:val="auto"/>
        </w:rPr>
        <w:t>. At any time when at least 441,667 shares of Series D Preferred Stock (subject to appropriate adjustment in the event of any stock dividend, stock split, combination or other similar recapitalization with respect to the Series D Preferred Stock) are outstanding, the Corporation shall not, and shall cause any subsidiary to not, either directly or indirectly by amendment, merger, consolidation or otherwise, do any of the following without (in addition to any other vote required by law or this Certificate of Incorporation) the written consent or affirmative vote of the holders of a majority of the then outstanding shares of Series D Preferred Stock (the “</w:t>
      </w:r>
      <w:r>
        <w:rPr>
          <w:rFonts w:ascii="Arial" w:cs="Arial" w:eastAsia="Arial" w:hAnsi="Arial"/>
          <w:sz w:val="17"/>
          <w:szCs w:val="17"/>
          <w:b w:val="1"/>
          <w:bCs w:val="1"/>
          <w:color w:val="auto"/>
        </w:rPr>
        <w:t>Requisite Series D Holders</w:t>
      </w:r>
      <w:r>
        <w:rPr>
          <w:rFonts w:ascii="Arial" w:cs="Arial" w:eastAsia="Arial" w:hAnsi="Arial"/>
          <w:sz w:val="17"/>
          <w:szCs w:val="17"/>
          <w:color w:val="auto"/>
        </w:rPr>
        <w:t xml:space="preserve">”), voting as a separate class, given in writing or by vote at a meeting, consenting or voting (as the case may be) separately as a single class,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w:t>
      </w:r>
    </w:p>
    <w:p>
      <w:pPr>
        <w:spacing w:after="0" w:line="177" w:lineRule="exact"/>
        <w:rPr>
          <w:sz w:val="20"/>
          <w:szCs w:val="20"/>
          <w:color w:val="auto"/>
        </w:rPr>
      </w:pPr>
    </w:p>
    <w:p>
      <w:pPr>
        <w:ind w:right="80" w:firstLine="1432"/>
        <w:spacing w:after="0" w:line="277" w:lineRule="auto"/>
        <w:rPr>
          <w:sz w:val="20"/>
          <w:szCs w:val="20"/>
          <w:color w:val="auto"/>
        </w:rPr>
      </w:pPr>
      <w:r>
        <w:rPr>
          <w:rFonts w:ascii="Arial" w:cs="Arial" w:eastAsia="Arial" w:hAnsi="Arial"/>
          <w:sz w:val="18"/>
          <w:szCs w:val="18"/>
          <w:color w:val="auto"/>
        </w:rPr>
        <w:t>3.6.1 amend or waive the amounts payable to holders of Series D Preferred Stock in connection with a Deemed Liquidation Event (including any amounts in respect of any declared but unpaid dividends);</w:t>
      </w:r>
    </w:p>
    <w:p>
      <w:pPr>
        <w:spacing w:after="0" w:line="170" w:lineRule="exact"/>
        <w:rPr>
          <w:sz w:val="20"/>
          <w:szCs w:val="20"/>
          <w:color w:val="auto"/>
        </w:rPr>
      </w:pPr>
    </w:p>
    <w:p>
      <w:pPr>
        <w:ind w:right="180" w:firstLine="1432"/>
        <w:spacing w:after="0" w:line="273" w:lineRule="auto"/>
        <w:rPr>
          <w:sz w:val="20"/>
          <w:szCs w:val="20"/>
          <w:color w:val="auto"/>
        </w:rPr>
      </w:pPr>
      <w:r>
        <w:rPr>
          <w:rFonts w:ascii="Arial" w:cs="Arial" w:eastAsia="Arial" w:hAnsi="Arial"/>
          <w:sz w:val="17"/>
          <w:szCs w:val="17"/>
          <w:color w:val="auto"/>
        </w:rPr>
        <w:t xml:space="preserve">3.6.2 amend, alter or repeal any provision of this Certificate of Incorporation or the Bylaws of the Corporation in a manner that adversely affects any powers, preferences or rights of the Series D Preferred Stock in a manner that is adverse to the Series D Preferred Stock (it being understood that (x) the issuance and sale by the Corporation in a bona fide capital raising transaction of a new series of capital stock with powers, preferences or rights senior to, on parity with or junior to the Series D Preferred Stock shall not constitute an alteration or change of the powers, preferences or rights of the Series D Preferred Stock for this purpose and (y) any modification to the terms of this </w:t>
      </w:r>
      <w:r>
        <w:rPr>
          <w:rFonts w:ascii="Arial" w:cs="Arial" w:eastAsia="Arial" w:hAnsi="Arial"/>
          <w:sz w:val="17"/>
          <w:szCs w:val="17"/>
          <w:u w:val="single" w:color="auto"/>
          <w:color w:val="auto"/>
        </w:rPr>
        <w:t>Subsection 3.6</w:t>
      </w:r>
      <w:r>
        <w:rPr>
          <w:rFonts w:ascii="Arial" w:cs="Arial" w:eastAsia="Arial" w:hAnsi="Arial"/>
          <w:sz w:val="17"/>
          <w:szCs w:val="17"/>
          <w:color w:val="auto"/>
        </w:rPr>
        <w:t xml:space="preserve"> shall constitute an alteration or change of the powers, preferences or rights of the Series D Preferred Stock for this purpose);</w:t>
      </w:r>
    </w:p>
    <w:p>
      <w:pPr>
        <w:spacing w:after="0" w:line="178"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color w:val="auto"/>
        </w:rPr>
        <w:t>increase the authorized number of shares of Series D Preferred Stock; or</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45" w:name="page346"/>
    <w:bookmarkEnd w:id="345"/>
    <w:p>
      <w:pPr>
        <w:ind w:right="20" w:firstLine="143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3.6.4 purchase or redeem (or permit any subsidiary to purchase or redeem) or pay or declare any dividend or make any distribution on, any shares of capital stock of the Corporation, other than any Permitted Transaction.</w:t>
      </w:r>
    </w:p>
    <w:p>
      <w:pPr>
        <w:spacing w:after="0" w:line="170"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Series E Preferred Stock Protective Provisions</w:t>
      </w:r>
      <w:r>
        <w:rPr>
          <w:rFonts w:ascii="Arial" w:cs="Arial" w:eastAsia="Arial" w:hAnsi="Arial"/>
          <w:sz w:val="16"/>
          <w:szCs w:val="16"/>
          <w:color w:val="auto"/>
        </w:rPr>
        <w:t>. At any time when at least 936,660 shares of Series E Preferred Stock (subject to appropriate adjustment in the event of any stock dividend, stock split, combination or other similar recapitalization with respect to the Series E Preferred Stock) are outstanding, the Corporation shall not, and shall cause any subsidiary to not, either directly or indirectly by amendment, merger, consolidation or otherwise, do any of the following without (in addition to any other vote required by law or this Certificate of Incorporation) the written consent or affirmative vote of the holders of a majority of the then outstanding shares of Series E-1 Preferred Stock (the “</w:t>
      </w:r>
      <w:r>
        <w:rPr>
          <w:rFonts w:ascii="Arial" w:cs="Arial" w:eastAsia="Arial" w:hAnsi="Arial"/>
          <w:sz w:val="16"/>
          <w:szCs w:val="16"/>
          <w:b w:val="1"/>
          <w:bCs w:val="1"/>
          <w:color w:val="auto"/>
        </w:rPr>
        <w:t>Requisite Series E Holders</w:t>
      </w:r>
      <w:r>
        <w:rPr>
          <w:rFonts w:ascii="Arial" w:cs="Arial" w:eastAsia="Arial" w:hAnsi="Arial"/>
          <w:sz w:val="16"/>
          <w:szCs w:val="16"/>
          <w:color w:val="auto"/>
        </w:rPr>
        <w:t xml:space="preserve">”), voting as a separate class, given in writing or by vote at a meeting, consenting or voting (as the case may be) separately as a single class,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of no force or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all holders of shares of Series E-2 Preferred Stock shall be entitled to vote such shares of Series E-2 Preferred Stock they may hold in the cases of </w:t>
      </w:r>
      <w:r>
        <w:rPr>
          <w:rFonts w:ascii="Arial" w:cs="Arial" w:eastAsia="Arial" w:hAnsi="Arial"/>
          <w:sz w:val="16"/>
          <w:szCs w:val="16"/>
          <w:u w:val="single" w:color="auto"/>
          <w:color w:val="auto"/>
        </w:rPr>
        <w:t>Subsection 3.7.1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3.7.2</w:t>
      </w:r>
      <w:r>
        <w:rPr>
          <w:rFonts w:ascii="Arial" w:cs="Arial" w:eastAsia="Arial" w:hAnsi="Arial"/>
          <w:sz w:val="16"/>
          <w:szCs w:val="16"/>
          <w:color w:val="auto"/>
        </w:rPr>
        <w:t xml:space="preserve"> (solely in the event such amendment, alteration, waiver or repeal under </w:t>
      </w:r>
      <w:r>
        <w:rPr>
          <w:rFonts w:ascii="Arial" w:cs="Arial" w:eastAsia="Arial" w:hAnsi="Arial"/>
          <w:sz w:val="16"/>
          <w:szCs w:val="16"/>
          <w:u w:val="single" w:color="auto"/>
          <w:color w:val="auto"/>
        </w:rPr>
        <w:t>Subsection 3.7.2</w:t>
      </w:r>
      <w:r>
        <w:rPr>
          <w:rFonts w:ascii="Arial" w:cs="Arial" w:eastAsia="Arial" w:hAnsi="Arial"/>
          <w:sz w:val="16"/>
          <w:szCs w:val="16"/>
          <w:color w:val="auto"/>
        </w:rPr>
        <w:t xml:space="preserve"> is a Regulated Investor Amendment), and all such outstanding shares of Series E-2 Preferred Stock shall be entitled to vote thereon and shall be counted, both in the numerator and in the denominator, for purposes of determining whether the consent of the Requisite Series E Holders has been obtained:</w:t>
      </w:r>
    </w:p>
    <w:p>
      <w:pPr>
        <w:spacing w:after="0" w:line="172" w:lineRule="exact"/>
        <w:rPr>
          <w:sz w:val="20"/>
          <w:szCs w:val="20"/>
          <w:color w:val="auto"/>
        </w:rPr>
      </w:pPr>
    </w:p>
    <w:p>
      <w:pPr>
        <w:ind w:right="100" w:firstLine="1432"/>
        <w:spacing w:after="0" w:line="277" w:lineRule="auto"/>
        <w:rPr>
          <w:sz w:val="20"/>
          <w:szCs w:val="20"/>
          <w:color w:val="auto"/>
        </w:rPr>
      </w:pPr>
      <w:r>
        <w:rPr>
          <w:rFonts w:ascii="Arial" w:cs="Arial" w:eastAsia="Arial" w:hAnsi="Arial"/>
          <w:sz w:val="18"/>
          <w:szCs w:val="18"/>
          <w:color w:val="auto"/>
        </w:rPr>
        <w:t>3.7.1 amend or waive the amounts payable to holders of Series E Preferred Stock in connection with a Deemed Liquidation Event (including any amounts in respect of any declared but unpaid dividends);</w:t>
      </w:r>
    </w:p>
    <w:p>
      <w:pPr>
        <w:spacing w:after="0" w:line="170" w:lineRule="exact"/>
        <w:rPr>
          <w:sz w:val="20"/>
          <w:szCs w:val="20"/>
          <w:color w:val="auto"/>
        </w:rPr>
      </w:pPr>
    </w:p>
    <w:p>
      <w:pPr>
        <w:ind w:right="80" w:firstLine="1432"/>
        <w:spacing w:after="0" w:line="273" w:lineRule="auto"/>
        <w:rPr>
          <w:sz w:val="20"/>
          <w:szCs w:val="20"/>
          <w:color w:val="auto"/>
        </w:rPr>
      </w:pPr>
      <w:r>
        <w:rPr>
          <w:rFonts w:ascii="Arial" w:cs="Arial" w:eastAsia="Arial" w:hAnsi="Arial"/>
          <w:sz w:val="17"/>
          <w:szCs w:val="17"/>
          <w:color w:val="auto"/>
        </w:rPr>
        <w:t xml:space="preserve">3.7.2 amend, alter, waive or repeal any provision of this Certificate of Incorporation or the Bylaws of the Corporation in a manner that adversely affects any powers, preferences or rights of the Series E Preferred Stock in a manner that is adverse to the Series E Preferred Stock (it being understood that (x) the issuance and sale by the Corporation in a bona fide capital raising transaction of a new series of capital stock with powers, preferences or rights senior to, on parity with or junior to the Series E Preferred Stock shall not constitute an alteration or change of the powers, preferences or rights of the Series E Preferred Stock for this purpose and (y) any modification to the terms of this </w:t>
      </w:r>
      <w:r>
        <w:rPr>
          <w:rFonts w:ascii="Arial" w:cs="Arial" w:eastAsia="Arial" w:hAnsi="Arial"/>
          <w:sz w:val="17"/>
          <w:szCs w:val="17"/>
          <w:u w:val="single" w:color="auto"/>
          <w:color w:val="auto"/>
        </w:rPr>
        <w:t>Subsection 3.7</w:t>
      </w:r>
      <w:r>
        <w:rPr>
          <w:rFonts w:ascii="Arial" w:cs="Arial" w:eastAsia="Arial" w:hAnsi="Arial"/>
          <w:sz w:val="17"/>
          <w:szCs w:val="17"/>
          <w:color w:val="auto"/>
        </w:rPr>
        <w:t xml:space="preserve"> shall constitute an alteration or change of the powers, preferences or rights of the Series E Preferred Stock for this purpose);</w:t>
      </w:r>
    </w:p>
    <w:p>
      <w:pPr>
        <w:spacing w:after="0" w:line="178"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3.7.3</w:t>
      </w:r>
      <w:r>
        <w:rPr>
          <w:sz w:val="20"/>
          <w:szCs w:val="20"/>
          <w:color w:val="auto"/>
        </w:rPr>
        <w:tab/>
      </w:r>
      <w:r>
        <w:rPr>
          <w:rFonts w:ascii="Arial" w:cs="Arial" w:eastAsia="Arial" w:hAnsi="Arial"/>
          <w:sz w:val="16"/>
          <w:szCs w:val="16"/>
          <w:color w:val="auto"/>
        </w:rPr>
        <w:t>increase the authorized number of shares of Series E-1 Preferred Stock or Series E-2 Preferred Stock; or</w:t>
      </w:r>
    </w:p>
    <w:p>
      <w:pPr>
        <w:spacing w:after="0" w:line="225" w:lineRule="exact"/>
        <w:rPr>
          <w:sz w:val="20"/>
          <w:szCs w:val="20"/>
          <w:color w:val="auto"/>
        </w:rPr>
      </w:pPr>
    </w:p>
    <w:p>
      <w:pPr>
        <w:ind w:right="20" w:firstLine="1432"/>
        <w:spacing w:after="0" w:line="277" w:lineRule="auto"/>
        <w:rPr>
          <w:sz w:val="20"/>
          <w:szCs w:val="20"/>
          <w:color w:val="auto"/>
        </w:rPr>
      </w:pPr>
      <w:r>
        <w:rPr>
          <w:rFonts w:ascii="Arial" w:cs="Arial" w:eastAsia="Arial" w:hAnsi="Arial"/>
          <w:sz w:val="18"/>
          <w:szCs w:val="18"/>
          <w:color w:val="auto"/>
        </w:rPr>
        <w:t>3.7.4 purchase or redeem (or permit any subsidiary to purchase or redeem) or pay or declare any dividend or make any distribution on, any shares of capital stock of the Corporation, other than any Permitted Transaction.</w:t>
      </w:r>
    </w:p>
    <w:p>
      <w:pPr>
        <w:spacing w:after="0" w:line="170"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Series F Preferred Stock Protective Provisions</w:t>
      </w:r>
      <w:r>
        <w:rPr>
          <w:rFonts w:ascii="Arial" w:cs="Arial" w:eastAsia="Arial" w:hAnsi="Arial"/>
          <w:sz w:val="18"/>
          <w:szCs w:val="18"/>
          <w:color w:val="auto"/>
        </w:rPr>
        <w:t>. At any time when at least 214,328 shares of Series F Preferred Stock (subject to appropriate adjustment in the event of any stock dividend, stock split, combination or other similar recapitalization with respect to the Series F Preferred Stock) are outstanding, the Corporation shall not, and shall cause any subsidiary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46" w:name="page347"/>
    <w:bookmarkEnd w:id="34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not, either directly or indirectly by amendment, merger, consolidation or otherwise, do any of the following without (in addition to any other vote required by law or this Certificate of Incorporation) the written consent or affirmative vote of the holders of a majority of the then outstanding shares of Series F-1 Preferred Stock (the “</w:t>
      </w:r>
      <w:r>
        <w:rPr>
          <w:rFonts w:ascii="Arial" w:cs="Arial" w:eastAsia="Arial" w:hAnsi="Arial"/>
          <w:sz w:val="17"/>
          <w:szCs w:val="17"/>
          <w:b w:val="1"/>
          <w:bCs w:val="1"/>
          <w:color w:val="auto"/>
        </w:rPr>
        <w:t>Requisite Series F Holders</w:t>
      </w:r>
      <w:r>
        <w:rPr>
          <w:rFonts w:ascii="Arial" w:cs="Arial" w:eastAsia="Arial" w:hAnsi="Arial"/>
          <w:sz w:val="17"/>
          <w:szCs w:val="17"/>
          <w:color w:val="auto"/>
        </w:rPr>
        <w:t xml:space="preserve">”), voting as a separate class, given in writing or by vote at a meeting, consenting or voting (as the case may be) separately as a single class, and any such act or transaction entered into without such consent or vote shall be null and void </w:t>
      </w:r>
      <w:r>
        <w:rPr>
          <w:rFonts w:ascii="Arial" w:cs="Arial" w:eastAsia="Arial" w:hAnsi="Arial"/>
          <w:sz w:val="17"/>
          <w:szCs w:val="17"/>
          <w:i w:val="1"/>
          <w:iCs w:val="1"/>
          <w:color w:val="auto"/>
        </w:rPr>
        <w:t>ab</w:t>
      </w:r>
      <w:r>
        <w:rPr>
          <w:rFonts w:ascii="Arial" w:cs="Arial" w:eastAsia="Arial" w:hAnsi="Arial"/>
          <w:sz w:val="17"/>
          <w:szCs w:val="17"/>
          <w:color w:val="auto"/>
        </w:rPr>
        <w:t xml:space="preserve"> </w:t>
      </w:r>
      <w:r>
        <w:rPr>
          <w:rFonts w:ascii="Arial" w:cs="Arial" w:eastAsia="Arial" w:hAnsi="Arial"/>
          <w:sz w:val="17"/>
          <w:szCs w:val="17"/>
          <w:i w:val="1"/>
          <w:iCs w:val="1"/>
          <w:color w:val="auto"/>
        </w:rPr>
        <w:t>initio</w:t>
      </w:r>
      <w:r>
        <w:rPr>
          <w:rFonts w:ascii="Arial" w:cs="Arial" w:eastAsia="Arial" w:hAnsi="Arial"/>
          <w:sz w:val="17"/>
          <w:szCs w:val="17"/>
          <w:color w:val="auto"/>
        </w:rPr>
        <w:t>, and of no force or effect;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all holders of shares of Series F-2 Preferred Stock shall be entitled to vote such shares of Series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F-2 Preferred Stock they may hold in the cases of </w:t>
      </w:r>
      <w:r>
        <w:rPr>
          <w:rFonts w:ascii="Arial" w:cs="Arial" w:eastAsia="Arial" w:hAnsi="Arial"/>
          <w:sz w:val="17"/>
          <w:szCs w:val="17"/>
          <w:u w:val="single" w:color="auto"/>
          <w:color w:val="auto"/>
        </w:rPr>
        <w:t>Subsection 3.8.1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3.8.2</w:t>
      </w:r>
      <w:r>
        <w:rPr>
          <w:rFonts w:ascii="Arial" w:cs="Arial" w:eastAsia="Arial" w:hAnsi="Arial"/>
          <w:sz w:val="17"/>
          <w:szCs w:val="17"/>
          <w:color w:val="auto"/>
        </w:rPr>
        <w:t xml:space="preserve"> (solely in the event such amendment, alteration, waiver or repeal under </w:t>
      </w:r>
      <w:r>
        <w:rPr>
          <w:rFonts w:ascii="Arial" w:cs="Arial" w:eastAsia="Arial" w:hAnsi="Arial"/>
          <w:sz w:val="17"/>
          <w:szCs w:val="17"/>
          <w:u w:val="single" w:color="auto"/>
          <w:color w:val="auto"/>
        </w:rPr>
        <w:t>Subsection 3.8.2</w:t>
      </w:r>
      <w:r>
        <w:rPr>
          <w:rFonts w:ascii="Arial" w:cs="Arial" w:eastAsia="Arial" w:hAnsi="Arial"/>
          <w:sz w:val="17"/>
          <w:szCs w:val="17"/>
          <w:color w:val="auto"/>
        </w:rPr>
        <w:t xml:space="preserve"> is a Regulated Investor Amendment), and all such outstanding shares of Series F-2 Preferred Stock shall be entitled to vote thereon and shall be counted, both in the numerator and in the denominator, for purposes of determining whether the consent of the Requisite Series F Holders has been obtained:</w:t>
      </w:r>
    </w:p>
    <w:p>
      <w:pPr>
        <w:spacing w:after="0" w:line="181" w:lineRule="exact"/>
        <w:rPr>
          <w:sz w:val="20"/>
          <w:szCs w:val="20"/>
          <w:color w:val="auto"/>
        </w:rPr>
      </w:pPr>
    </w:p>
    <w:p>
      <w:pPr>
        <w:ind w:right="100" w:firstLine="1432"/>
        <w:spacing w:after="0" w:line="277" w:lineRule="auto"/>
        <w:rPr>
          <w:sz w:val="20"/>
          <w:szCs w:val="20"/>
          <w:color w:val="auto"/>
        </w:rPr>
      </w:pPr>
      <w:r>
        <w:rPr>
          <w:rFonts w:ascii="Arial" w:cs="Arial" w:eastAsia="Arial" w:hAnsi="Arial"/>
          <w:sz w:val="18"/>
          <w:szCs w:val="18"/>
          <w:color w:val="auto"/>
        </w:rPr>
        <w:t>3.8.1 amend or waive the amounts payable to holders of Series F Preferred Stock in connection with a Deemed Liquidation Event (including any amounts in respect of any declared but unpaid dividends);</w:t>
      </w:r>
    </w:p>
    <w:p>
      <w:pPr>
        <w:spacing w:after="0" w:line="170" w:lineRule="exact"/>
        <w:rPr>
          <w:sz w:val="20"/>
          <w:szCs w:val="20"/>
          <w:color w:val="auto"/>
        </w:rPr>
      </w:pPr>
    </w:p>
    <w:p>
      <w:pPr>
        <w:ind w:right="80" w:firstLine="1432"/>
        <w:spacing w:after="0" w:line="273" w:lineRule="auto"/>
        <w:rPr>
          <w:sz w:val="20"/>
          <w:szCs w:val="20"/>
          <w:color w:val="auto"/>
        </w:rPr>
      </w:pPr>
      <w:r>
        <w:rPr>
          <w:rFonts w:ascii="Arial" w:cs="Arial" w:eastAsia="Arial" w:hAnsi="Arial"/>
          <w:sz w:val="17"/>
          <w:szCs w:val="17"/>
          <w:color w:val="auto"/>
        </w:rPr>
        <w:t xml:space="preserve">3.8.2 amend, alter, waive or repeal any provision of this Certificate of Incorporation or the Bylaws of the Corporation in a manner that adversely affects any powers, preferences or rights of the Series F Preferred Stock in a manner that is adverse to the Series F Preferred Stock (it being understood that (x) the issuance and sale by the Corporation in a bona fide capital raising transaction of a new series of capital stock with powers, preferences or rights senior to, on parity with or junior to the Series F Preferred Stock shall not constitute an alteration or change of the powers, preferences or rights of the Series F Preferred Stock for this purpose and (y) any modification to the terms of this </w:t>
      </w:r>
      <w:r>
        <w:rPr>
          <w:rFonts w:ascii="Arial" w:cs="Arial" w:eastAsia="Arial" w:hAnsi="Arial"/>
          <w:sz w:val="17"/>
          <w:szCs w:val="17"/>
          <w:u w:val="single" w:color="auto"/>
          <w:color w:val="auto"/>
        </w:rPr>
        <w:t>Subsection 3.8</w:t>
      </w:r>
      <w:r>
        <w:rPr>
          <w:rFonts w:ascii="Arial" w:cs="Arial" w:eastAsia="Arial" w:hAnsi="Arial"/>
          <w:sz w:val="17"/>
          <w:szCs w:val="17"/>
          <w:color w:val="auto"/>
        </w:rPr>
        <w:t xml:space="preserve"> shall constitute an alteration or change of the powers, preferences or rights of the Series F Preferred Stock for this purpose);</w:t>
      </w:r>
    </w:p>
    <w:p>
      <w:pPr>
        <w:spacing w:after="0" w:line="178"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6"/>
          <w:szCs w:val="16"/>
          <w:color w:val="auto"/>
        </w:rPr>
        <w:t>increase the authorized number of shares of Series F-1 Preferred Stock or Series F-2 Preferred Stock; or</w:t>
      </w:r>
    </w:p>
    <w:p>
      <w:pPr>
        <w:spacing w:after="0" w:line="225" w:lineRule="exact"/>
        <w:rPr>
          <w:sz w:val="20"/>
          <w:szCs w:val="20"/>
          <w:color w:val="auto"/>
        </w:rPr>
      </w:pPr>
    </w:p>
    <w:p>
      <w:pPr>
        <w:ind w:right="20" w:firstLine="1432"/>
        <w:spacing w:after="0" w:line="277" w:lineRule="auto"/>
        <w:rPr>
          <w:sz w:val="20"/>
          <w:szCs w:val="20"/>
          <w:color w:val="auto"/>
        </w:rPr>
      </w:pPr>
      <w:r>
        <w:rPr>
          <w:rFonts w:ascii="Arial" w:cs="Arial" w:eastAsia="Arial" w:hAnsi="Arial"/>
          <w:sz w:val="18"/>
          <w:szCs w:val="18"/>
          <w:color w:val="auto"/>
        </w:rPr>
        <w:t>3.8.4 purchase or redeem (or permit any subsidiary to purchase or redeem) or pay or declare any dividend or make any distribution on, any shares of capital stock of the Corporation, other than any Permitted Transaction.</w:t>
      </w:r>
    </w:p>
    <w:p>
      <w:pPr>
        <w:spacing w:after="0" w:line="166"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u w:val="single" w:color="auto"/>
          <w:color w:val="auto"/>
        </w:rPr>
        <w:t>Optional Conversion</w:t>
      </w:r>
      <w:r>
        <w:rPr>
          <w:rFonts w:ascii="Arial" w:cs="Arial" w:eastAsia="Arial" w:hAnsi="Arial"/>
          <w:sz w:val="16"/>
          <w:szCs w:val="16"/>
          <w:color w:val="auto"/>
        </w:rPr>
        <w:t>. The holders of the Preferred Stock shall have conversion rights as follows (the “</w:t>
      </w:r>
      <w:r>
        <w:rPr>
          <w:rFonts w:ascii="Arial" w:cs="Arial" w:eastAsia="Arial" w:hAnsi="Arial"/>
          <w:sz w:val="16"/>
          <w:szCs w:val="16"/>
          <w:b w:val="1"/>
          <w:bCs w:val="1"/>
          <w:color w:val="auto"/>
        </w:rPr>
        <w:t>Conversion Rights</w:t>
      </w:r>
      <w:r>
        <w:rPr>
          <w:rFonts w:ascii="Arial" w:cs="Arial" w:eastAsia="Arial" w:hAnsi="Arial"/>
          <w:sz w:val="16"/>
          <w:szCs w:val="16"/>
          <w:color w:val="auto"/>
        </w:rPr>
        <w:t>”):</w:t>
      </w:r>
    </w:p>
    <w:p>
      <w:pPr>
        <w:spacing w:after="0" w:line="337"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117" w:lineRule="exact"/>
        <w:rPr>
          <w:sz w:val="20"/>
          <w:szCs w:val="20"/>
          <w:color w:val="auto"/>
        </w:rPr>
      </w:pPr>
    </w:p>
    <w:p>
      <w:pPr>
        <w:ind w:firstLine="1432"/>
        <w:spacing w:after="0" w:line="25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Conversion Ratio</w:t>
      </w:r>
      <w:r>
        <w:rPr>
          <w:rFonts w:ascii="Arial" w:cs="Arial" w:eastAsia="Arial" w:hAnsi="Arial"/>
          <w:sz w:val="18"/>
          <w:szCs w:val="18"/>
          <w:color w:val="auto"/>
        </w:rPr>
        <w:t>. Each share of (i) Preferred Stock (other than the Series E-2 Preferred Stock and the Series F-2 Preferred Stock) shall be convertible, at the option of the holder thereof, at any time and from time to time, and without the payment of additional consideration by the holder thereof, into such number of fully paid and nonassessable shares of Class A Common Stock as is determined by dividing the Applicable Original Issue Price by the Applicable Conversion Price (as defined below) in effect at the time of conversion, (ii) Series E-2 Preferred Stock shall be convertible, at the option of the holder thereof, at any time and from time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47" w:name="page348"/>
    <w:bookmarkEnd w:id="347"/>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time, and without the payment of additional consideration by the holder thereof, into such number of fully paid and nonassessable shares of Class B Common Stock as is determined by dividing the Series E Original Issue Price by the Series E Conversion Price (as defined below) in effect at the time of conversion and (iii) Series F-2 Preferred Stock shall be convertible, at the option of the holder thereof, at any time and from time to time, and without the payment of additional consideration by the holder thereof, into such number of fully paid and nonassessable shares of Class B Common Stock as is determined by dividing the Series F Original Issue Price by the Series F Conversion Price (as defined below) in effect at the time of conversion. The “</w:t>
      </w:r>
      <w:r>
        <w:rPr>
          <w:rFonts w:ascii="Arial" w:cs="Arial" w:eastAsia="Arial" w:hAnsi="Arial"/>
          <w:sz w:val="16"/>
          <w:szCs w:val="16"/>
          <w:b w:val="1"/>
          <w:bCs w:val="1"/>
          <w:color w:val="auto"/>
        </w:rPr>
        <w:t>Applicable Conversion Price</w:t>
      </w:r>
      <w:r>
        <w:rPr>
          <w:rFonts w:ascii="Arial" w:cs="Arial" w:eastAsia="Arial" w:hAnsi="Arial"/>
          <w:sz w:val="16"/>
          <w:szCs w:val="16"/>
          <w:color w:val="auto"/>
        </w:rPr>
        <w:t>” shall mean, as the context so requires, the Series A Conversion Price, with respect to the conversion of shares of Series A Preferred Stock; the Series B Conversion Price, with respect to the conversion of shares of Series B Preferred Stock; the Series B1-NV Conversion Price, with respect to the conversion of shares of Series B1-NV Preferred Stock; the Series B1 Conversion Price, with respect to the conversion of shares of Series B1 Preferred Stock; the Series C Conversion Price, with respect to the conversion of shares of Series C Preferred Stock; the Series D Conversion Price, with respect to the conversion of shares of Series D Preferred Stock; the Series E Conversion Price, with respect to the conversion of shares of Series E-1 Preferred Stock and shares of Series E-2 Preferred Stock; and the Series F Conversion Price, with respect to the conversion of shares of Series F-1 Preferred Stock and shares of Series F-2 Preferred Stock. The “</w:t>
      </w:r>
      <w:r>
        <w:rPr>
          <w:rFonts w:ascii="Arial" w:cs="Arial" w:eastAsia="Arial" w:hAnsi="Arial"/>
          <w:sz w:val="16"/>
          <w:szCs w:val="16"/>
          <w:b w:val="1"/>
          <w:bCs w:val="1"/>
          <w:color w:val="auto"/>
        </w:rPr>
        <w:t>Series A Conversion Price</w:t>
      </w:r>
      <w:r>
        <w:rPr>
          <w:rFonts w:ascii="Arial" w:cs="Arial" w:eastAsia="Arial" w:hAnsi="Arial"/>
          <w:sz w:val="16"/>
          <w:szCs w:val="16"/>
          <w:color w:val="auto"/>
        </w:rPr>
        <w:t>” shall initially be equal to $1.974. The “</w:t>
      </w:r>
      <w:r>
        <w:rPr>
          <w:rFonts w:ascii="Arial" w:cs="Arial" w:eastAsia="Arial" w:hAnsi="Arial"/>
          <w:sz w:val="16"/>
          <w:szCs w:val="16"/>
          <w:b w:val="1"/>
          <w:bCs w:val="1"/>
          <w:color w:val="auto"/>
        </w:rPr>
        <w:t>Series B Conversion Price</w:t>
      </w:r>
      <w:r>
        <w:rPr>
          <w:rFonts w:ascii="Arial" w:cs="Arial" w:eastAsia="Arial" w:hAnsi="Arial"/>
          <w:sz w:val="16"/>
          <w:szCs w:val="16"/>
          <w:color w:val="auto"/>
        </w:rPr>
        <w:t>” shall initially be equal to $1.974. The “</w:t>
      </w:r>
      <w:r>
        <w:rPr>
          <w:rFonts w:ascii="Arial" w:cs="Arial" w:eastAsia="Arial" w:hAnsi="Arial"/>
          <w:sz w:val="16"/>
          <w:szCs w:val="16"/>
          <w:b w:val="1"/>
          <w:bCs w:val="1"/>
          <w:color w:val="auto"/>
        </w:rPr>
        <w:t>Series B1-NV Conversion Price</w:t>
      </w:r>
      <w:r>
        <w:rPr>
          <w:rFonts w:ascii="Arial" w:cs="Arial" w:eastAsia="Arial" w:hAnsi="Arial"/>
          <w:sz w:val="16"/>
          <w:szCs w:val="16"/>
          <w:color w:val="auto"/>
        </w:rPr>
        <w:t>” shall initially be equal to $2.252. The “</w:t>
      </w:r>
      <w:r>
        <w:rPr>
          <w:rFonts w:ascii="Arial" w:cs="Arial" w:eastAsia="Arial" w:hAnsi="Arial"/>
          <w:sz w:val="16"/>
          <w:szCs w:val="16"/>
          <w:b w:val="1"/>
          <w:bCs w:val="1"/>
          <w:color w:val="auto"/>
        </w:rPr>
        <w:t>Series B1 Conversion Price</w:t>
      </w:r>
      <w:r>
        <w:rPr>
          <w:rFonts w:ascii="Arial" w:cs="Arial" w:eastAsia="Arial" w:hAnsi="Arial"/>
          <w:sz w:val="16"/>
          <w:szCs w:val="16"/>
          <w:color w:val="auto"/>
        </w:rPr>
        <w:t>” shall initially be equal to $2.252. The “</w:t>
      </w:r>
      <w:r>
        <w:rPr>
          <w:rFonts w:ascii="Arial" w:cs="Arial" w:eastAsia="Arial" w:hAnsi="Arial"/>
          <w:sz w:val="16"/>
          <w:szCs w:val="16"/>
          <w:b w:val="1"/>
          <w:bCs w:val="1"/>
          <w:color w:val="auto"/>
        </w:rPr>
        <w:t>Series C Conversion Price</w:t>
      </w:r>
      <w:r>
        <w:rPr>
          <w:rFonts w:ascii="Arial" w:cs="Arial" w:eastAsia="Arial" w:hAnsi="Arial"/>
          <w:sz w:val="16"/>
          <w:szCs w:val="16"/>
          <w:color w:val="auto"/>
        </w:rPr>
        <w:t>” shall initially be equal to $4.44. The “</w:t>
      </w:r>
      <w:r>
        <w:rPr>
          <w:rFonts w:ascii="Arial" w:cs="Arial" w:eastAsia="Arial" w:hAnsi="Arial"/>
          <w:sz w:val="16"/>
          <w:szCs w:val="16"/>
          <w:b w:val="1"/>
          <w:bCs w:val="1"/>
          <w:color w:val="auto"/>
        </w:rPr>
        <w:t>Series D</w:t>
      </w:r>
      <w:r>
        <w:rPr>
          <w:rFonts w:ascii="Arial" w:cs="Arial" w:eastAsia="Arial" w:hAnsi="Arial"/>
          <w:sz w:val="16"/>
          <w:szCs w:val="16"/>
          <w:color w:val="auto"/>
        </w:rPr>
        <w:t xml:space="preserve"> </w:t>
      </w:r>
      <w:r>
        <w:rPr>
          <w:rFonts w:ascii="Arial" w:cs="Arial" w:eastAsia="Arial" w:hAnsi="Arial"/>
          <w:sz w:val="16"/>
          <w:szCs w:val="16"/>
          <w:b w:val="1"/>
          <w:bCs w:val="1"/>
          <w:color w:val="auto"/>
        </w:rPr>
        <w:t>Conversion Price</w:t>
      </w:r>
      <w:r>
        <w:rPr>
          <w:rFonts w:ascii="Arial" w:cs="Arial" w:eastAsia="Arial" w:hAnsi="Arial"/>
          <w:sz w:val="16"/>
          <w:szCs w:val="16"/>
          <w:color w:val="auto"/>
        </w:rPr>
        <w:t>” shall initially be equal to $22.6415. The “</w:t>
      </w:r>
      <w:r>
        <w:rPr>
          <w:rFonts w:ascii="Arial" w:cs="Arial" w:eastAsia="Arial" w:hAnsi="Arial"/>
          <w:sz w:val="16"/>
          <w:szCs w:val="16"/>
          <w:b w:val="1"/>
          <w:bCs w:val="1"/>
          <w:color w:val="auto"/>
        </w:rPr>
        <w:t>Series E Conversion Price</w:t>
      </w:r>
      <w:r>
        <w:rPr>
          <w:rFonts w:ascii="Arial" w:cs="Arial" w:eastAsia="Arial" w:hAnsi="Arial"/>
          <w:sz w:val="16"/>
          <w:szCs w:val="16"/>
          <w:color w:val="auto"/>
        </w:rPr>
        <w:t>” shall initially be equal to $32.0287. The “</w:t>
      </w:r>
      <w:r>
        <w:rPr>
          <w:rFonts w:ascii="Arial" w:cs="Arial" w:eastAsia="Arial" w:hAnsi="Arial"/>
          <w:sz w:val="16"/>
          <w:szCs w:val="16"/>
          <w:b w:val="1"/>
          <w:bCs w:val="1"/>
          <w:color w:val="auto"/>
        </w:rPr>
        <w:t>Series F Conversion Price</w:t>
      </w:r>
      <w:r>
        <w:rPr>
          <w:rFonts w:ascii="Arial" w:cs="Arial" w:eastAsia="Arial" w:hAnsi="Arial"/>
          <w:sz w:val="16"/>
          <w:szCs w:val="16"/>
          <w:color w:val="auto"/>
        </w:rPr>
        <w:t>” shall initially be equal to $69.9862. The Applicable Conversion Price, and the rate at which shares of each series of Preferred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may be converted into shares of Common Stock, shall be subject to adjustment as provided below.</w:t>
      </w:r>
    </w:p>
    <w:p>
      <w:pPr>
        <w:spacing w:after="0" w:line="174" w:lineRule="exact"/>
        <w:rPr>
          <w:sz w:val="20"/>
          <w:szCs w:val="20"/>
          <w:color w:val="auto"/>
        </w:rPr>
      </w:pPr>
    </w:p>
    <w:p>
      <w:pPr>
        <w:ind w:firstLine="1432"/>
        <w:spacing w:after="0" w:line="269"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Regulated Investor Right to Convert</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Subsection 4.1.3</w:t>
      </w:r>
      <w:r>
        <w:rPr>
          <w:rFonts w:ascii="Arial" w:cs="Arial" w:eastAsia="Arial" w:hAnsi="Arial"/>
          <w:sz w:val="17"/>
          <w:szCs w:val="17"/>
          <w:color w:val="auto"/>
        </w:rPr>
        <w:t xml:space="preserve"> below, each Regulated Investor shall, at its option, have the right to irrevocably convert (i) any shares of Series E-1 Preferred Stock held by such holder into an equivalent number of shares of Series E-2 Preferred Stock (i.e., on a one-to-one basis), (ii) any shares of Series F-1 Preferred Stock held by such holder into an equivalent number of shares of Series F-2 Preferred Stock (i.e., on a one-to-one basis) and (iii) any shares of Class A Common Stock held by such holder into an equivalent number of shares of Class B Common Stock (i.e., on a one-to-one basis), in each case, at any time and without the payment of additional consideration by such holder. Upon receipt of any notice from a Regulated Investor of its election to convert any shares of the Corporation’s capital stock held by such Regulated Investor pursuant to this </w:t>
      </w:r>
      <w:r>
        <w:rPr>
          <w:rFonts w:ascii="Arial" w:cs="Arial" w:eastAsia="Arial" w:hAnsi="Arial"/>
          <w:sz w:val="17"/>
          <w:szCs w:val="17"/>
          <w:u w:val="single" w:color="auto"/>
          <w:color w:val="auto"/>
        </w:rPr>
        <w:t>Subsection 4.1.2</w:t>
      </w:r>
      <w:r>
        <w:rPr>
          <w:rFonts w:ascii="Arial" w:cs="Arial" w:eastAsia="Arial" w:hAnsi="Arial"/>
          <w:sz w:val="17"/>
          <w:szCs w:val="17"/>
          <w:color w:val="auto"/>
        </w:rPr>
        <w:t>, prior to effecting such conversion, the Corporation shall promptly (and, in any event, within three business days after receipt of such notice) notify in writing all other Regulated Investors of all terms of such conversion, including (A) the Regulated Investor effecting such conversion and (B) the number, class and series of shares which such Regulated Investor is converting and the number, class and series of such shares into which such shares shall convert.</w:t>
      </w:r>
    </w:p>
    <w:p>
      <w:pPr>
        <w:spacing w:after="0" w:line="185" w:lineRule="exact"/>
        <w:rPr>
          <w:sz w:val="20"/>
          <w:szCs w:val="20"/>
          <w:color w:val="auto"/>
        </w:rPr>
      </w:pPr>
    </w:p>
    <w:p>
      <w:pPr>
        <w:ind w:right="60" w:firstLine="1432"/>
        <w:spacing w:after="0" w:line="263"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Series F-2 Preferred Stock, Series E-2 Preferred Stock and Class B Common Stock Conversion</w:t>
      </w:r>
      <w:r>
        <w:rPr>
          <w:rFonts w:ascii="Arial" w:cs="Arial" w:eastAsia="Arial" w:hAnsi="Arial"/>
          <w:sz w:val="18"/>
          <w:szCs w:val="18"/>
          <w:color w:val="auto"/>
        </w:rPr>
        <w:t>. Upon a transfer of any shares of Series F-2 Preferred Stock, Series E-2 Preferred Stock and/or Class B Common Stock to: (i) a transferee in a widespread public distribution of the voting securities of the Corporation; (ii) an underwriter for the purpose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48" w:name="page349"/>
    <w:bookmarkEnd w:id="34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conducting a widespread public distribution of the voting securities of the Corporation; (iii) as part of a bona fide private placement in which no single Person would receive 2% or more of any class of voting securities of the Corporation or (iv) a transferee if such transferee would control more than 50% of the voting securities of the Corporation notwithstanding any transfer of shares of Series F-2 Preferred Stock, Series E-2 Preferred Stock and/or Class B Common Stock (each, a “</w:t>
      </w:r>
      <w:r>
        <w:rPr>
          <w:rFonts w:ascii="Arial" w:cs="Arial" w:eastAsia="Arial" w:hAnsi="Arial"/>
          <w:sz w:val="16"/>
          <w:szCs w:val="16"/>
          <w:b w:val="1"/>
          <w:bCs w:val="1"/>
          <w:color w:val="auto"/>
        </w:rPr>
        <w:t>Dispersion Transaction</w:t>
      </w:r>
      <w:r>
        <w:rPr>
          <w:rFonts w:ascii="Arial" w:cs="Arial" w:eastAsia="Arial" w:hAnsi="Arial"/>
          <w:sz w:val="16"/>
          <w:szCs w:val="16"/>
          <w:color w:val="auto"/>
        </w:rPr>
        <w:t>”), then such shares of Series F-2 Preferred Stock, Series E-2 Preferred Stock and/or Class B Common Stock, as applicable, shall automatically and immediately after the consummation of such transfer convert as follows: (x) all shares of Series E-2 Preferred Stock so transferred shall convert into an equivalent number of shares of Series E-1 Preferred Stock (i.e., on a one-to-one basis), (y) all shares of Series F-2 Preferred Stock so transferred shall convert into an equivalent number of shares of Series F-1 Preferred Stock (i.e., on a one-to-one basis) and (z) all shares of Class B Common Stock so transferred shall convert into an equivalent number of shares of Class A Common Stock (i.e., on a one-to-one basis), in each case, without the payment of additional consideration by such holder or the need for further action thereby.</w:t>
      </w:r>
    </w:p>
    <w:p>
      <w:pPr>
        <w:spacing w:after="0" w:line="166" w:lineRule="exact"/>
        <w:rPr>
          <w:sz w:val="20"/>
          <w:szCs w:val="20"/>
          <w:color w:val="auto"/>
        </w:rPr>
      </w:pPr>
    </w:p>
    <w:p>
      <w:pPr>
        <w:ind w:right="200" w:firstLine="1432"/>
        <w:spacing w:after="0" w:line="263"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4"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284"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Mechanics of Conversion</w:t>
      </w:r>
      <w:r>
        <w:rPr>
          <w:rFonts w:ascii="Arial" w:cs="Arial" w:eastAsia="Arial" w:hAnsi="Arial"/>
          <w:sz w:val="16"/>
          <w:szCs w:val="16"/>
          <w:color w:val="auto"/>
        </w:rPr>
        <w:t>.</w:t>
      </w:r>
    </w:p>
    <w:p>
      <w:pPr>
        <w:spacing w:after="0" w:line="117" w:lineRule="exact"/>
        <w:rPr>
          <w:sz w:val="20"/>
          <w:szCs w:val="20"/>
          <w:color w:val="auto"/>
        </w:rPr>
      </w:pPr>
    </w:p>
    <w:p>
      <w:pPr>
        <w:ind w:firstLine="1432"/>
        <w:spacing w:after="0" w:line="269"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u w:val="single" w:color="auto"/>
          <w:color w:val="auto"/>
        </w:rPr>
        <w:t>Notice of Conversion</w:t>
      </w:r>
      <w:r>
        <w:rPr>
          <w:rFonts w:ascii="Arial" w:cs="Arial" w:eastAsia="Arial" w:hAnsi="Arial"/>
          <w:sz w:val="17"/>
          <w:szCs w:val="17"/>
          <w:color w:val="auto"/>
        </w:rPr>
        <w:t xml:space="preserve">. In order for a holder of Common Stock or Preferred Stock to voluntarily convert shares of Common Stock or Preferred Stock into shares of Common Stock or Preferred Stock, respectively,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such holder shall surrender the certificate or certificates for such shares of Common Stock or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Common Stock or Preferred Stock, as applicable (or at the principal office of the Corporation if the Corporation serves as its own transfer agent), together with written notice that such holder elects to convert all or any number of the shares of Common Stock or shares of Preferred Stock represented by such certificate or certificates and, if applicable, any event on which such conversion is contingent. Such notice shall state such holder’s name or the names of the nominees in which such holder wishes the certificate or certificates for shares of Common Stock or Preferred Stock, as applicable, to be issued. If required by the Corporation, certificates surrendered for conversion shall be endorsed or accompanied by a written instrument or instruments of transfer,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349" w:name="page350"/>
    <w:bookmarkEnd w:id="349"/>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form reasonably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xml:space="preserve">”), and the shares of Common Stock or Preferred Stock (as the case may be) issuable upon conversion of the shares represented by such certificate shall be deemed to be outstanding of record as of such date. The Corporation shall, as soon as practicable after the Conversion Time, (i) issue and deliver to such holder of Common Stock or Preferred Stock, as applicable, or to his, her or its nominees, a certificate or certificates for the number of full shares of Common Stock or Preferred Stock (as the case may be) issuable upon such conversion in accordance with the provisions hereof and a certificate for the number (if any) of the shares of Common Stock or Preferred Stock (as they case may be) represented by the surrendered certificate that were not converted into Common Stock or Preferred Stock (as the case may be), (ii) pay in cash such amount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or Preferred Stock otherwise issuable upon such conversion and (iii) pay all declared but unpaid dividends on the shares of Preferred Stock converted.</w:t>
      </w:r>
    </w:p>
    <w:p>
      <w:pPr>
        <w:spacing w:after="0" w:line="168" w:lineRule="exact"/>
        <w:rPr>
          <w:sz w:val="20"/>
          <w:szCs w:val="20"/>
          <w:color w:val="auto"/>
        </w:rPr>
      </w:pPr>
    </w:p>
    <w:p>
      <w:pPr>
        <w:ind w:firstLine="1432"/>
        <w:spacing w:after="0" w:line="285"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xml:space="preserve">. The Corporation shall at all times when any shares of Preferred Stock shall be outstanding, reserve and keep available out of its authorized but unissued capital stock, for the purpose of effecting the conversion rights of the holders of Preferred Stock and the Regulated Investors, such number of its duly authorized shares of Class A Common Stock, Class B Common Stock, Series E-1 Preferred Stock, Series E-2 Preferred Stock, Series F-1 Preferred Stock and Series F-2 Preferred Stock as shall from time to time be sufficient to effect the conversion of all outstanding shares of capital stock in accordance with Part B.3 of this Article Fourth and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if at any time the number of authorized but unissued shares of Class A Common Stock, Class B Common Stock, Series E-1 Preferred Stock, Series E-2 Preferred Stock, Series F-1 Preferred Stock or Series F-2 Preferred Stock shall not be sufficient to effect the conversion of all then outstanding shares of capital stock in accordance with Part B.3 of this Article Fourth and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the Corporation shall take such corporate action as may be necessary to increase its authorized but unissued shares of Class A Common Stock, Class B Common Stock, Series E-1 Preferred Stock, Series E-2 Preferred Stock, Series F-1 Preferred Stock and/or Series F-2 Preferred Stock to such number of shares as shall be sufficient for such purposes, including, without limitation, engaging in best efforts to obtain the requisite stockholder approval of any necessary amendment to this Certificate of Incorporation. Before taking any action which would cause an adjustment reducing the Applicable Conversion Price below the then par value of the shares of Class A Common Stock or Class B Common Stock issuable upon conversion of the shares of such series of Preferred Stock, the Corporation will take any corporate action which may, in the opinion of its counsel, be necessary in order that the Corporation may validly and legally issue fully paid and nonassessable shares of Class A Common Stock or Class B Common Stock, as the case may be, at such adjusted Applicable Conversion Price. Prior to or concurrently with the consummation of any Dispersion Transaction, the Corporation shall, to the extent necessary, engage in best efforts to obtain the requisite stockholder approval to amend and/or restate this Certificate of Incorporation and duly authorize such number of shares of Class A Common Stock, Series E-1 Preferred Stock or Series F-1 Preferred Stock, as the case may be, as shall be sufficient to effect the conversion of all shares of Class B Common Stock, Series E-2 Preferred Stock or Series F-2 Preferred Stock as then permitted under </w:t>
      </w:r>
      <w:r>
        <w:rPr>
          <w:rFonts w:ascii="Arial" w:cs="Arial" w:eastAsia="Arial" w:hAnsi="Arial"/>
          <w:sz w:val="16"/>
          <w:szCs w:val="16"/>
          <w:u w:val="single" w:color="auto"/>
          <w:color w:val="auto"/>
        </w:rPr>
        <w:t>Subsection 4.1.3</w:t>
      </w:r>
      <w:r>
        <w:rPr>
          <w:rFonts w:ascii="Arial" w:cs="Arial" w:eastAsia="Arial" w:hAnsi="Arial"/>
          <w:sz w:val="16"/>
          <w:szCs w:val="16"/>
          <w:color w:val="auto"/>
        </w:rPr>
        <w: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50" w:name="page351"/>
    <w:bookmarkEnd w:id="350"/>
    <w:p>
      <w:pPr>
        <w:ind w:right="80" w:firstLine="143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4.3.3 </w:t>
      </w:r>
      <w:r>
        <w:rPr>
          <w:rFonts w:ascii="Arial" w:cs="Arial" w:eastAsia="Arial" w:hAnsi="Arial"/>
          <w:sz w:val="18"/>
          <w:szCs w:val="18"/>
          <w:u w:val="single" w:color="auto"/>
          <w:color w:val="auto"/>
        </w:rPr>
        <w:t>Effect of Conversion</w:t>
      </w:r>
      <w:r>
        <w:rPr>
          <w:rFonts w:ascii="Arial" w:cs="Arial" w:eastAsia="Arial" w:hAnsi="Arial"/>
          <w:sz w:val="18"/>
          <w:szCs w:val="18"/>
          <w:color w:val="auto"/>
        </w:rPr>
        <w:t xml:space="preserve">. All shares of Common Stock or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(or Preferred Stock, as the case may be) in exchange therefor, to receive payment in lieu of any fraction of a share otherwise issuable upon such conversion as provided in </w:t>
      </w:r>
      <w:r>
        <w:rPr>
          <w:rFonts w:ascii="Arial" w:cs="Arial" w:eastAsia="Arial" w:hAnsi="Arial"/>
          <w:sz w:val="18"/>
          <w:szCs w:val="18"/>
          <w:u w:val="single" w:color="auto"/>
          <w:color w:val="auto"/>
        </w:rPr>
        <w:t>Subsection 4.2</w:t>
      </w:r>
      <w:r>
        <w:rPr>
          <w:rFonts w:ascii="Arial" w:cs="Arial" w:eastAsia="Arial" w:hAnsi="Arial"/>
          <w:sz w:val="18"/>
          <w:szCs w:val="18"/>
          <w:color w:val="auto"/>
        </w:rPr>
        <w:t xml:space="preserve"> and to receive payment of any dividends declared but unpaid thereon. Any shares of Preferred Stock so converted shall be retired and cancelled and may not be reissued as shares of such series.</w:t>
      </w:r>
    </w:p>
    <w:p>
      <w:pPr>
        <w:spacing w:after="0" w:line="192" w:lineRule="exact"/>
        <w:rPr>
          <w:sz w:val="20"/>
          <w:szCs w:val="20"/>
          <w:color w:val="auto"/>
        </w:rPr>
      </w:pPr>
    </w:p>
    <w:p>
      <w:pPr>
        <w:ind w:firstLine="1432"/>
        <w:spacing w:after="0" w:line="263"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No Further Adjustment</w:t>
      </w:r>
      <w:r>
        <w:rPr>
          <w:rFonts w:ascii="Arial" w:cs="Arial" w:eastAsia="Arial" w:hAnsi="Arial"/>
          <w:sz w:val="18"/>
          <w:szCs w:val="18"/>
          <w:color w:val="auto"/>
        </w:rPr>
        <w:t>. Upon any such conversion, no adjustment to the Applicable Conversion Price shall be made for any declared but unpaid dividends on the shares of such series of Preferred Stock surrendered for conversion or on the Common Stock delivered upon conversion.</w:t>
      </w:r>
    </w:p>
    <w:p>
      <w:pPr>
        <w:spacing w:after="0" w:line="184" w:lineRule="exact"/>
        <w:rPr>
          <w:sz w:val="20"/>
          <w:szCs w:val="20"/>
          <w:color w:val="auto"/>
        </w:rPr>
      </w:pPr>
    </w:p>
    <w:p>
      <w:pPr>
        <w:ind w:right="40" w:firstLine="1432"/>
        <w:spacing w:after="0" w:line="254"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or Preferred Stock, as the case may be, upon conversion of shares of Preferred Stock or Common Stock, respectively,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or Preferred Stock, as the case may be, in a name other than that in which the shares of Preferred Stock or Common Stock, respectively, so converted were registered, and no such issuance or delivery shall be made unless and until the Person requesting such issuance has paid to the Corporation the amount of any such tax or has established, to the satisfaction of the Corporation, that such tax has been paid.</w:t>
      </w:r>
    </w:p>
    <w:p>
      <w:pPr>
        <w:spacing w:after="0" w:line="303"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Adjustments to Applicable Conversion Price for Diluting Issues</w:t>
      </w:r>
      <w:r>
        <w:rPr>
          <w:rFonts w:ascii="Arial" w:cs="Arial" w:eastAsia="Arial" w:hAnsi="Arial"/>
          <w:sz w:val="16"/>
          <w:szCs w:val="16"/>
          <w:color w:val="auto"/>
        </w:rPr>
        <w:t>.</w:t>
      </w:r>
    </w:p>
    <w:p>
      <w:pPr>
        <w:spacing w:after="0" w:line="117"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u w:val="single" w:color="auto"/>
          <w:color w:val="auto"/>
        </w:rPr>
        <w:t>Special Definitions</w:t>
      </w:r>
      <w:r>
        <w:rPr>
          <w:rFonts w:ascii="Arial" w:cs="Arial" w:eastAsia="Arial" w:hAnsi="Arial"/>
          <w:sz w:val="16"/>
          <w:szCs w:val="16"/>
          <w:color w:val="auto"/>
        </w:rPr>
        <w:t>. For purposes of this Article Fourth, the following definitions shall apply:</w:t>
      </w:r>
    </w:p>
    <w:p>
      <w:pPr>
        <w:spacing w:after="0" w:line="221" w:lineRule="exact"/>
        <w:rPr>
          <w:sz w:val="20"/>
          <w:szCs w:val="20"/>
          <w:color w:val="auto"/>
        </w:rPr>
      </w:pPr>
    </w:p>
    <w:p>
      <w:pPr>
        <w:ind w:left="1980"/>
        <w:spacing w:after="0"/>
        <w:tabs>
          <w:tab w:leader="none" w:pos="2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 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Convertible Securities.</w:t>
      </w:r>
    </w:p>
    <w:p>
      <w:pPr>
        <w:spacing w:after="0" w:line="207" w:lineRule="exact"/>
        <w:rPr>
          <w:sz w:val="20"/>
          <w:szCs w:val="20"/>
          <w:color w:val="auto"/>
        </w:rPr>
      </w:pPr>
    </w:p>
    <w:p>
      <w:pPr>
        <w:ind w:left="2360" w:hanging="381"/>
        <w:spacing w:after="0"/>
        <w:tabs>
          <w:tab w:leader="none" w:pos="23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Date</w:t>
      </w:r>
      <w:r>
        <w:rPr>
          <w:rFonts w:ascii="Arial" w:cs="Arial" w:eastAsia="Arial" w:hAnsi="Arial"/>
          <w:sz w:val="18"/>
          <w:szCs w:val="18"/>
          <w:color w:val="auto"/>
        </w:rPr>
        <w:t>” shall mean the date on which the first share of Series F Preferred Stock was issued.</w:t>
      </w:r>
    </w:p>
    <w:p>
      <w:pPr>
        <w:spacing w:after="0" w:line="225" w:lineRule="exact"/>
        <w:rPr>
          <w:rFonts w:ascii="Arial" w:cs="Arial" w:eastAsia="Arial" w:hAnsi="Arial"/>
          <w:sz w:val="18"/>
          <w:szCs w:val="18"/>
          <w:color w:val="auto"/>
        </w:rPr>
      </w:pPr>
    </w:p>
    <w:p>
      <w:pPr>
        <w:ind w:right="260" w:firstLine="1979"/>
        <w:spacing w:after="0" w:line="282" w:lineRule="auto"/>
        <w:tabs>
          <w:tab w:leader="none" w:pos="236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161" w:lineRule="exact"/>
        <w:rPr>
          <w:rFonts w:ascii="Arial" w:cs="Arial" w:eastAsia="Arial" w:hAnsi="Arial"/>
          <w:sz w:val="18"/>
          <w:szCs w:val="18"/>
          <w:color w:val="auto"/>
        </w:rPr>
      </w:pPr>
    </w:p>
    <w:p>
      <w:pPr>
        <w:ind w:right="220" w:firstLine="1979"/>
        <w:spacing w:after="0" w:line="347" w:lineRule="auto"/>
        <w:tabs>
          <w:tab w:leader="none" w:pos="2373" w:val="left"/>
        </w:tabs>
        <w:numPr>
          <w:ilvl w:val="0"/>
          <w:numId w:val="2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Shares of Common Stock</w:t>
      </w:r>
      <w:r>
        <w:rPr>
          <w:rFonts w:ascii="Arial" w:cs="Arial" w:eastAsia="Arial" w:hAnsi="Arial"/>
          <w:sz w:val="16"/>
          <w:szCs w:val="16"/>
          <w:color w:val="auto"/>
        </w:rPr>
        <w:t xml:space="preserve">” shall mean all shares of Common Stock issued (or,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below, deemed to be issued) by the Corporation after the Original Issue Date, other than (1) the following shares of Common Stock</w:t>
      </w:r>
    </w:p>
    <w:p>
      <w:pPr>
        <w:spacing w:after="0" w:line="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440" w:top="274" w:right="539" w:bottom="1440" w:gutter="0" w:footer="0" w:header="0"/>
        </w:sectPr>
      </w:pPr>
    </w:p>
    <w:bookmarkStart w:id="351" w:name="page352"/>
    <w:bookmarkEnd w:id="351"/>
    <w:p>
      <w:pPr>
        <w:ind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(2) shares of Common Stock deemed issued pursuant to the following Options and Convertible Securities (clauses (1) and (2), collectively, “</w:t>
      </w:r>
      <w:r>
        <w:rPr>
          <w:rFonts w:ascii="Arial" w:cs="Arial" w:eastAsia="Arial" w:hAnsi="Arial"/>
          <w:sz w:val="18"/>
          <w:szCs w:val="18"/>
          <w:b w:val="1"/>
          <w:bCs w:val="1"/>
          <w:color w:val="auto"/>
        </w:rPr>
        <w:t>Exempted Securities</w:t>
      </w:r>
      <w:r>
        <w:rPr>
          <w:rFonts w:ascii="Arial" w:cs="Arial" w:eastAsia="Arial" w:hAnsi="Arial"/>
          <w:sz w:val="18"/>
          <w:szCs w:val="18"/>
          <w:color w:val="auto"/>
        </w:rPr>
        <w:t>”):</w:t>
      </w:r>
    </w:p>
    <w:p>
      <w:pPr>
        <w:spacing w:after="0" w:line="170" w:lineRule="exact"/>
        <w:rPr>
          <w:sz w:val="20"/>
          <w:szCs w:val="20"/>
          <w:color w:val="auto"/>
        </w:rPr>
      </w:pPr>
    </w:p>
    <w:p>
      <w:pPr>
        <w:ind w:left="2760" w:hanging="341"/>
        <w:spacing w:after="0"/>
        <w:tabs>
          <w:tab w:leader="none" w:pos="276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as a dividend or distribution on shares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w:t>
      </w:r>
    </w:p>
    <w:p>
      <w:pPr>
        <w:spacing w:after="0" w:line="211" w:lineRule="exact"/>
        <w:rPr>
          <w:sz w:val="20"/>
          <w:szCs w:val="20"/>
          <w:color w:val="auto"/>
        </w:rPr>
      </w:pPr>
    </w:p>
    <w:p>
      <w:pPr>
        <w:ind w:right="160" w:firstLine="2419"/>
        <w:spacing w:after="0" w:line="277" w:lineRule="auto"/>
        <w:tabs>
          <w:tab w:leader="none" w:pos="282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8"/>
          <w:szCs w:val="18"/>
          <w:u w:val="single" w:color="auto"/>
          <w:color w:val="auto"/>
        </w:rPr>
        <w:t>Subsection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00" w:firstLine="2419"/>
        <w:spacing w:after="0" w:line="263" w:lineRule="auto"/>
        <w:tabs>
          <w:tab w:leader="none" w:pos="287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shares of Common Stock or Options issued to employees or directors of, or consultants or advisors to, the Corporation or any of its subsidiaries pursuant to a plan, agreement or arrangement approved by the Board of Directors of the Corporation, including at least two of the Preferred Directors;</w:t>
      </w:r>
    </w:p>
    <w:p>
      <w:pPr>
        <w:spacing w:after="0" w:line="183" w:lineRule="exact"/>
        <w:rPr>
          <w:rFonts w:ascii="Arial" w:cs="Arial" w:eastAsia="Arial" w:hAnsi="Arial"/>
          <w:sz w:val="18"/>
          <w:szCs w:val="18"/>
          <w:color w:val="auto"/>
        </w:rPr>
      </w:pPr>
    </w:p>
    <w:p>
      <w:pPr>
        <w:ind w:right="100" w:firstLine="2419"/>
        <w:spacing w:after="0" w:line="263" w:lineRule="auto"/>
        <w:tabs>
          <w:tab w:leader="none" w:pos="286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183" w:lineRule="exact"/>
        <w:rPr>
          <w:rFonts w:ascii="Arial" w:cs="Arial" w:eastAsia="Arial" w:hAnsi="Arial"/>
          <w:sz w:val="18"/>
          <w:szCs w:val="18"/>
          <w:color w:val="auto"/>
        </w:rPr>
      </w:pPr>
    </w:p>
    <w:p>
      <w:pPr>
        <w:ind w:right="400" w:firstLine="2419"/>
        <w:spacing w:after="0" w:line="342" w:lineRule="auto"/>
        <w:tabs>
          <w:tab w:leader="none" w:pos="2813"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shares of Series B1 Preferred Stock or Series B1-NV Preferred Stock actually issued upon the conversion of shares of Series B1-NV Preferred Stock or Series B1 Preferred Stock (as the case may be), in each case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2860" w:hanging="441"/>
        <w:spacing w:after="0"/>
        <w:tabs>
          <w:tab w:leader="none" w:pos="28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shares of Series E-2 Preferred Stock actually issued upon the conversion of shares of Series E-1 Preferred Stock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Subsection 4.1.2</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900" w:hanging="481"/>
        <w:spacing w:after="0"/>
        <w:tabs>
          <w:tab w:leader="none" w:pos="290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shares of Series F-2 Preferred Stock actually issued upon the conversion of shares of Series F-1 Preferred Stock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Subsection 4.1.2</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340" w:firstLine="2419"/>
        <w:spacing w:after="0" w:line="263" w:lineRule="auto"/>
        <w:tabs>
          <w:tab w:leader="none" w:pos="296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 including at least two of the Preferred Directors;</w:t>
      </w:r>
    </w:p>
    <w:p>
      <w:pPr>
        <w:spacing w:after="0" w:line="183" w:lineRule="exact"/>
        <w:rPr>
          <w:rFonts w:ascii="Arial" w:cs="Arial" w:eastAsia="Arial" w:hAnsi="Arial"/>
          <w:sz w:val="18"/>
          <w:szCs w:val="18"/>
          <w:color w:val="auto"/>
        </w:rPr>
      </w:pPr>
    </w:p>
    <w:p>
      <w:pPr>
        <w:jc w:val="both"/>
        <w:ind w:firstLine="2419"/>
        <w:spacing w:after="0" w:line="263" w:lineRule="auto"/>
        <w:tabs>
          <w:tab w:leader="none" w:pos="286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suppliers or third party service providers in connection with the provision of goods or services pursuant to transactions approved by the Board of Directors of the Corporation, including at least two of the Preferred Directors;</w:t>
      </w:r>
    </w:p>
    <w:p>
      <w:pPr>
        <w:spacing w:after="0" w:line="183" w:lineRule="exact"/>
        <w:rPr>
          <w:rFonts w:ascii="Arial" w:cs="Arial" w:eastAsia="Arial" w:hAnsi="Arial"/>
          <w:sz w:val="18"/>
          <w:szCs w:val="18"/>
          <w:color w:val="auto"/>
        </w:rPr>
      </w:pPr>
    </w:p>
    <w:p>
      <w:pPr>
        <w:ind w:right="260" w:firstLine="2419"/>
        <w:spacing w:after="0" w:line="286" w:lineRule="auto"/>
        <w:tabs>
          <w:tab w:leader="none" w:pos="2813" w:val="left"/>
        </w:tabs>
        <w:numPr>
          <w:ilvl w:val="0"/>
          <w:numId w:val="244"/>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pursuant to the acquisition of another corporation by the Corporation by merger, purchase of substantially all of the assets or other reorganization or to a joint venture agreement, provided, that such issuances are approved by the Board of Directors of the Corporation, including at least two of the Preferred Directors;</w:t>
      </w:r>
    </w:p>
    <w:p>
      <w:pPr>
        <w:spacing w:after="0" w:line="165" w:lineRule="exact"/>
        <w:rPr>
          <w:rFonts w:ascii="Arial" w:cs="Arial" w:eastAsia="Arial" w:hAnsi="Arial"/>
          <w:sz w:val="17"/>
          <w:szCs w:val="17"/>
          <w:color w:val="auto"/>
        </w:rPr>
      </w:pPr>
    </w:p>
    <w:p>
      <w:pPr>
        <w:ind w:right="480" w:firstLine="2419"/>
        <w:spacing w:after="0" w:line="263" w:lineRule="auto"/>
        <w:tabs>
          <w:tab w:leader="none" w:pos="286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in connection with sponsored research, collaboration, technology license, development, OEM, marketing or other similar agreements or strategic partnerships approved by the Board of Directors of the Corporation, including at least two of the Preferred Directors;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52" w:name="page353"/>
    <w:bookmarkEnd w:id="352"/>
    <w:p>
      <w:pPr>
        <w:ind w:left="2900" w:hanging="481"/>
        <w:spacing w:after="0"/>
        <w:tabs>
          <w:tab w:leader="none" w:pos="29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of Common Stock offered to the public pursuant to a Qualified Public Offering (as defined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11" w:lineRule="exact"/>
        <w:rPr>
          <w:sz w:val="20"/>
          <w:szCs w:val="20"/>
          <w:color w:val="auto"/>
        </w:rPr>
      </w:pPr>
    </w:p>
    <w:p>
      <w:pPr>
        <w:ind w:firstLine="1432"/>
        <w:spacing w:after="0" w:line="268"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No Adjustment of Applicable Conversion Price</w:t>
      </w:r>
      <w:r>
        <w:rPr>
          <w:rFonts w:ascii="Arial" w:cs="Arial" w:eastAsia="Arial" w:hAnsi="Arial"/>
          <w:sz w:val="17"/>
          <w:szCs w:val="17"/>
          <w:color w:val="auto"/>
        </w:rPr>
        <w:t xml:space="preserve">. With respect to each series of Preferred Stock, no adjustment in the Applicable Conversion Price shall be made as the result of the issuance or deemed issuance of Additional Shares of Common Stock if the Corporation receives written notice from the holders of at least a majority of the then outstanding shares of such affected series of Preferred Stock agreeing that no such adjustment shall be made as the result of the issuance or deemed issuance of such Additional Shares of Common Stock (with (x) the Series B1 Preferred Stock and Series B1-NV Preferred Stock being treated as one series for this purpose, (y) the Series E-1 Preferred Stock and the Series E-2 Preferred Stock being treated as one series for this purpose, with each holder of shares of Series E-2 Preferred Stock being entitled to vote upon, or consent with respect to, such shares of Series E-2 Preferred Stock they may hold, any such waiver of any adjustment to the Series E Conversion Price pursuant to this </w:t>
      </w:r>
      <w:r>
        <w:rPr>
          <w:rFonts w:ascii="Arial" w:cs="Arial" w:eastAsia="Arial" w:hAnsi="Arial"/>
          <w:sz w:val="17"/>
          <w:szCs w:val="17"/>
          <w:u w:val="single" w:color="auto"/>
          <w:color w:val="auto"/>
        </w:rPr>
        <w:t>Subsection 4.4.2</w:t>
      </w:r>
      <w:r>
        <w:rPr>
          <w:rFonts w:ascii="Arial" w:cs="Arial" w:eastAsia="Arial" w:hAnsi="Arial"/>
          <w:sz w:val="17"/>
          <w:szCs w:val="17"/>
          <w:color w:val="auto"/>
        </w:rPr>
        <w:t xml:space="preserve"> and with all such shares of Series E-2 Preferred Stock being counted, both in the numerator and in the denominator, for purposes of determining whether the consent of the holders of a majority of the Series E Preferred Stock has been obtained and (z) the Series F-1 Preferred Stock and the Series F-2 Preferred Stock being treated as one series for this purpose, with each holder of shares of Series F-2 Preferred Stock being entitled to vote upon, or consent with respect to, such shares of Series F-2 Preferred Stock they may hold, any such waiver of any adjustment to the Series F Conversion Price pursuant to this </w:t>
      </w:r>
      <w:r>
        <w:rPr>
          <w:rFonts w:ascii="Arial" w:cs="Arial" w:eastAsia="Arial" w:hAnsi="Arial"/>
          <w:sz w:val="17"/>
          <w:szCs w:val="17"/>
          <w:u w:val="single" w:color="auto"/>
          <w:color w:val="auto"/>
        </w:rPr>
        <w:t>Subsection 4.4.2</w:t>
      </w:r>
      <w:r>
        <w:rPr>
          <w:rFonts w:ascii="Arial" w:cs="Arial" w:eastAsia="Arial" w:hAnsi="Arial"/>
          <w:sz w:val="17"/>
          <w:szCs w:val="17"/>
          <w:color w:val="auto"/>
        </w:rPr>
        <w:t xml:space="preserve"> and with all such shares of Series F-2 Preferred Stock being counted, both in the numerator and in the denominator, for purposes of determining whether the consent of the holders of a majority of the Series F Preferred Stock has been obtained).</w:t>
      </w:r>
    </w:p>
    <w:p>
      <w:pPr>
        <w:spacing w:after="0" w:line="292"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u w:val="single" w:color="auto"/>
          <w:color w:val="auto"/>
        </w:rPr>
        <w:t>Deemed Issue of Additional Shares of Common Stock</w:t>
      </w:r>
      <w:r>
        <w:rPr>
          <w:rFonts w:ascii="Arial" w:cs="Arial" w:eastAsia="Arial" w:hAnsi="Arial"/>
          <w:sz w:val="16"/>
          <w:szCs w:val="16"/>
          <w:color w:val="auto"/>
        </w:rPr>
        <w:t>.</w:t>
      </w:r>
    </w:p>
    <w:p>
      <w:pPr>
        <w:spacing w:after="0" w:line="117" w:lineRule="exact"/>
        <w:rPr>
          <w:sz w:val="20"/>
          <w:szCs w:val="20"/>
          <w:color w:val="auto"/>
        </w:rPr>
      </w:pPr>
    </w:p>
    <w:p>
      <w:pPr>
        <w:ind w:right="60" w:firstLine="1979"/>
        <w:spacing w:after="0" w:line="254" w:lineRule="auto"/>
        <w:tabs>
          <w:tab w:leader="none" w:pos="236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or series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91" w:lineRule="exact"/>
        <w:rPr>
          <w:rFonts w:ascii="Arial" w:cs="Arial" w:eastAsia="Arial" w:hAnsi="Arial"/>
          <w:sz w:val="18"/>
          <w:szCs w:val="18"/>
          <w:color w:val="auto"/>
        </w:rPr>
      </w:pPr>
    </w:p>
    <w:p>
      <w:pPr>
        <w:ind w:right="20" w:firstLine="1979"/>
        <w:spacing w:after="0" w:line="257" w:lineRule="auto"/>
        <w:tabs>
          <w:tab w:leader="none" w:pos="237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If the terms of any Option or Convertible Security, the issuance of which resulted in an adjustment to an Applicable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353" w:name="page354"/>
    <w:bookmarkEnd w:id="35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Convertible Security or (2) any increase or decrease in the consideration payable to the Corporation upon such exercise, conversion and/or exchange, then, effective upon such increase or decrease becoming effective, such Applicable Conversion Price computed upon the original issue of such Option or Convertible Security (or upon the occurrence of a record date with respect thereto) shall be readjusted to such Applicable Conversion Price as would have been obtained had such revised terms been in effect upon the original date of issuance of such Option or Convertible Security. Notwithstanding the foregoing, no readjustment pursuant to this clause (b) shall have the effect of increasing an Applicable Conversion Price to an amount which exceeds the lower of (i) the corresponding Applicable Conversion Price in effect immediately prior to the original adjustment made as a result of the issuance of such Option or Convertible Security, or (ii) the corresponding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66" w:lineRule="exact"/>
        <w:rPr>
          <w:sz w:val="20"/>
          <w:szCs w:val="20"/>
          <w:color w:val="auto"/>
        </w:rPr>
      </w:pPr>
    </w:p>
    <w:p>
      <w:pPr>
        <w:ind w:right="20" w:firstLine="1979"/>
        <w:spacing w:after="0" w:line="269" w:lineRule="auto"/>
        <w:tabs>
          <w:tab w:leader="none" w:pos="2362"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(excluding Options or Convertible Securities which are themselves Exempted Securities), the issuance of which did not result in an adjustment to an Applicable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xml:space="preserve"> (either because the consideration per share (determined pursuant to </w:t>
      </w:r>
      <w:r>
        <w:rPr>
          <w:rFonts w:ascii="Arial" w:cs="Arial" w:eastAsia="Arial" w:hAnsi="Arial"/>
          <w:sz w:val="17"/>
          <w:szCs w:val="17"/>
          <w:u w:val="single" w:color="auto"/>
          <w:color w:val="auto"/>
        </w:rPr>
        <w:t>Subsection 4.4.5</w:t>
      </w:r>
      <w:r>
        <w:rPr>
          <w:rFonts w:ascii="Arial" w:cs="Arial" w:eastAsia="Arial" w:hAnsi="Arial"/>
          <w:sz w:val="17"/>
          <w:szCs w:val="17"/>
          <w:color w:val="auto"/>
        </w:rPr>
        <w:t xml:space="preserve">) of the Additional Shares of Common Stock subject thereto was equal to or greater than such Applicable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7"/>
          <w:szCs w:val="17"/>
          <w:u w:val="single" w:color="auto"/>
          <w:color w:val="auto"/>
        </w:rPr>
        <w:t>Subsection 4.4.3(a)</w:t>
      </w:r>
      <w:r>
        <w:rPr>
          <w:rFonts w:ascii="Arial" w:cs="Arial" w:eastAsia="Arial" w:hAnsi="Arial"/>
          <w:sz w:val="17"/>
          <w:szCs w:val="17"/>
          <w:color w:val="auto"/>
        </w:rPr>
        <w:t>) shall be deemed to have been issued effective upon such increase or decrease becoming effective.</w:t>
      </w:r>
    </w:p>
    <w:p>
      <w:pPr>
        <w:spacing w:after="0" w:line="181" w:lineRule="exact"/>
        <w:rPr>
          <w:rFonts w:ascii="Arial" w:cs="Arial" w:eastAsia="Arial" w:hAnsi="Arial"/>
          <w:sz w:val="17"/>
          <w:szCs w:val="17"/>
          <w:color w:val="auto"/>
        </w:rPr>
      </w:pPr>
    </w:p>
    <w:p>
      <w:pPr>
        <w:ind w:right="60" w:firstLine="1979"/>
        <w:spacing w:after="0" w:line="279" w:lineRule="auto"/>
        <w:tabs>
          <w:tab w:leader="none" w:pos="2373"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Upon the expiration or termination of any unexercised Option or unconverted or unexchanged Convertible Security (or portion thereof) which resulted (either upon its original issuance or upon a revision of its terms) in an adjustment to an Applicable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such Applicable Conversion Price shall be readjusted to such Applicable Conversion Price as would have been obtained had such Option or Convertible Security (or portion thereof) never been issued.</w:t>
      </w:r>
    </w:p>
    <w:p>
      <w:pPr>
        <w:spacing w:after="0" w:line="171" w:lineRule="exact"/>
        <w:rPr>
          <w:rFonts w:ascii="Arial" w:cs="Arial" w:eastAsia="Arial" w:hAnsi="Arial"/>
          <w:sz w:val="17"/>
          <w:szCs w:val="17"/>
          <w:color w:val="auto"/>
        </w:rPr>
      </w:pPr>
    </w:p>
    <w:p>
      <w:pPr>
        <w:ind w:right="220" w:firstLine="1979"/>
        <w:spacing w:after="0" w:line="255" w:lineRule="auto"/>
        <w:tabs>
          <w:tab w:leader="none" w:pos="236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an Applicable Conversion Price provided for in this </w:t>
      </w:r>
      <w:r>
        <w:rPr>
          <w:rFonts w:ascii="Arial" w:cs="Arial" w:eastAsia="Arial" w:hAnsi="Arial"/>
          <w:sz w:val="18"/>
          <w:szCs w:val="18"/>
          <w:u w:val="single" w:color="auto"/>
          <w:color w:val="auto"/>
        </w:rPr>
        <w:t>Subsection 4.4.3</w:t>
      </w:r>
      <w:r>
        <w:rPr>
          <w:rFonts w:ascii="Arial" w:cs="Arial" w:eastAsia="Arial" w:hAnsi="Arial"/>
          <w:sz w:val="18"/>
          <w:szCs w:val="18"/>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54" w:name="page355"/>
    <w:bookmarkEnd w:id="354"/>
    <w:p>
      <w:pPr>
        <w:spacing w:after="0" w:line="273"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Subsection 4.4.3</w:t>
      </w:r>
      <w:r>
        <w:rPr>
          <w:rFonts w:ascii="Arial" w:cs="Arial" w:eastAsia="Arial" w:hAnsi="Arial"/>
          <w:sz w:val="17"/>
          <w:szCs w:val="17"/>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an Applicable Conversion Price that would result under the terms of this </w:t>
      </w:r>
      <w:r>
        <w:rPr>
          <w:rFonts w:ascii="Arial" w:cs="Arial" w:eastAsia="Arial" w:hAnsi="Arial"/>
          <w:sz w:val="17"/>
          <w:szCs w:val="17"/>
          <w:u w:val="single" w:color="auto"/>
          <w:color w:val="auto"/>
        </w:rPr>
        <w:t>Subsection 4.4.3</w:t>
      </w:r>
      <w:r>
        <w:rPr>
          <w:rFonts w:ascii="Arial" w:cs="Arial" w:eastAsia="Arial" w:hAnsi="Arial"/>
          <w:sz w:val="17"/>
          <w:szCs w:val="17"/>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an Applicable Conversion Price that such issuance or amendment took place at the time such calculation can first be made.</w:t>
      </w:r>
    </w:p>
    <w:p>
      <w:pPr>
        <w:spacing w:after="0" w:line="178" w:lineRule="exact"/>
        <w:rPr>
          <w:sz w:val="20"/>
          <w:szCs w:val="20"/>
          <w:color w:val="auto"/>
        </w:rPr>
      </w:pPr>
    </w:p>
    <w:p>
      <w:pPr>
        <w:ind w:right="80" w:firstLine="1432"/>
        <w:spacing w:after="0" w:line="255" w:lineRule="auto"/>
        <w:rPr>
          <w:sz w:val="20"/>
          <w:szCs w:val="20"/>
          <w:color w:val="auto"/>
        </w:rPr>
      </w:pPr>
      <w:r>
        <w:rPr>
          <w:rFonts w:ascii="Arial" w:cs="Arial" w:eastAsia="Arial" w:hAnsi="Arial"/>
          <w:sz w:val="18"/>
          <w:szCs w:val="18"/>
          <w:color w:val="auto"/>
        </w:rPr>
        <w:t xml:space="preserve">4.4.4 </w:t>
      </w:r>
      <w:r>
        <w:rPr>
          <w:rFonts w:ascii="Arial" w:cs="Arial" w:eastAsia="Arial" w:hAnsi="Arial"/>
          <w:sz w:val="18"/>
          <w:szCs w:val="18"/>
          <w:u w:val="single" w:color="auto"/>
          <w:color w:val="auto"/>
        </w:rPr>
        <w:t>Adjustment of Applicable Conversion Price Upon Issuance of Additional Shares of Common Stock</w:t>
      </w:r>
      <w:r>
        <w:rPr>
          <w:rFonts w:ascii="Arial" w:cs="Arial" w:eastAsia="Arial" w:hAnsi="Arial"/>
          <w:sz w:val="18"/>
          <w:szCs w:val="18"/>
          <w:color w:val="auto"/>
        </w:rPr>
        <w:t xml:space="preserve">. In the event the Corporation shall at any time after the Original Issue Date issue Additional Shares of Common Stock (including Additional Shares of Common Stock deemed to be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without consideration or for a consideration per share less than the Applicable Conversion Price of a series of Preferred Stock in effect immediately prior to such issuance or deemed issuance, then the Applicable Conversion Price of such series of Preferred Stock shall be reduced, concurrently with such issue, to a price (calculated to the nearest one-hundredth of a cent) determined in accordance with the following formula:</w:t>
      </w:r>
    </w:p>
    <w:p>
      <w:pPr>
        <w:spacing w:after="0" w:line="200" w:lineRule="exact"/>
        <w:rPr>
          <w:sz w:val="20"/>
          <w:szCs w:val="20"/>
          <w:color w:val="auto"/>
        </w:rPr>
      </w:pPr>
    </w:p>
    <w:p>
      <w:pPr>
        <w:spacing w:after="0" w:line="20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xml:space="preserve"> *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225" w:lineRule="exact"/>
        <w:rPr>
          <w:sz w:val="20"/>
          <w:szCs w:val="20"/>
          <w:color w:val="auto"/>
        </w:rPr>
      </w:pPr>
    </w:p>
    <w:p>
      <w:pPr>
        <w:ind w:right="260" w:firstLine="1979"/>
        <w:spacing w:after="0" w:line="277" w:lineRule="auto"/>
        <w:tabs>
          <w:tab w:leader="none" w:pos="236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shall mean the Applicable Conversion Price of such series of Preferred Stock in effect immediately after such issuance or deemed issuance of Additional Shares of Common Stock</w:t>
      </w:r>
    </w:p>
    <w:p>
      <w:pPr>
        <w:spacing w:after="0" w:line="170" w:lineRule="exact"/>
        <w:rPr>
          <w:rFonts w:ascii="Arial" w:cs="Arial" w:eastAsia="Arial" w:hAnsi="Arial"/>
          <w:sz w:val="18"/>
          <w:szCs w:val="18"/>
          <w:color w:val="auto"/>
        </w:rPr>
      </w:pPr>
    </w:p>
    <w:p>
      <w:pPr>
        <w:ind w:right="40" w:firstLine="1979"/>
        <w:spacing w:after="0" w:line="277" w:lineRule="auto"/>
        <w:tabs>
          <w:tab w:leader="none" w:pos="237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shall mean the Applicable Conversion Price of such series of Preferred Stock in effect immediately prior to such issuance or deemed issuance of Additional Shares of Common Stock;</w:t>
      </w:r>
    </w:p>
    <w:p>
      <w:pPr>
        <w:spacing w:after="0" w:line="170" w:lineRule="exact"/>
        <w:rPr>
          <w:rFonts w:ascii="Arial" w:cs="Arial" w:eastAsia="Arial" w:hAnsi="Arial"/>
          <w:sz w:val="18"/>
          <w:szCs w:val="18"/>
          <w:color w:val="auto"/>
        </w:rPr>
      </w:pPr>
    </w:p>
    <w:p>
      <w:pPr>
        <w:ind w:right="20" w:firstLine="1979"/>
        <w:spacing w:after="0" w:line="279" w:lineRule="auto"/>
        <w:tabs>
          <w:tab w:leader="none" w:pos="2362"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71" w:lineRule="exact"/>
        <w:rPr>
          <w:rFonts w:ascii="Arial" w:cs="Arial" w:eastAsia="Arial" w:hAnsi="Arial"/>
          <w:sz w:val="17"/>
          <w:szCs w:val="17"/>
          <w:color w:val="auto"/>
        </w:rPr>
      </w:pPr>
    </w:p>
    <w:p>
      <w:pPr>
        <w:ind w:right="100" w:firstLine="1979"/>
        <w:spacing w:after="0" w:line="275" w:lineRule="auto"/>
        <w:tabs>
          <w:tab w:leader="none" w:pos="237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or deemed issued if such Additional Shares of Common Stock had been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152" w:lineRule="exact"/>
        <w:rPr>
          <w:rFonts w:ascii="Arial" w:cs="Arial" w:eastAsia="Arial" w:hAnsi="Arial"/>
          <w:sz w:val="18"/>
          <w:szCs w:val="18"/>
          <w:color w:val="auto"/>
        </w:rPr>
      </w:pPr>
    </w:p>
    <w:p>
      <w:pPr>
        <w:ind w:left="2360" w:hanging="381"/>
        <w:spacing w:after="0"/>
        <w:tabs>
          <w:tab w:leader="none" w:pos="23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355" w:name="page356"/>
    <w:bookmarkEnd w:id="355"/>
    <w:p>
      <w:pPr>
        <w:ind w:left="4" w:right="220" w:firstLine="143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the consideration received by the Corporation for the issuance or deemed issuance of any Additional Shares of Common Stock shall be computed as follows:</w:t>
      </w:r>
    </w:p>
    <w:p>
      <w:pPr>
        <w:spacing w:after="0" w:line="170" w:lineRule="exact"/>
        <w:rPr>
          <w:sz w:val="20"/>
          <w:szCs w:val="20"/>
          <w:color w:val="auto"/>
        </w:rPr>
      </w:pPr>
    </w:p>
    <w:p>
      <w:pPr>
        <w:ind w:left="2364" w:hanging="381"/>
        <w:spacing w:after="0"/>
        <w:tabs>
          <w:tab w:leader="none" w:pos="2364"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225" w:lineRule="exact"/>
        <w:rPr>
          <w:rFonts w:ascii="Arial" w:cs="Arial" w:eastAsia="Arial" w:hAnsi="Arial"/>
          <w:sz w:val="18"/>
          <w:szCs w:val="18"/>
          <w:color w:val="auto"/>
        </w:rPr>
      </w:pPr>
    </w:p>
    <w:p>
      <w:pPr>
        <w:ind w:left="4" w:right="20" w:firstLine="2419"/>
        <w:spacing w:after="0" w:line="277" w:lineRule="auto"/>
        <w:tabs>
          <w:tab w:leader="none" w:pos="2777" w:val="left"/>
        </w:tabs>
        <w:numPr>
          <w:ilvl w:val="2"/>
          <w:numId w:val="249"/>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170" w:lineRule="exact"/>
        <w:rPr>
          <w:rFonts w:ascii="Arial" w:cs="Arial" w:eastAsia="Arial" w:hAnsi="Arial"/>
          <w:sz w:val="18"/>
          <w:szCs w:val="18"/>
          <w:color w:val="auto"/>
        </w:rPr>
      </w:pPr>
    </w:p>
    <w:p>
      <w:pPr>
        <w:ind w:left="4" w:right="80" w:firstLine="2419"/>
        <w:spacing w:after="0" w:line="277" w:lineRule="auto"/>
        <w:tabs>
          <w:tab w:leader="none" w:pos="2827" w:val="left"/>
        </w:tabs>
        <w:numPr>
          <w:ilvl w:val="2"/>
          <w:numId w:val="249"/>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of Directors of the Corporation; and</w:t>
      </w:r>
    </w:p>
    <w:p>
      <w:pPr>
        <w:spacing w:after="0" w:line="170" w:lineRule="exact"/>
        <w:rPr>
          <w:rFonts w:ascii="Arial" w:cs="Arial" w:eastAsia="Arial" w:hAnsi="Arial"/>
          <w:sz w:val="18"/>
          <w:szCs w:val="18"/>
          <w:color w:val="auto"/>
        </w:rPr>
      </w:pPr>
    </w:p>
    <w:p>
      <w:pPr>
        <w:jc w:val="both"/>
        <w:ind w:left="4" w:right="380" w:firstLine="2419"/>
        <w:spacing w:after="0" w:line="291" w:lineRule="auto"/>
        <w:tabs>
          <w:tab w:leader="none" w:pos="2877" w:val="left"/>
        </w:tabs>
        <w:numPr>
          <w:ilvl w:val="2"/>
          <w:numId w:val="249"/>
        </w:numPr>
        <w:rPr>
          <w:rFonts w:ascii="Arial" w:cs="Arial" w:eastAsia="Arial" w:hAnsi="Arial"/>
          <w:sz w:val="16"/>
          <w:szCs w:val="16"/>
          <w:color w:val="auto"/>
        </w:rPr>
      </w:pPr>
      <w:r>
        <w:rPr>
          <w:rFonts w:ascii="Arial" w:cs="Arial" w:eastAsia="Arial" w:hAnsi="Arial"/>
          <w:sz w:val="16"/>
          <w:szCs w:val="16"/>
          <w:color w:val="auto"/>
        </w:rPr>
        <w:t>in the event Additional Shares of Common Stock are issued together with other shares or securities or other assets of the Corporation for consideration which covers both, be the proportion of such consideration so received, computed as provided in clauses</w:t>
      </w:r>
    </w:p>
    <w:p>
      <w:pPr>
        <w:ind w:left="224" w:hanging="224"/>
        <w:spacing w:after="0"/>
        <w:tabs>
          <w:tab w:leader="none" w:pos="22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and (ii) above, as determined in good faith by the Board of Directors of the Corporation.</w:t>
      </w:r>
    </w:p>
    <w:p>
      <w:pPr>
        <w:spacing w:after="0" w:line="210" w:lineRule="exact"/>
        <w:rPr>
          <w:rFonts w:ascii="Arial" w:cs="Arial" w:eastAsia="Arial" w:hAnsi="Arial"/>
          <w:sz w:val="18"/>
          <w:szCs w:val="18"/>
          <w:color w:val="auto"/>
        </w:rPr>
      </w:pPr>
    </w:p>
    <w:p>
      <w:pPr>
        <w:ind w:left="4" w:firstLine="1979"/>
        <w:spacing w:after="0" w:line="269" w:lineRule="auto"/>
        <w:tabs>
          <w:tab w:leader="none" w:pos="2376" w:val="left"/>
        </w:tabs>
        <w:numPr>
          <w:ilvl w:val="1"/>
          <w:numId w:val="250"/>
        </w:numPr>
        <w:rPr>
          <w:rFonts w:ascii="Arial" w:cs="Arial" w:eastAsia="Arial" w:hAnsi="Arial"/>
          <w:sz w:val="17"/>
          <w:szCs w:val="17"/>
          <w:color w:val="auto"/>
        </w:rPr>
      </w:pPr>
      <w:r>
        <w:rPr>
          <w:rFonts w:ascii="Arial" w:cs="Arial" w:eastAsia="Arial" w:hAnsi="Arial"/>
          <w:sz w:val="17"/>
          <w:szCs w:val="17"/>
          <w:u w:val="single" w:color="auto"/>
          <w:color w:val="auto"/>
        </w:rPr>
        <w:t>Options and Convertible Securities</w:t>
      </w:r>
      <w:r>
        <w:rPr>
          <w:rFonts w:ascii="Arial" w:cs="Arial" w:eastAsia="Arial" w:hAnsi="Arial"/>
          <w:sz w:val="17"/>
          <w:szCs w:val="17"/>
          <w:color w:val="auto"/>
        </w:rPr>
        <w:t xml:space="preserve">. The consideration per share received by the Corporation for Additional Shares of Common Stock deemed to have been issued pursuant to </w:t>
      </w:r>
      <w:r>
        <w:rPr>
          <w:rFonts w:ascii="Arial" w:cs="Arial" w:eastAsia="Arial" w:hAnsi="Arial"/>
          <w:sz w:val="17"/>
          <w:szCs w:val="17"/>
          <w:u w:val="single" w:color="auto"/>
          <w:color w:val="auto"/>
        </w:rPr>
        <w:t>Subsection 4.4.3</w:t>
      </w:r>
      <w:r>
        <w:rPr>
          <w:rFonts w:ascii="Arial" w:cs="Arial" w:eastAsia="Arial" w:hAnsi="Arial"/>
          <w:sz w:val="17"/>
          <w:szCs w:val="17"/>
          <w:color w:val="auto"/>
        </w:rPr>
        <w:t>, relating to Options and Convertible Securities, shall be determined by dividing 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 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5" w:lineRule="exact"/>
        <w:rPr>
          <w:sz w:val="20"/>
          <w:szCs w:val="20"/>
          <w:color w:val="auto"/>
        </w:rPr>
      </w:pPr>
    </w:p>
    <w:p>
      <w:pPr>
        <w:ind w:left="4" w:right="40" w:firstLine="1432"/>
        <w:spacing w:after="0" w:line="255"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an Applicable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and such issuance dates occur within a period of no more than one hundred twenty (120) days from the first such issuance to the final such issuance, then, upon the final such issuance, such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92" w:lineRule="exact"/>
        <w:rPr>
          <w:sz w:val="20"/>
          <w:szCs w:val="20"/>
          <w:color w:val="auto"/>
        </w:rPr>
      </w:pPr>
    </w:p>
    <w:p>
      <w:pPr>
        <w:ind w:left="4" w:right="40" w:firstLine="991"/>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Adjustment for Stock Splits and Combinations</w:t>
      </w:r>
      <w:r>
        <w:rPr>
          <w:rFonts w:ascii="Arial" w:cs="Arial" w:eastAsia="Arial" w:hAnsi="Arial"/>
          <w:sz w:val="18"/>
          <w:szCs w:val="18"/>
          <w:color w:val="auto"/>
        </w:rPr>
        <w:t>. If the Corporation shall at any time or from time to time after the Original Issue Date effect a subdivision of the outstanding</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356" w:name="page357"/>
    <w:bookmarkEnd w:id="356"/>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Common Stock, each Applicable Conversion Price in effect immediately before that subdivision shall be proportionately decreased so that the number of shares of Common Stock issuable on conversion of each share of such series of Preferred Stock shall be increased in proportion to such increase in the aggregate number of shares of Common Stock outstanding. If the Corporation shall at any time or from time to time after the Original Issue Date combine the outstanding shares of Common Stock, each Applicable Conversion Price in effect immediately before the combination shall be proportionately increased so that the number of shares of Common Stock issuable on conversion of each share of such series of Preferred Stock shall be decreased in proportion to such decrease in the aggregate number of shares of Common Stock outstanding. Any adjustment under this </w:t>
      </w:r>
      <w:r>
        <w:rPr>
          <w:rFonts w:ascii="Arial" w:cs="Arial" w:eastAsia="Arial" w:hAnsi="Arial"/>
          <w:sz w:val="16"/>
          <w:szCs w:val="16"/>
          <w:u w:val="single" w:color="auto"/>
          <w:color w:val="auto"/>
        </w:rPr>
        <w:t>Subsection 4.5</w:t>
      </w:r>
      <w:r>
        <w:rPr>
          <w:rFonts w:ascii="Arial" w:cs="Arial" w:eastAsia="Arial" w:hAnsi="Arial"/>
          <w:sz w:val="16"/>
          <w:szCs w:val="16"/>
          <w:color w:val="auto"/>
        </w:rPr>
        <w:t xml:space="preserve"> shall become effective at the close of business on the date the subdivision or combination becomes effective.</w:t>
      </w:r>
    </w:p>
    <w:p>
      <w:pPr>
        <w:spacing w:after="0" w:line="166"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each Applicable Conversion Price in effect immediately before such event shall be decreased as of the time of such issuance or, in the event such a record date shall have been fixed, as of the close of business on such record date, by multiplying such Applicable Conversion Price then in effect by a fraction:</w:t>
      </w:r>
    </w:p>
    <w:p>
      <w:pPr>
        <w:spacing w:after="0" w:line="176" w:lineRule="exact"/>
        <w:rPr>
          <w:sz w:val="20"/>
          <w:szCs w:val="20"/>
          <w:color w:val="auto"/>
        </w:rPr>
      </w:pPr>
    </w:p>
    <w:p>
      <w:pPr>
        <w:ind w:right="40" w:firstLine="1979"/>
        <w:spacing w:after="0" w:line="277" w:lineRule="auto"/>
        <w:tabs>
          <w:tab w:leader="none" w:pos="236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ind w:right="120" w:firstLine="1979"/>
        <w:spacing w:after="0" w:line="263" w:lineRule="auto"/>
        <w:tabs>
          <w:tab w:leader="none" w:pos="237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Notwithstanding the foregoing, (a) if such record date shall have been fixed and such dividend is not fully paid or if such distribution is not fully made on the date fixed therefor, each Applicable Conversion Price shall be recomputed accordingly as of the close of business on such record date and thereafter such Applicable Conversion Price shall be adjusted pursuant to this </w:t>
      </w:r>
      <w:r>
        <w:rPr>
          <w:rFonts w:ascii="Arial" w:cs="Arial" w:eastAsia="Arial" w:hAnsi="Arial"/>
          <w:sz w:val="16"/>
          <w:szCs w:val="16"/>
          <w:u w:val="single" w:color="auto"/>
          <w:color w:val="auto"/>
        </w:rPr>
        <w:t>Subsection 4.6</w:t>
      </w:r>
      <w:r>
        <w:rPr>
          <w:rFonts w:ascii="Arial" w:cs="Arial" w:eastAsia="Arial" w:hAnsi="Arial"/>
          <w:sz w:val="16"/>
          <w:szCs w:val="16"/>
          <w:color w:val="auto"/>
        </w:rPr>
        <w:t xml:space="preserve"> as of the time of actual payment of such dividends or distributions; and (b) that no such adjustment shall be made if the holders of the applicable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164"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Adjustments for Other Dividends and Distributions</w:t>
      </w:r>
      <w:r>
        <w:rPr>
          <w:rFonts w:ascii="Arial" w:cs="Arial" w:eastAsia="Arial" w:hAnsi="Arial"/>
          <w:sz w:val="18"/>
          <w:szCs w:val="18"/>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do not apply to such dividend or distribution, then and in each such event provision shall be made so that the holders of each series of Preferred Stock shall receive upon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357" w:name="page358"/>
    <w:bookmarkEnd w:id="35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conversion thereof, in addition to the number of shares of Common Stock receivable thereupon, the kind and amount of securities of the Corporation, cash or other property which they would have been entitled to receive had such series of Preferred Stock been converted into Common Stock on the date of such event and had they thereafter, during the period from the date of such event to and including the conversion date, retained such securities receivable by them as aforesaid during such period, giving application to all adjustments called for during such period under this paragraph with respect to the rights of the holders of shares of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provision shall be made if the holders of shares of such series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such series of Preferred Stock had been converted into Common Stock on the date of such event.</w:t>
      </w:r>
    </w:p>
    <w:p>
      <w:pPr>
        <w:spacing w:after="0" w:line="165"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if there shall occur any reorganization, recapitalization, substitution, exchange, reclassification, consolidation or merger involving the Corporation in which the Common Stock (but not one or more series of Preferred Stock) is converted into or exchanged for securities, cash or other property (other than a transaction covered by </w:t>
      </w:r>
      <w:r>
        <w:rPr>
          <w:rFonts w:ascii="Arial" w:cs="Arial" w:eastAsia="Arial" w:hAnsi="Arial"/>
          <w:sz w:val="16"/>
          <w:szCs w:val="16"/>
          <w:u w:val="single" w:color="auto"/>
          <w:color w:val="auto"/>
        </w:rPr>
        <w:t>Subsection 4.4</w:t>
      </w:r>
      <w:r>
        <w:rPr>
          <w:rFonts w:ascii="Arial" w:cs="Arial" w:eastAsia="Arial" w:hAnsi="Arial"/>
          <w:sz w:val="16"/>
          <w:szCs w:val="16"/>
          <w:color w:val="auto"/>
        </w:rPr>
        <w:t xml:space="preserve">, </w:t>
      </w:r>
      <w:r>
        <w:rPr>
          <w:rFonts w:ascii="Arial" w:cs="Arial" w:eastAsia="Arial" w:hAnsi="Arial"/>
          <w:sz w:val="16"/>
          <w:szCs w:val="16"/>
          <w:u w:val="single" w:color="auto"/>
          <w:color w:val="auto"/>
        </w:rPr>
        <w:t>4.6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then, following any such reorganization, recapitalization, substitution, exchange, reclassification, consolidation or merger, each share of such series of unconverted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such series of Preferred Stock immediately prior to such reorganization, recapitalization, substitution, exchange,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the rights and interests thereafter of the holders of the each series of Preferred Stock, to the end that the provisions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such series of Preferred Stock. For the avoidance of doubt, nothing in this </w:t>
      </w:r>
      <w:r>
        <w:rPr>
          <w:rFonts w:ascii="Arial" w:cs="Arial" w:eastAsia="Arial" w:hAnsi="Arial"/>
          <w:sz w:val="16"/>
          <w:szCs w:val="16"/>
          <w:u w:val="single" w:color="auto"/>
          <w:color w:val="auto"/>
        </w:rPr>
        <w:t>Subsection 4.8</w:t>
      </w:r>
      <w:r>
        <w:rPr>
          <w:rFonts w:ascii="Arial" w:cs="Arial" w:eastAsia="Arial" w:hAnsi="Arial"/>
          <w:sz w:val="16"/>
          <w:szCs w:val="16"/>
          <w:color w:val="auto"/>
        </w:rPr>
        <w:t xml:space="preserve"> shall be construed as preventing the holders of shares of Preferred Stock from seeking any appraisal rights to which they are otherwise entitled under the General Corporation Law in connection with a merger triggering an adjustment hereunder, nor shall this </w:t>
      </w:r>
      <w:r>
        <w:rPr>
          <w:rFonts w:ascii="Arial" w:cs="Arial" w:eastAsia="Arial" w:hAnsi="Arial"/>
          <w:sz w:val="16"/>
          <w:szCs w:val="16"/>
          <w:u w:val="single" w:color="auto"/>
          <w:color w:val="auto"/>
        </w:rPr>
        <w:t>Subsection 4.8</w:t>
      </w:r>
      <w:r>
        <w:rPr>
          <w:rFonts w:ascii="Arial" w:cs="Arial" w:eastAsia="Arial" w:hAnsi="Arial"/>
          <w:sz w:val="16"/>
          <w:szCs w:val="16"/>
          <w:color w:val="auto"/>
        </w:rPr>
        <w:t xml:space="preserve"> be deemed conclusive evidence of the fair value of the shares of Preferred Stock in any such appraisal proceeding.</w:t>
      </w:r>
    </w:p>
    <w:p>
      <w:pPr>
        <w:spacing w:after="0" w:line="167" w:lineRule="exact"/>
        <w:rPr>
          <w:sz w:val="20"/>
          <w:szCs w:val="20"/>
          <w:color w:val="auto"/>
        </w:rPr>
      </w:pPr>
    </w:p>
    <w:p>
      <w:pPr>
        <w:ind w:right="120" w:firstLine="991"/>
        <w:spacing w:after="0" w:line="293"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Upon the occurrence of each adjustment or readjustment of an Applicable Conversion Price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the Corporation at its expense shall, as promptly as reasonably practicable but in any event not later than ten (10) days thereafter, compute such adjustment or readjustment in accordance with the terms hereof and furnish to each holder of Preferred Stock subject to such adjustment or readjustment a certificate setting forth such adjustment or readjustment (including the kind and amount of securities, cash or other property into which the applicable series of Preferred Stock is convertible) and showing in detail the facts upon which such adjustment or readjustment is based. The Corporation shall, as promptly as reasonably practicable after the written request at any time of any holder of Preferred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358" w:name="page359"/>
    <w:bookmarkEnd w:id="358"/>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(but in any event not later than ten (10) days thereafter), furnish or cause to be furnished to such holder a certificate setting forth (i) the Applicable Conversion Price of each series of Preferred Stock then in effect and (ii) the number of shares of Common Stock and the amount, if any, of other securities, cash or property which then would be received upon the conversion of each series of Preferred Stock.</w:t>
      </w:r>
    </w:p>
    <w:p>
      <w:pPr>
        <w:spacing w:after="0" w:line="292" w:lineRule="exact"/>
        <w:rPr>
          <w:sz w:val="20"/>
          <w:szCs w:val="20"/>
          <w:color w:val="auto"/>
        </w:rPr>
      </w:pPr>
    </w:p>
    <w:p>
      <w:pPr>
        <w:ind w:left="984"/>
        <w:spacing w:after="0"/>
        <w:tabs>
          <w:tab w:leader="none" w:pos="1464"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Notice of Record Date</w:t>
      </w:r>
      <w:r>
        <w:rPr>
          <w:rFonts w:ascii="Arial" w:cs="Arial" w:eastAsia="Arial" w:hAnsi="Arial"/>
          <w:sz w:val="16"/>
          <w:szCs w:val="16"/>
          <w:color w:val="auto"/>
        </w:rPr>
        <w:t>. In the event:</w:t>
      </w:r>
    </w:p>
    <w:p>
      <w:pPr>
        <w:spacing w:after="0" w:line="117" w:lineRule="exact"/>
        <w:rPr>
          <w:sz w:val="20"/>
          <w:szCs w:val="20"/>
          <w:color w:val="auto"/>
        </w:rPr>
      </w:pPr>
    </w:p>
    <w:p>
      <w:pPr>
        <w:ind w:left="4" w:right="20" w:firstLine="1979"/>
        <w:spacing w:after="0" w:line="311" w:lineRule="auto"/>
        <w:tabs>
          <w:tab w:leader="none" w:pos="2366"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any series of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48" w:lineRule="exact"/>
        <w:rPr>
          <w:rFonts w:ascii="Arial" w:cs="Arial" w:eastAsia="Arial" w:hAnsi="Arial"/>
          <w:sz w:val="16"/>
          <w:szCs w:val="16"/>
          <w:color w:val="auto"/>
        </w:rPr>
      </w:pPr>
    </w:p>
    <w:p>
      <w:pPr>
        <w:ind w:left="2364" w:hanging="381"/>
        <w:spacing w:after="0"/>
        <w:tabs>
          <w:tab w:leader="none" w:pos="236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 any</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Deemed Liquidation Event; or</w:t>
      </w:r>
    </w:p>
    <w:p>
      <w:pPr>
        <w:spacing w:after="0" w:line="210" w:lineRule="exact"/>
        <w:rPr>
          <w:rFonts w:ascii="Arial" w:cs="Arial" w:eastAsia="Arial" w:hAnsi="Arial"/>
          <w:sz w:val="16"/>
          <w:szCs w:val="16"/>
          <w:color w:val="auto"/>
        </w:rPr>
      </w:pPr>
    </w:p>
    <w:p>
      <w:pPr>
        <w:ind w:left="2364" w:hanging="381"/>
        <w:spacing w:after="0"/>
        <w:tabs>
          <w:tab w:leader="none" w:pos="236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w:t>
      </w:r>
    </w:p>
    <w:p>
      <w:pPr>
        <w:spacing w:after="0" w:line="46" w:lineRule="exact"/>
        <w:rPr>
          <w:sz w:val="20"/>
          <w:szCs w:val="20"/>
          <w:color w:val="auto"/>
        </w:rPr>
      </w:pPr>
    </w:p>
    <w:p>
      <w:pPr>
        <w:ind w:left="4" w:right="40" w:hanging="4"/>
        <w:spacing w:after="0" w:line="269" w:lineRule="auto"/>
        <w:tabs>
          <w:tab w:leader="none" w:pos="219"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288" w:lineRule="exact"/>
        <w:rPr>
          <w:sz w:val="20"/>
          <w:szCs w:val="20"/>
          <w:color w:val="auto"/>
        </w:rPr>
      </w:pPr>
    </w:p>
    <w:p>
      <w:pPr>
        <w:ind w:left="764" w:hanging="324"/>
        <w:spacing w:after="0"/>
        <w:tabs>
          <w:tab w:leader="none" w:pos="764"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117" w:lineRule="exact"/>
        <w:rPr>
          <w:sz w:val="20"/>
          <w:szCs w:val="20"/>
          <w:color w:val="auto"/>
        </w:rPr>
      </w:pPr>
    </w:p>
    <w:p>
      <w:pPr>
        <w:ind w:left="4" w:right="60" w:firstLine="991"/>
        <w:spacing w:after="0" w:line="29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Events</w:t>
      </w:r>
      <w:r>
        <w:rPr>
          <w:rFonts w:ascii="Arial" w:cs="Arial" w:eastAsia="Arial" w:hAnsi="Arial"/>
          <w:sz w:val="16"/>
          <w:szCs w:val="16"/>
          <w:color w:val="auto"/>
        </w:rPr>
        <w:t>. Upon the closing of the sale of shares of Common Stock to the public at a price of at least $44.8402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resulting in at least $100,000,000 of proceeds, net of the underwriting discount and commissions, to the Corporation, (a “</w:t>
      </w:r>
      <w:r>
        <w:rPr>
          <w:rFonts w:ascii="Arial" w:cs="Arial" w:eastAsia="Arial" w:hAnsi="Arial"/>
          <w:sz w:val="16"/>
          <w:szCs w:val="16"/>
          <w:b w:val="1"/>
          <w:bCs w:val="1"/>
          <w:color w:val="auto"/>
        </w:rPr>
        <w:t>Qualified Public Offering</w:t>
      </w:r>
      <w:r>
        <w:rPr>
          <w:rFonts w:ascii="Arial" w:cs="Arial" w:eastAsia="Arial" w:hAnsi="Arial"/>
          <w:sz w:val="16"/>
          <w:szCs w:val="16"/>
          <w:color w:val="auto"/>
        </w:rPr>
        <w:t>”) (i) all outstanding shares of Preferred Stock shall automatically be converted into shares of Class A Common Stock or Class B Common Stock, as applicable, in accordance with the then effective Applicable Conversion Price and (ii) such shares may not be reissued by the Corporation. Upon the date and time, or the occurrence of an event, specified by vote or written consent of the holders of a majority of the outstanding shares of Series A Preferred Stock and Series B Preferred Stock, voting together as a single class, (i) all outstanding shares of Series A</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4"/>
          </w:cols>
          <w:pgMar w:left="436" w:top="274" w:right="479" w:bottom="1440" w:gutter="0" w:footer="0" w:header="0"/>
        </w:sectPr>
      </w:pPr>
    </w:p>
    <w:bookmarkStart w:id="359" w:name="page360"/>
    <w:bookmarkEnd w:id="359"/>
    <w:p>
      <w:pPr>
        <w:ind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Preferred Stock and Series B Preferred Stock shall automatically be converted into shares of Common Stock in accordance with the then effective Applicable Conversion Price and (ii) such shares may not be reissued by the Corporation. Upon the date and time, or the occurrence of an event, specified by vote or written consent of the holders of a majority of the then outstanding shares of Series B1 Preferred Stock and Series B1-NV Preferred Stock, voting together as a single class, (i) all outstanding shares of Series B1 Preferred Stock and Series B1-NV Preferred Stock shall automatically be converted into shares of Common Stock in accordance with the then effective Applicable Conversion Price and (ii) such shares may not be reissued by the Corporation. Upon the date and time, or the occurrence of an event, specified by vote or written consent of the Requisite Series C Holders, (i) all outstanding shares of Series C Preferred Stock shall automatically be converted into shares of Common Stock in accordance with the then effective Applicable Conversion Price and (ii) such shares may not be reissued by the Corporation. Upon the date and time, or the occurrence of an event, specified by vote or written consent of the Requisite Series D Holders, (i) all outstanding shares of Series D Preferred Stock shall automatically be converted into shares of Common Stock in accordance with the then effective Applicable Conversion Price and (ii) such shares may not be reissued by the Corporation. Upon the date and time, or the occurrence of an event, specified by the vote or written consent of the holders of a majority of the Series E Preferred Stock, (i) all outstanding shares of Series E Preferred Stock shall automatically be converted into shares of Class A Common Stock or Class B Common Stock, as applicable, in accordance with the then-effective Applicable Conversion Price and (ii) such shares may not be reissued by the Corporation. Upon the date and time, or the occurrence of an event, specified by the vote or written consent of the holders of a majority of the Series F Preferred Stock, (i) all outstanding shares of Series F Preferred Stock shall automatically be converted into shares of Class A Common Stock or Class B Common Stock, as applicable, in accordance with the then-effective Applicable Conversion Price and (ii) such shares may not be reissued by the Corporation. The applicable time of any conversion of one or more series of Preferred Stock pursuant to this </w:t>
      </w:r>
      <w:r>
        <w:rPr>
          <w:rFonts w:ascii="Arial" w:cs="Arial" w:eastAsia="Arial" w:hAnsi="Arial"/>
          <w:sz w:val="17"/>
          <w:szCs w:val="17"/>
          <w:u w:val="single" w:color="auto"/>
          <w:color w:val="auto"/>
        </w:rPr>
        <w:t>Subsection 5.1</w:t>
      </w:r>
      <w:r>
        <w:rPr>
          <w:rFonts w:ascii="Arial" w:cs="Arial" w:eastAsia="Arial" w:hAnsi="Arial"/>
          <w:sz w:val="17"/>
          <w:szCs w:val="17"/>
          <w:color w:val="auto"/>
        </w:rPr>
        <w:t xml:space="preserve"> is referred to herein as a “</w:t>
      </w:r>
      <w:r>
        <w:rPr>
          <w:rFonts w:ascii="Arial" w:cs="Arial" w:eastAsia="Arial" w:hAnsi="Arial"/>
          <w:sz w:val="17"/>
          <w:szCs w:val="17"/>
          <w:b w:val="1"/>
          <w:bCs w:val="1"/>
          <w:color w:val="auto"/>
        </w:rPr>
        <w:t>Mandatory Conversion Time.</w:t>
      </w:r>
      <w:r>
        <w:rPr>
          <w:rFonts w:ascii="Arial" w:cs="Arial" w:eastAsia="Arial" w:hAnsi="Arial"/>
          <w:sz w:val="17"/>
          <w:szCs w:val="17"/>
          <w:color w:val="auto"/>
        </w:rPr>
        <w:t>”</w:t>
      </w:r>
    </w:p>
    <w:p>
      <w:pPr>
        <w:spacing w:after="0" w:line="190"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Preferred Stock being converted pursuant to </w:t>
      </w:r>
      <w:r>
        <w:rPr>
          <w:rFonts w:ascii="Arial" w:cs="Arial" w:eastAsia="Arial" w:hAnsi="Arial"/>
          <w:sz w:val="16"/>
          <w:szCs w:val="16"/>
          <w:u w:val="single" w:color="auto"/>
          <w:color w:val="auto"/>
        </w:rPr>
        <w:t>Subsection 5.1</w:t>
      </w:r>
      <w:r>
        <w:rPr>
          <w:rFonts w:ascii="Arial" w:cs="Arial" w:eastAsia="Arial" w:hAnsi="Arial"/>
          <w:sz w:val="16"/>
          <w:szCs w:val="16"/>
          <w:color w:val="auto"/>
        </w:rPr>
        <w:t xml:space="preserve"> shall be sent written notice of the Mandatory Conversion Time and the place designated for mandatory conversion of all such shares of Preferred Stock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Such notice need not be sent in advance of the occurrence of the Mandatory Conversion Time. Upon receipt of such notice, each holder of shares of Preferred Stock being converted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6"/>
          <w:szCs w:val="16"/>
          <w:u w:val="single" w:color="auto"/>
          <w:color w:val="auto"/>
        </w:rPr>
        <w:t>Subsection 5.1</w:t>
      </w:r>
      <w:r>
        <w:rPr>
          <w:rFonts w:ascii="Arial" w:cs="Arial" w:eastAsia="Arial" w:hAnsi="Arial"/>
          <w:sz w:val="16"/>
          <w:szCs w:val="16"/>
          <w:color w:val="auto"/>
        </w:rPr>
        <w:t>, including the rights, if any, to receive notices and vote (other than as a holder of Common Stock), will terminate at the Mandatory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360" w:name="page361"/>
    <w:bookmarkEnd w:id="36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items provided for in the next sentence of this </w:t>
      </w:r>
      <w:r>
        <w:rPr>
          <w:rFonts w:ascii="Arial" w:cs="Arial" w:eastAsia="Arial" w:hAnsi="Arial"/>
          <w:sz w:val="16"/>
          <w:szCs w:val="16"/>
          <w:u w:val="single" w:color="auto"/>
          <w:color w:val="auto"/>
        </w:rPr>
        <w:t>Subsection 5.2</w:t>
      </w:r>
      <w:r>
        <w:rPr>
          <w:rFonts w:ascii="Arial" w:cs="Arial" w:eastAsia="Arial" w:hAnsi="Arial"/>
          <w:sz w:val="16"/>
          <w:szCs w:val="16"/>
          <w:color w:val="auto"/>
        </w:rPr>
        <w:t xml:space="preserve">. As soon as practicable after the Mandatory Conversion Time and the surrender of the certificate or certificates (or lost certificate affidavit and agreement) for Preferred Stock, the Corporation shall issue and deliver to such holder, or to his, her or its nominees, a certificate or certificates for the number of full shares of Common Stock issuable on such conversion in accordance with the provisions hereof, together with cash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the payment of any declared but unpaid dividends on the shares of Preferred Stock converted. Such converted shares of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66" w:lineRule="exact"/>
        <w:rPr>
          <w:sz w:val="20"/>
          <w:szCs w:val="20"/>
          <w:color w:val="auto"/>
        </w:rPr>
      </w:pPr>
    </w:p>
    <w:p>
      <w:pPr>
        <w:ind w:right="440" w:firstLine="436"/>
        <w:spacing w:after="0" w:line="277" w:lineRule="auto"/>
        <w:tabs>
          <w:tab w:leader="none" w:pos="755"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Optional Conversion of Series B1 Preferred Stock into Series B1-NV Preferred Stock and Series B1-NV Preferred Stock into Series B1 Preferred Stock</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holders of the Series B1 Preferred Stock and Series B1-NV Preferred Stock shall have conversion rights as follows:</w:t>
      </w:r>
    </w:p>
    <w:p>
      <w:pPr>
        <w:spacing w:after="0" w:line="333"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117" w:lineRule="exact"/>
        <w:rPr>
          <w:sz w:val="20"/>
          <w:szCs w:val="20"/>
          <w:color w:val="auto"/>
        </w:rPr>
      </w:pPr>
    </w:p>
    <w:p>
      <w:pPr>
        <w:ind w:firstLine="1432"/>
        <w:spacing w:after="0" w:line="271"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Conversion Ratio; Accrued Dividends</w:t>
      </w:r>
      <w:r>
        <w:rPr>
          <w:rFonts w:ascii="Arial" w:cs="Arial" w:eastAsia="Arial" w:hAnsi="Arial"/>
          <w:sz w:val="17"/>
          <w:szCs w:val="17"/>
          <w:color w:val="auto"/>
        </w:rPr>
        <w:t>. Each share of Series B1 Preferred Stock shall be convertible, at the option of the holder thereof, at any time and from time to time, and without the payment of additional consideration by the holder thereof, into one fully paid and nonassessable share of Series B1-NV Preferred Stock. In addition, each share of Series B1-NV Preferred Stock shall be convertible, at the option of the holder thereof, at any time and from time to time, and without the payment of additional consideration by the holder thereof, into one fully paid and nonassessable share of Series B1 Preferred Stock. Notwithstanding anything contained herein to the contrary, in connection with any such conversion of shares of Series B1 Preferred Stock into shares of Series B1-NV Preferred Stock or conversion of shares of Series B1-NV Preferred Stock into shares of Series B1 Preferred Stock, any accrued but unpaid dividends on the shares so converted will inure to and carry forward with respect to the shares into which such shares are so converted.</w:t>
      </w:r>
    </w:p>
    <w:p>
      <w:pPr>
        <w:spacing w:after="0" w:line="286"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Mechanics of Conversion</w:t>
      </w:r>
      <w:r>
        <w:rPr>
          <w:rFonts w:ascii="Arial" w:cs="Arial" w:eastAsia="Arial" w:hAnsi="Arial"/>
          <w:sz w:val="16"/>
          <w:szCs w:val="16"/>
          <w:color w:val="auto"/>
        </w:rPr>
        <w:t>.</w:t>
      </w:r>
    </w:p>
    <w:p>
      <w:pPr>
        <w:spacing w:after="0" w:line="117" w:lineRule="exact"/>
        <w:rPr>
          <w:sz w:val="20"/>
          <w:szCs w:val="20"/>
          <w:color w:val="auto"/>
        </w:rPr>
      </w:pPr>
    </w:p>
    <w:p>
      <w:pPr>
        <w:ind w:right="40" w:firstLine="1432"/>
        <w:spacing w:after="0" w:line="290" w:lineRule="auto"/>
        <w:rPr>
          <w:sz w:val="20"/>
          <w:szCs w:val="20"/>
          <w:color w:val="auto"/>
        </w:rPr>
      </w:pPr>
      <w:r>
        <w:rPr>
          <w:rFonts w:ascii="Arial" w:cs="Arial" w:eastAsia="Arial" w:hAnsi="Arial"/>
          <w:sz w:val="16"/>
          <w:szCs w:val="16"/>
          <w:color w:val="auto"/>
        </w:rPr>
        <w:t xml:space="preserve">6.2.1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Series B1 Preferred Stock or Series B1-NV Preferred Stock to voluntarily convert shares of Series B1 Preferred Stock or Series B1-NV Preferred Stock (as the case may be) into shares of Series B1-NV Preferred Stock or Series B1 Preferred Stock (as the case may be), such holder shall surrender the certificate or certificates for such shares of Series B1 Preferred Stock or Series B1-NV Preferred Stock (as the case may be)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such preferred stock (or at the principal office of the Corporation if the Corporation serves as its own transfer agent), together with written notice that such holder elects to convert all or any number of the shares of the Series B1 Preferred Stock or Series B1-NV Preferred Stock (as the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440" w:top="274" w:right="499" w:bottom="1440" w:gutter="0" w:footer="0" w:header="0"/>
        </w:sectPr>
      </w:pPr>
    </w:p>
    <w:bookmarkStart w:id="361" w:name="page362"/>
    <w:bookmarkEnd w:id="3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case may be) represented by such certificate or certificates and, if applicable, any event on which such conversion is contingent. Such notice shall state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holder’s name or the names of the nominees in which such holder wishes the certificate or certificates for shares of Series B1-NV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Series B1 Preferred Stock (as the case may be) to be issued. If required by the Corporation, certificates surrendered for conversion shall be endorsed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accompanied by a written instrument or instruments of transfer, in form satisfactory to the Corporation, duly executed by the registered holder or 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 or its attorney duly authorized in writing. The close of business on the date of receipt by the transfer agent (or by the Corporation if the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serves as its own transfer agent) of such certificates (or lost certificate affidavit and agreement) and notice shall be the time of conversion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Conversion Time</w:t>
      </w:r>
      <w:r>
        <w:rPr>
          <w:rFonts w:ascii="Arial" w:cs="Arial" w:eastAsia="Arial" w:hAnsi="Arial"/>
          <w:sz w:val="16"/>
          <w:szCs w:val="16"/>
          <w:color w:val="auto"/>
        </w:rPr>
        <w:t>”), and the shares of Series B1-NV Preferred Stock or Series B1 Preferred Stock (as the case may be) issuable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of the shares represented by such certificate shall be deemed to be outstanding of record as of such date. The Corporation shall, as soon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practicable after the Preferred Conversion Time, issue and deliver to such holder of Series B1 Preferred Stock or Series B1-NV Preferred Stock (as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case may be), or to his, her or its nominees, a certificate or certificates for the number of full shares of Series B1-NV Preferred Stock or Series B1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(as the case may be) issuable upon such conversion in accordance with the provisions hereof and a certificate for the number (if any)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shares of Series B1 Preferred Stock or Series B1-NV Preferred Stock (as the case may be) represented by the surrendered certificate that were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converted into Series B1-NV Preferred Stock and Series B1 Preferred Stock (as the case may be).</w:t>
      </w:r>
    </w:p>
    <w:p>
      <w:pPr>
        <w:spacing w:after="0" w:line="211" w:lineRule="exact"/>
        <w:rPr>
          <w:sz w:val="20"/>
          <w:szCs w:val="20"/>
          <w:color w:val="auto"/>
        </w:rPr>
      </w:pPr>
    </w:p>
    <w:p>
      <w:pPr>
        <w:ind w:firstLine="1432"/>
        <w:spacing w:after="0" w:line="269" w:lineRule="auto"/>
        <w:rPr>
          <w:sz w:val="20"/>
          <w:szCs w:val="20"/>
          <w:color w:val="auto"/>
        </w:rPr>
      </w:pPr>
      <w:r>
        <w:rPr>
          <w:rFonts w:ascii="Arial" w:cs="Arial" w:eastAsia="Arial" w:hAnsi="Arial"/>
          <w:sz w:val="17"/>
          <w:szCs w:val="17"/>
          <w:color w:val="auto"/>
        </w:rPr>
        <w:t xml:space="preserve">6.2.2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at all times when the Series B1 Preferred Stock or Series B1-NV Preferred Stock shall be outstanding, reserve and keep available out of its authorized but unissued capital stock, for the purpose of effecting the conversion of the Series B1 Preferred Stock or Series B1 -NV Preferred Stock, such number of its duly authorized shares of Series B1-NV Preferred Stock or Series B1 Preferred Stock (as the case may be) as shall from time to time be sufficient to effect the conversion of all outstanding Series B1 Preferred Stock or Series B1-NV Preferred Stock (as the case may be); and if at any time the number of authorized but unissued shares of Series B1-NV Preferred Stock or Series B1 Preferred Stock shall not be sufficient to effect the conversion of all then outstanding shares of the Series B1 Preferred Stock or Series B1-NV Preferred Stock (as the case may be), the Corporation shall take such corporate action as may be necessary to increase its authorized but unissued shares of Series B1-NV Preferred Stock or Series B1 Preferred Stock (as the case may be) to such number of shares as shall be sufficient for such purposes, including, without limitation, engaging in best efforts to obtain the requisite stockholder approval of any necessary amendment to this Certificate of Incorporation.</w:t>
      </w:r>
    </w:p>
    <w:p>
      <w:pPr>
        <w:spacing w:after="0" w:line="185" w:lineRule="exact"/>
        <w:rPr>
          <w:sz w:val="20"/>
          <w:szCs w:val="20"/>
          <w:color w:val="auto"/>
        </w:rPr>
      </w:pPr>
    </w:p>
    <w:p>
      <w:pPr>
        <w:ind w:right="100" w:firstLine="1432"/>
        <w:spacing w:after="0" w:line="273" w:lineRule="auto"/>
        <w:rPr>
          <w:sz w:val="20"/>
          <w:szCs w:val="20"/>
          <w:color w:val="auto"/>
        </w:rPr>
      </w:pPr>
      <w:r>
        <w:rPr>
          <w:rFonts w:ascii="Arial" w:cs="Arial" w:eastAsia="Arial" w:hAnsi="Arial"/>
          <w:sz w:val="17"/>
          <w:szCs w:val="17"/>
          <w:color w:val="auto"/>
        </w:rPr>
        <w:t xml:space="preserve">6.2.3 </w:t>
      </w:r>
      <w:r>
        <w:rPr>
          <w:rFonts w:ascii="Arial" w:cs="Arial" w:eastAsia="Arial" w:hAnsi="Arial"/>
          <w:sz w:val="17"/>
          <w:szCs w:val="17"/>
          <w:u w:val="single" w:color="auto"/>
          <w:color w:val="auto"/>
        </w:rPr>
        <w:t>Effect of Conversion</w:t>
      </w:r>
      <w:r>
        <w:rPr>
          <w:rFonts w:ascii="Arial" w:cs="Arial" w:eastAsia="Arial" w:hAnsi="Arial"/>
          <w:sz w:val="17"/>
          <w:szCs w:val="17"/>
          <w:color w:val="auto"/>
        </w:rPr>
        <w:t>. All shares of Series B1 Preferred Stock or Series B1-NV Preferred Stock (as the case may be) which shall have been surrendered for conversion as herein provided shall no longer be deemed to be outstanding and all rights with respect to such shares shall immediately cease and terminate at the Preferred Conversion Time, except only the right of the holders thereof to receive shares of Series B1-NV Preferred Stock or Series B1 Preferred Stock (as the case may be) in exchange therefor. Any shares of Series B1 Preferred Stock or Series B1-NV Preferred Stock so converted shall be deemed to be returned to the status of authorized but unissued shares of Series B1 Preferred Stock or Series B1-NV Preferred Stock, as applicable, and may be reissued as shares of such series.</w:t>
      </w:r>
    </w:p>
    <w:p>
      <w:pPr>
        <w:spacing w:after="0" w:line="11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440" w:top="274" w:right="499" w:bottom="1440" w:gutter="0" w:footer="0" w:header="0"/>
        </w:sectPr>
      </w:pPr>
    </w:p>
    <w:bookmarkStart w:id="362" w:name="page363"/>
    <w:bookmarkEnd w:id="362"/>
    <w:p>
      <w:pPr>
        <w:ind w:right="60" w:firstLine="143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6.2.4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Series B1- NV Preferred Stock or Series B Preferred Stock upon conversion of shares of Series B Preferred Stock or Series B1-NV Preferred Stock (as the case may be) pursuant to this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292" w:lineRule="exact"/>
        <w:rPr>
          <w:sz w:val="20"/>
          <w:szCs w:val="20"/>
          <w:color w:val="auto"/>
        </w:rPr>
      </w:pPr>
    </w:p>
    <w:p>
      <w:pPr>
        <w:ind w:left="760" w:hanging="324"/>
        <w:spacing w:after="0"/>
        <w:tabs>
          <w:tab w:leader="none" w:pos="76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17"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 xml:space="preserve">7.1 Except (i) as set forth in </w:t>
      </w:r>
      <w:r>
        <w:rPr>
          <w:rFonts w:ascii="Arial" w:cs="Arial" w:eastAsia="Arial" w:hAnsi="Arial"/>
          <w:sz w:val="18"/>
          <w:szCs w:val="18"/>
          <w:u w:val="single" w:color="auto"/>
          <w:color w:val="auto"/>
        </w:rPr>
        <w:t>Subsection 2.8.2(b)</w:t>
      </w:r>
      <w:r>
        <w:rPr>
          <w:rFonts w:ascii="Arial" w:cs="Arial" w:eastAsia="Arial" w:hAnsi="Arial"/>
          <w:sz w:val="18"/>
          <w:szCs w:val="18"/>
          <w:color w:val="auto"/>
        </w:rPr>
        <w:t xml:space="preserve">; (ii) as set forth in </w:t>
      </w:r>
      <w:r>
        <w:rPr>
          <w:rFonts w:ascii="Arial" w:cs="Arial" w:eastAsia="Arial" w:hAnsi="Arial"/>
          <w:sz w:val="18"/>
          <w:szCs w:val="18"/>
          <w:u w:val="single" w:color="auto"/>
          <w:color w:val="auto"/>
        </w:rPr>
        <w:t>Subsection 7.2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Subsection 7.3</w:t>
      </w:r>
      <w:r>
        <w:rPr>
          <w:rFonts w:ascii="Arial" w:cs="Arial" w:eastAsia="Arial" w:hAnsi="Arial"/>
          <w:sz w:val="18"/>
          <w:szCs w:val="18"/>
          <w:color w:val="auto"/>
        </w:rPr>
        <w:t xml:space="preserve"> below and (iii) in connection with a BHCA Tender, the Preferred Stock is not redeemable at the option of the holder thereof.</w:t>
      </w:r>
    </w:p>
    <w:p>
      <w:pPr>
        <w:spacing w:after="0" w:line="27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Series E Preferred Stock Redemption Right</w:t>
      </w:r>
    </w:p>
    <w:p>
      <w:pPr>
        <w:spacing w:after="0" w:line="117" w:lineRule="exact"/>
        <w:rPr>
          <w:sz w:val="20"/>
          <w:szCs w:val="20"/>
          <w:color w:val="auto"/>
        </w:rPr>
      </w:pPr>
    </w:p>
    <w:p>
      <w:pPr>
        <w:ind w:right="140" w:firstLine="1432"/>
        <w:spacing w:after="0" w:line="254" w:lineRule="auto"/>
        <w:rPr>
          <w:sz w:val="20"/>
          <w:szCs w:val="20"/>
          <w:color w:val="auto"/>
        </w:rPr>
      </w:pPr>
      <w:r>
        <w:rPr>
          <w:rFonts w:ascii="Arial" w:cs="Arial" w:eastAsia="Arial" w:hAnsi="Arial"/>
          <w:sz w:val="18"/>
          <w:szCs w:val="18"/>
          <w:color w:val="auto"/>
        </w:rPr>
        <w:t>7.2.1 At any time on or after February 12, 2035, but within ninety (90) days after the receipt by this corporation of a written request from a holder of Series E Preferred Stock that all of the then outstanding shares of Series E Preferred Stock held by such holder be redeemed (a “</w:t>
      </w:r>
      <w:r>
        <w:rPr>
          <w:rFonts w:ascii="Arial" w:cs="Arial" w:eastAsia="Arial" w:hAnsi="Arial"/>
          <w:sz w:val="18"/>
          <w:szCs w:val="18"/>
          <w:b w:val="1"/>
          <w:bCs w:val="1"/>
          <w:color w:val="auto"/>
        </w:rPr>
        <w:t>Series E Redemption Request</w:t>
      </w:r>
      <w:r>
        <w:rPr>
          <w:rFonts w:ascii="Arial" w:cs="Arial" w:eastAsia="Arial" w:hAnsi="Arial"/>
          <w:sz w:val="18"/>
          <w:szCs w:val="18"/>
          <w:color w:val="auto"/>
        </w:rPr>
        <w:t>”), the Corporation shall, to the extent it may lawfully do so, within one hundred eighty days (180) (such payment date being referred to herein as the “</w:t>
      </w:r>
      <w:r>
        <w:rPr>
          <w:rFonts w:ascii="Arial" w:cs="Arial" w:eastAsia="Arial" w:hAnsi="Arial"/>
          <w:sz w:val="18"/>
          <w:szCs w:val="18"/>
          <w:b w:val="1"/>
          <w:bCs w:val="1"/>
          <w:color w:val="auto"/>
        </w:rPr>
        <w:t>Series E Redemption Date</w:t>
      </w:r>
      <w:r>
        <w:rPr>
          <w:rFonts w:ascii="Arial" w:cs="Arial" w:eastAsia="Arial" w:hAnsi="Arial"/>
          <w:sz w:val="18"/>
          <w:szCs w:val="18"/>
          <w:color w:val="auto"/>
        </w:rPr>
        <w:t>”) redeem the then outstanding shares of Series E Preferred Stock held by such holder by paying in cash therefor a sum per share equal to the Series E Original Issue Price for such shares of Series E Preferred Stock (as adjusted for any stock splits, stock dividends, combinations, subdivisions, recapitalizations or the like) plus all declared but unpaid dividends on such shares (the “</w:t>
      </w:r>
      <w:r>
        <w:rPr>
          <w:rFonts w:ascii="Arial" w:cs="Arial" w:eastAsia="Arial" w:hAnsi="Arial"/>
          <w:sz w:val="18"/>
          <w:szCs w:val="18"/>
          <w:b w:val="1"/>
          <w:bCs w:val="1"/>
          <w:color w:val="auto"/>
        </w:rPr>
        <w:t>Series E</w:t>
      </w:r>
      <w:r>
        <w:rPr>
          <w:rFonts w:ascii="Arial" w:cs="Arial" w:eastAsia="Arial" w:hAnsi="Arial"/>
          <w:sz w:val="18"/>
          <w:szCs w:val="18"/>
          <w:color w:val="auto"/>
        </w:rPr>
        <w:t xml:space="preserve"> </w:t>
      </w:r>
      <w:r>
        <w:rPr>
          <w:rFonts w:ascii="Arial" w:cs="Arial" w:eastAsia="Arial" w:hAnsi="Arial"/>
          <w:sz w:val="18"/>
          <w:szCs w:val="18"/>
          <w:b w:val="1"/>
          <w:bCs w:val="1"/>
          <w:color w:val="auto"/>
        </w:rPr>
        <w:t>Redemption Price</w:t>
      </w:r>
      <w:r>
        <w:rPr>
          <w:rFonts w:ascii="Arial" w:cs="Arial" w:eastAsia="Arial" w:hAnsi="Arial"/>
          <w:sz w:val="18"/>
          <w:szCs w:val="18"/>
          <w:color w:val="auto"/>
        </w:rPr>
        <w:t>”).</w:t>
      </w:r>
    </w:p>
    <w:p>
      <w:pPr>
        <w:spacing w:after="0" w:line="195" w:lineRule="exact"/>
        <w:rPr>
          <w:sz w:val="20"/>
          <w:szCs w:val="20"/>
          <w:color w:val="auto"/>
        </w:rPr>
      </w:pPr>
    </w:p>
    <w:p>
      <w:pPr>
        <w:ind w:right="40" w:firstLine="1432"/>
        <w:spacing w:after="0" w:line="275" w:lineRule="auto"/>
        <w:rPr>
          <w:sz w:val="20"/>
          <w:szCs w:val="20"/>
          <w:color w:val="auto"/>
        </w:rPr>
      </w:pPr>
      <w:r>
        <w:rPr>
          <w:rFonts w:ascii="Arial" w:cs="Arial" w:eastAsia="Arial" w:hAnsi="Arial"/>
          <w:sz w:val="17"/>
          <w:szCs w:val="17"/>
          <w:color w:val="auto"/>
        </w:rPr>
        <w:t>7.2.2 On or after the Series E Redemption Date, each holder of Series E Preferred Stock requesting redemption of such shares of Series E Preferred Stock on the Series E Redemption Date shall surrender to the Corporation the certificate or certificates representing such shares, and thereupon the applicable Series E Redemption Price of such shares shall be payable to the order of the Person whose name appears on such certificate or certificates as the owner thereof and each surrendered certificate shall be cancelled. In the event less than all the shares represented by any such certificate are redeemed, a new certificate shall be issued representing the unredeemed shares</w:t>
      </w:r>
    </w:p>
    <w:p>
      <w:pPr>
        <w:spacing w:after="0" w:line="176" w:lineRule="exact"/>
        <w:rPr>
          <w:sz w:val="20"/>
          <w:szCs w:val="20"/>
          <w:color w:val="auto"/>
        </w:rPr>
      </w:pPr>
    </w:p>
    <w:p>
      <w:pPr>
        <w:ind w:firstLine="1432"/>
        <w:spacing w:after="0" w:line="289" w:lineRule="auto"/>
        <w:rPr>
          <w:sz w:val="20"/>
          <w:szCs w:val="20"/>
          <w:color w:val="auto"/>
        </w:rPr>
      </w:pPr>
      <w:r>
        <w:rPr>
          <w:rFonts w:ascii="Arial" w:cs="Arial" w:eastAsia="Arial" w:hAnsi="Arial"/>
          <w:sz w:val="16"/>
          <w:szCs w:val="16"/>
          <w:color w:val="auto"/>
        </w:rPr>
        <w:t xml:space="preserve">7.2.3 From and after each Series E Redemption Date, unless there shall have been a default in payment of the Series E Redemption Price, all rights of the holders of shares of Series E Preferred Stock designated for redemption on such Series E Redemption Date as holders of Series E Preferred Stock (except the right to receive the applicable Series E Redemption Price without interest upon surrender of their certificate or certificates) shall cease with respect to such shares, and such shares shall not thereafter be transferred on the books of this corporation or be deemed to be outstanding for any purpose whatsoever. If the funds of this corporation legally available for redemption of shares of Series E Preferred Stock on such Series E Redemption Date are insufficient to redeem the total number of shares of Series E Preferred Stock to be redeemed on such Series E Redemption Date, those funds that are legally available will be used to redeem the maximum possible number of such shares ratably among the holders of such shares to be redeemed in proportion to the aggregate Series E Redemption Price that each such holder would otherwise be entitled to receive pursuant to </w:t>
      </w:r>
      <w:r>
        <w:rPr>
          <w:rFonts w:ascii="Arial" w:cs="Arial" w:eastAsia="Arial" w:hAnsi="Arial"/>
          <w:sz w:val="16"/>
          <w:szCs w:val="16"/>
          <w:u w:val="single" w:color="auto"/>
          <w:color w:val="auto"/>
        </w:rPr>
        <w:t>Subsection 7.2.1</w:t>
      </w:r>
      <w:r>
        <w:rPr>
          <w:rFonts w:ascii="Arial" w:cs="Arial" w:eastAsia="Arial" w:hAnsi="Arial"/>
          <w:sz w:val="16"/>
          <w:szCs w:val="16"/>
          <w:color w:val="auto"/>
        </w:rPr>
        <w:t>. The shares of Series E Preferred Stock not redeemed shall remain outstanding and entitled to all the rights and preferences provided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363" w:name="page364"/>
    <w:bookmarkEnd w:id="363"/>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herein. At any time thereafter when additional funds of the Corporation are legally available for the redemption of shares of Series E Preferred Stock, such funds will immediately be used to redeem the balance of the shares that the Corporation has become obliged to redeem on such Series E Redemption Date but that it has not redeemed.</w:t>
      </w:r>
    </w:p>
    <w:p>
      <w:pPr>
        <w:spacing w:after="0" w:line="184" w:lineRule="exact"/>
        <w:rPr>
          <w:sz w:val="20"/>
          <w:szCs w:val="20"/>
          <w:color w:val="auto"/>
        </w:rPr>
      </w:pPr>
    </w:p>
    <w:p>
      <w:pPr>
        <w:ind w:right="580" w:firstLine="1432"/>
        <w:spacing w:after="0" w:line="277" w:lineRule="auto"/>
        <w:rPr>
          <w:sz w:val="20"/>
          <w:szCs w:val="20"/>
          <w:color w:val="auto"/>
        </w:rPr>
      </w:pPr>
      <w:r>
        <w:rPr>
          <w:rFonts w:ascii="Arial" w:cs="Arial" w:eastAsia="Arial" w:hAnsi="Arial"/>
          <w:sz w:val="18"/>
          <w:szCs w:val="18"/>
          <w:color w:val="auto"/>
        </w:rPr>
        <w:t xml:space="preserve">7.2.4 Any amendment, modification, waiver or repeal of this </w:t>
      </w:r>
      <w:r>
        <w:rPr>
          <w:rFonts w:ascii="Arial" w:cs="Arial" w:eastAsia="Arial" w:hAnsi="Arial"/>
          <w:sz w:val="18"/>
          <w:szCs w:val="18"/>
          <w:u w:val="single" w:color="auto"/>
          <w:color w:val="auto"/>
        </w:rPr>
        <w:t>Subsection 7.2</w:t>
      </w:r>
      <w:r>
        <w:rPr>
          <w:rFonts w:ascii="Arial" w:cs="Arial" w:eastAsia="Arial" w:hAnsi="Arial"/>
          <w:sz w:val="18"/>
          <w:szCs w:val="18"/>
          <w:color w:val="auto"/>
        </w:rPr>
        <w:t xml:space="preserve"> shall require the prior written approval of each Regulated Investor that holds shares of Series E Preferred Stock.</w:t>
      </w:r>
    </w:p>
    <w:p>
      <w:pPr>
        <w:spacing w:after="0" w:line="27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Series F Preferred Stock Redemption Right</w:t>
      </w:r>
    </w:p>
    <w:p>
      <w:pPr>
        <w:spacing w:after="0" w:line="117" w:lineRule="exact"/>
        <w:rPr>
          <w:sz w:val="20"/>
          <w:szCs w:val="20"/>
          <w:color w:val="auto"/>
        </w:rPr>
      </w:pPr>
    </w:p>
    <w:p>
      <w:pPr>
        <w:ind w:firstLine="1432"/>
        <w:spacing w:after="0" w:line="272" w:lineRule="auto"/>
        <w:rPr>
          <w:sz w:val="20"/>
          <w:szCs w:val="20"/>
          <w:color w:val="auto"/>
        </w:rPr>
      </w:pPr>
      <w:r>
        <w:rPr>
          <w:rFonts w:ascii="Arial" w:cs="Arial" w:eastAsia="Arial" w:hAnsi="Arial"/>
          <w:sz w:val="17"/>
          <w:szCs w:val="17"/>
          <w:color w:val="auto"/>
        </w:rPr>
        <w:t>7.3.1 At any time on or after the fifteenth (15th) anniversary of the Original Issue Date, but within ninety (90) days after the receipt by this corporation of a written request from a holder of Series F Preferred Stock that all of the then outstanding shares of Series F Preferred Stock held by such holder be redeemed (a “</w:t>
      </w:r>
      <w:r>
        <w:rPr>
          <w:rFonts w:ascii="Arial" w:cs="Arial" w:eastAsia="Arial" w:hAnsi="Arial"/>
          <w:sz w:val="17"/>
          <w:szCs w:val="17"/>
          <w:b w:val="1"/>
          <w:bCs w:val="1"/>
          <w:color w:val="auto"/>
        </w:rPr>
        <w:t>Series F Redemption Request</w:t>
      </w:r>
      <w:r>
        <w:rPr>
          <w:rFonts w:ascii="Arial" w:cs="Arial" w:eastAsia="Arial" w:hAnsi="Arial"/>
          <w:sz w:val="17"/>
          <w:szCs w:val="17"/>
          <w:color w:val="auto"/>
        </w:rPr>
        <w:t>”), the Corporation shall, to the extent it may lawfully do so, within one hundred eighty days (such payment date being referred to herein as the “</w:t>
      </w:r>
      <w:r>
        <w:rPr>
          <w:rFonts w:ascii="Arial" w:cs="Arial" w:eastAsia="Arial" w:hAnsi="Arial"/>
          <w:sz w:val="17"/>
          <w:szCs w:val="17"/>
          <w:b w:val="1"/>
          <w:bCs w:val="1"/>
          <w:color w:val="auto"/>
        </w:rPr>
        <w:t>Series F Redemption Date</w:t>
      </w:r>
      <w:r>
        <w:rPr>
          <w:rFonts w:ascii="Arial" w:cs="Arial" w:eastAsia="Arial" w:hAnsi="Arial"/>
          <w:sz w:val="17"/>
          <w:szCs w:val="17"/>
          <w:color w:val="auto"/>
        </w:rPr>
        <w:t>”) redeem the then outstanding shares of Series F Preferred Stock held by such holder by paying in cash therefor a sum per share equal to the Series F Original Issue Price for such shares of Series F Preferred Stock (as adjusted for any stock splits, stock dividends, combinations, subdivisions, recapitalizations or the like) plus all declared but unpaid dividends on such shares (the “</w:t>
      </w:r>
      <w:r>
        <w:rPr>
          <w:rFonts w:ascii="Arial" w:cs="Arial" w:eastAsia="Arial" w:hAnsi="Arial"/>
          <w:sz w:val="17"/>
          <w:szCs w:val="17"/>
          <w:b w:val="1"/>
          <w:bCs w:val="1"/>
          <w:color w:val="auto"/>
        </w:rPr>
        <w:t>Series F Redemption Price</w:t>
      </w:r>
      <w:r>
        <w:rPr>
          <w:rFonts w:ascii="Arial" w:cs="Arial" w:eastAsia="Arial" w:hAnsi="Arial"/>
          <w:sz w:val="17"/>
          <w:szCs w:val="17"/>
          <w:color w:val="auto"/>
        </w:rPr>
        <w:t>”).</w:t>
      </w:r>
    </w:p>
    <w:p>
      <w:pPr>
        <w:spacing w:after="0" w:line="177" w:lineRule="exact"/>
        <w:rPr>
          <w:sz w:val="20"/>
          <w:szCs w:val="20"/>
          <w:color w:val="auto"/>
        </w:rPr>
      </w:pPr>
    </w:p>
    <w:p>
      <w:pPr>
        <w:ind w:right="40" w:firstLine="1432"/>
        <w:spacing w:after="0" w:line="275" w:lineRule="auto"/>
        <w:rPr>
          <w:sz w:val="20"/>
          <w:szCs w:val="20"/>
          <w:color w:val="auto"/>
        </w:rPr>
      </w:pPr>
      <w:r>
        <w:rPr>
          <w:rFonts w:ascii="Arial" w:cs="Arial" w:eastAsia="Arial" w:hAnsi="Arial"/>
          <w:sz w:val="17"/>
          <w:szCs w:val="17"/>
          <w:color w:val="auto"/>
        </w:rPr>
        <w:t>7.3.2 On or after the Series F Redemption Date, each holder of Series F Preferred Stock requesting redemption of such shares of Series F Preferred Stock on the Series F Redemption Date shall surrender to the Corporation the certificate or certificates representing such shares, and thereupon the applicable Series F Redemption Price of such shares shall be payable to the order of the Person whose name appears on such certificate or certificates as the owner thereof and each surrendered certificate shall be cancelled. In the event less than all the shares represented by any such certificate are redeemed, a new certificate shall be issued representing the unredeemed shares</w:t>
      </w:r>
    </w:p>
    <w:p>
      <w:pPr>
        <w:spacing w:after="0" w:line="176" w:lineRule="exact"/>
        <w:rPr>
          <w:sz w:val="20"/>
          <w:szCs w:val="20"/>
          <w:color w:val="auto"/>
        </w:rPr>
      </w:pPr>
    </w:p>
    <w:p>
      <w:pPr>
        <w:ind w:right="20" w:firstLine="1432"/>
        <w:spacing w:after="0" w:line="269" w:lineRule="auto"/>
        <w:rPr>
          <w:sz w:val="20"/>
          <w:szCs w:val="20"/>
          <w:color w:val="auto"/>
        </w:rPr>
      </w:pPr>
      <w:r>
        <w:rPr>
          <w:rFonts w:ascii="Arial" w:cs="Arial" w:eastAsia="Arial" w:hAnsi="Arial"/>
          <w:sz w:val="17"/>
          <w:szCs w:val="17"/>
          <w:color w:val="auto"/>
        </w:rPr>
        <w:t xml:space="preserve">7.3.3 From and after each Series F Redemption Date, unless there shall have been a default in payment of the Series F Redemption Price, all rights of the holders of shares of Series F Preferred Stock designated for redemption on such Series F Redemption Date as holders of Series F Preferred Stock (except the right to receive the applicable Series F Redemption Price without interest upon surrender of their certificate or certificates) shall cease with respect to such shares, and such shares shall not thereafter be transferred on the books of this corporation or be deemed to be outstanding for any purpose whatsoever. If the funds of this corporation legally available for redemption of shares of Series F Preferred Stock on such Series F Redemption Date are insufficient to redeem the total number of shares of Series F Preferred Stock to be redeemed on such Series F Redemption Date, those funds that are legally available will be used to redeem the maximum possible number of such shares ratably among the holders of such shares to be redeemed in proportion to the aggregate Series F Redemption Price that each such holder would otherwise be entitled to receive pursuant to </w:t>
      </w:r>
      <w:r>
        <w:rPr>
          <w:rFonts w:ascii="Arial" w:cs="Arial" w:eastAsia="Arial" w:hAnsi="Arial"/>
          <w:sz w:val="17"/>
          <w:szCs w:val="17"/>
          <w:u w:val="single" w:color="auto"/>
          <w:color w:val="auto"/>
        </w:rPr>
        <w:t>Subsection 7.3.1</w:t>
      </w:r>
      <w:r>
        <w:rPr>
          <w:rFonts w:ascii="Arial" w:cs="Arial" w:eastAsia="Arial" w:hAnsi="Arial"/>
          <w:sz w:val="17"/>
          <w:szCs w:val="17"/>
          <w:color w:val="auto"/>
        </w:rPr>
        <w:t>. The shares of Series F Preferred Stock not redeemed shall remain outstanding and entitled to all the rights and preferences provided herein. At any time thereafter when additional funds of the Corporation are legally available for the redemption of shares of Series F Preferred Stock, such funds will immediately be used to redeem the balance of the shares that the Corporation has become obliged to redeem on such Series F Redemption Date but that it has not redeemed.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364" w:name="page365"/>
    <w:bookmarkEnd w:id="364"/>
    <w:p>
      <w:pPr>
        <w:ind w:left="4" w:right="580" w:firstLine="143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7.3.4 Any amendment, modification, waiver or repeal of this </w:t>
      </w:r>
      <w:r>
        <w:rPr>
          <w:rFonts w:ascii="Arial" w:cs="Arial" w:eastAsia="Arial" w:hAnsi="Arial"/>
          <w:sz w:val="18"/>
          <w:szCs w:val="18"/>
          <w:u w:val="single" w:color="auto"/>
          <w:color w:val="auto"/>
        </w:rPr>
        <w:t>Subsection 7.3</w:t>
      </w:r>
      <w:r>
        <w:rPr>
          <w:rFonts w:ascii="Arial" w:cs="Arial" w:eastAsia="Arial" w:hAnsi="Arial"/>
          <w:sz w:val="18"/>
          <w:szCs w:val="18"/>
          <w:color w:val="auto"/>
        </w:rPr>
        <w:t xml:space="preserve"> shall require the prior written approval of each Regulated Investor that holds shares of Series F Preferred Stock.</w:t>
      </w:r>
    </w:p>
    <w:p>
      <w:pPr>
        <w:spacing w:after="0" w:line="170" w:lineRule="exact"/>
        <w:rPr>
          <w:sz w:val="20"/>
          <w:szCs w:val="20"/>
          <w:color w:val="auto"/>
        </w:rPr>
      </w:pPr>
    </w:p>
    <w:p>
      <w:pPr>
        <w:ind w:left="4" w:firstLine="991"/>
        <w:spacing w:after="0" w:line="287" w:lineRule="auto"/>
        <w:rPr>
          <w:sz w:val="20"/>
          <w:szCs w:val="20"/>
          <w:color w:val="auto"/>
        </w:rPr>
      </w:pPr>
      <w:r>
        <w:rPr>
          <w:rFonts w:ascii="Arial" w:cs="Arial" w:eastAsia="Arial" w:hAnsi="Arial"/>
          <w:sz w:val="16"/>
          <w:szCs w:val="16"/>
          <w:color w:val="auto"/>
        </w:rPr>
        <w:t xml:space="preserve">7.4 The Corporation shall not, directly or indirectly, repurchase, redeem, retire or otherwise acquire any shares of the Corporation’s capital stock, or take any other action, if, as a result, any Regulated Investor would own or control, or be deemed to own or control, collectively, greater than 14.99% of the total equity of the Corporation (as determined by such Regulated Investor under applicable law, including the Bank Holding Company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provision shall not apply to (i) any repurchases or redemptions to the extent a Regulated Investor is permitted to participate on a pro rata basis such that, after such repurchase or redemption, such Regulated Investor’s ownership of the Corporation’s shares of capital stock would not exceed 14.99% of the total equity of the Corporation; (ii) any redemption pursuant to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of this Restated Certificate and (iii) any repurchase or redemption pursuant to the exercise of any BHCA Tender. The Corporation shall give written notice to each Regulated Holder promptly and, in any event, no later than three (3) days prior to, directly or indirectly, repurchasing, redeeming, retiring or otherwise acquiring any of the Corporation’s capital stock, or taking any other action, if, as a result, such Regulated Investor would own or control, or be deemed to own or control, collectively, greater than 4.99% of any class of voting securities of the Corporation (as determined by such Regulated Investor under applicable law, including the Bank Holding Company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provision shall not apply to any repurchase or redemption consummated pursuant to clause (i), clause (ii) or clause (iii) of the immediately preceding sentence.</w:t>
      </w:r>
    </w:p>
    <w:p>
      <w:pPr>
        <w:spacing w:after="0" w:line="168" w:lineRule="exact"/>
        <w:rPr>
          <w:sz w:val="20"/>
          <w:szCs w:val="20"/>
          <w:color w:val="auto"/>
        </w:rPr>
      </w:pPr>
    </w:p>
    <w:p>
      <w:pPr>
        <w:ind w:left="4" w:right="20" w:firstLine="436"/>
        <w:spacing w:after="0" w:line="286" w:lineRule="auto"/>
        <w:tabs>
          <w:tab w:leader="none" w:pos="759" w:val="left"/>
        </w:tabs>
        <w:numPr>
          <w:ilvl w:val="1"/>
          <w:numId w:val="257"/>
        </w:numPr>
        <w:rPr>
          <w:rFonts w:ascii="Arial" w:cs="Arial" w:eastAsia="Arial" w:hAnsi="Arial"/>
          <w:sz w:val="17"/>
          <w:szCs w:val="17"/>
          <w:color w:val="auto"/>
        </w:rPr>
      </w:pPr>
      <w:r>
        <w:rPr>
          <w:rFonts w:ascii="Arial" w:cs="Arial" w:eastAsia="Arial" w:hAnsi="Arial"/>
          <w:sz w:val="17"/>
          <w:szCs w:val="17"/>
          <w:u w:val="single" w:color="auto"/>
          <w:color w:val="auto"/>
        </w:rPr>
        <w:t>Redeemed or Otherwise Acquired Shares</w:t>
      </w:r>
      <w:r>
        <w:rPr>
          <w:rFonts w:ascii="Arial" w:cs="Arial" w:eastAsia="Arial" w:hAnsi="Arial"/>
          <w:sz w:val="17"/>
          <w:szCs w:val="17"/>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65" w:lineRule="exact"/>
        <w:rPr>
          <w:rFonts w:ascii="Arial" w:cs="Arial" w:eastAsia="Arial" w:hAnsi="Arial"/>
          <w:sz w:val="17"/>
          <w:szCs w:val="17"/>
          <w:color w:val="auto"/>
        </w:rPr>
      </w:pPr>
    </w:p>
    <w:p>
      <w:pPr>
        <w:ind w:left="4" w:firstLine="436"/>
        <w:spacing w:after="0" w:line="287" w:lineRule="auto"/>
        <w:tabs>
          <w:tab w:leader="none" w:pos="759"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Any of the rights, powers, preferences and other terms of the Series A Preferred Stock and/or Series B Preferred Stock set forth herein may be waived on behalf of all holders of Series A Preferred Stock and/or Series B Preferred Stock by the affirmative written consent or vote of a majority of the outstanding shares of (i) Series A Preferred Stock, in the case of a waiver affecting only the holders of Series A Preferred Stock,</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58"/>
        </w:numPr>
        <w:rPr>
          <w:rFonts w:ascii="Arial" w:cs="Arial" w:eastAsia="Arial" w:hAnsi="Arial"/>
          <w:sz w:val="17"/>
          <w:szCs w:val="17"/>
          <w:color w:val="auto"/>
        </w:rPr>
      </w:pPr>
      <w:r>
        <w:rPr>
          <w:rFonts w:ascii="Arial" w:cs="Arial" w:eastAsia="Arial" w:hAnsi="Arial"/>
          <w:sz w:val="17"/>
          <w:szCs w:val="17"/>
          <w:color w:val="auto"/>
        </w:rPr>
        <w:t>Series B Preferred Stock, in the case of a waiver affecting only the holders of Series B Preferred Stock, and (iii) Series A Preferred Stock and</w:t>
      </w:r>
    </w:p>
    <w:p>
      <w:pPr>
        <w:spacing w:after="0" w:line="21" w:lineRule="exact"/>
        <w:rPr>
          <w:sz w:val="20"/>
          <w:szCs w:val="20"/>
          <w:color w:val="auto"/>
        </w:rPr>
      </w:pPr>
    </w:p>
    <w:p>
      <w:pPr>
        <w:ind w:left="4" w:right="20"/>
        <w:spacing w:after="0" w:line="252" w:lineRule="auto"/>
        <w:rPr>
          <w:sz w:val="20"/>
          <w:szCs w:val="20"/>
          <w:color w:val="auto"/>
        </w:rPr>
      </w:pPr>
      <w:r>
        <w:rPr>
          <w:rFonts w:ascii="Arial" w:cs="Arial" w:eastAsia="Arial" w:hAnsi="Arial"/>
          <w:sz w:val="18"/>
          <w:szCs w:val="18"/>
          <w:color w:val="auto"/>
        </w:rPr>
        <w:t>Series B Preferred Stock, voting together as a single class, in the case of a waiver affecting the holders of Series A Preferred Stock and Series B Preferred Stock. Any of the rights, powers, preferences and other terms of the Series B1 Preferred Stock and/or Series B1-NV Preferred Stock set forth herein may be waived on behalf of all holders of Series B1 Preferred Stock and/or Series B1-NV Preferred Stock by the affirmative written consent or vote of a majority of the outstanding shares of Series B1 Preferred Stock and Series B1-NV Preferred Stock, voting together as a single class. Any of the rights, powers, preferences and other terms of the Series C Preferred Stock set forth herein may be waived on behalf of all holders of Series C Preferred Stock</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365" w:name="page366"/>
    <w:bookmarkEnd w:id="365"/>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the affirmative written consent or vote of a majority of the outstanding shares of Series C Preferred Stock. Any of the rights, powers, preferences and other terms of the Series D Preferred Stock set forth herein may be waived on behalf of all holders of Series D Preferred Stock by the affirmative written consent or vote of a majority of the outstanding shares of Series D Preferred Stock. Any of the rights, powers, preferences and other terms of the Series E Preferred Stock set forth herein may be waived on behalf of all holders of Series E Preferred Stock by the affirmative written consent or vote of the holders of a majority of the outstanding shares of Series E-1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waiver that significantly and adversely affects the rights or preferences of any shares of Series E Preferred Stock held by a Regulated Investor, as determined by such Regulated Investor under Regulation Y, all holders of shares of Series E-2 Preferred Stock shall be entitled to vote such shares of Series E-2 Preferred Stock they may hold in respect of such waiver, and all such shares of Series E-2 Preferred Stock shall be counted, both in the numerator and in the denominator, for purposes of determining whether the requisite consent has been obtained. Any of the rights, powers, preferences and other terms of the Series F Preferred Stock set forth herein may be waived on behalf of all holders of Series F Preferred Stock by the affirmative written consent or vote of the holders of a majority of the outstanding shares of Series F-1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waiver that significantly and adversely affects the rights or preferences of any shares of Series F Preferred Stock held by a Regulated Investor, as determined by such Regulated Investor under Regulation Y, all holders of shares of Series F-2 Preferred Stock shall be entitled to vote such shares of Series F-2 Preferred Stock they may hold in respect of such waiver, and all such shares of Series F-2 Preferred Stock shall be counted, both in the numerator and in the denominator, for purposes of determining whether the requisite consent has been obtained.</w:t>
      </w:r>
    </w:p>
    <w:p>
      <w:pPr>
        <w:spacing w:after="0" w:line="167" w:lineRule="exact"/>
        <w:rPr>
          <w:sz w:val="20"/>
          <w:szCs w:val="20"/>
          <w:color w:val="auto"/>
        </w:rPr>
      </w:pPr>
    </w:p>
    <w:p>
      <w:pPr>
        <w:ind w:right="60" w:firstLine="436"/>
        <w:spacing w:after="0" w:line="286" w:lineRule="auto"/>
        <w:tabs>
          <w:tab w:leader="none" w:pos="845"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61"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b w:val="1"/>
          <w:bCs w:val="1"/>
          <w:color w:val="auto"/>
        </w:rPr>
        <w:t xml:space="preserve">FIFTH: </w:t>
      </w:r>
      <w:r>
        <w:rPr>
          <w:rFonts w:ascii="Arial" w:cs="Arial" w:eastAsia="Arial" w:hAnsi="Arial"/>
          <w:sz w:val="16"/>
          <w:szCs w:val="16"/>
          <w:color w:val="auto"/>
        </w:rPr>
        <w:t>Subject to any additional vote required by this Certificate of Incorporation or Bylaws, in furtherance and not in limitation of the powers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by statute, the Board of Directors is expressly authorized to make, repeal, alter, amend and rescind any or all of the Bylaws of the Corporation.</w:t>
      </w:r>
    </w:p>
    <w:p>
      <w:pPr>
        <w:spacing w:after="0" w:line="116" w:lineRule="exact"/>
        <w:rPr>
          <w:sz w:val="20"/>
          <w:szCs w:val="20"/>
          <w:color w:val="auto"/>
        </w:rPr>
      </w:pPr>
    </w:p>
    <w:p>
      <w:pPr>
        <w:ind w:right="800" w:firstLine="440"/>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this Certificate of Incorporation, the number of directors of the Corporation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manner set forth in the Bylaws of the Corporation.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sz w:val="20"/>
          <w:szCs w:val="20"/>
          <w:color w:val="auto"/>
        </w:rPr>
      </w:pPr>
    </w:p>
    <w:p>
      <w:pPr>
        <w:jc w:val="both"/>
        <w:ind w:right="300" w:firstLine="440"/>
        <w:spacing w:after="0" w:line="26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 provide.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books of the Corporation may be kept outside the State of Delaware at such place or places as may be designated from time to time by the Board of Directors or in the Bylaws of the Corporation.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366" w:name="page367"/>
    <w:bookmarkEnd w:id="366"/>
    <w:p>
      <w:pPr>
        <w:ind w:right="18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NINTH: </w:t>
      </w:r>
      <w:r>
        <w:rPr>
          <w:rFonts w:ascii="Arial" w:cs="Arial" w:eastAsia="Arial" w:hAnsi="Arial"/>
          <w:sz w:val="18"/>
          <w:szCs w:val="18"/>
          <w:color w:val="auto"/>
        </w:rPr>
        <w:t>To the fullest extent permitted by law, a director of the Corporation shall not be personally liable to the Corporation or its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87"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TENTH: </w:t>
      </w:r>
      <w:r>
        <w:rPr>
          <w:rFonts w:ascii="Arial" w:cs="Arial" w:eastAsia="Arial" w:hAnsi="Arial"/>
          <w:sz w:val="18"/>
          <w:szCs w:val="18"/>
          <w:color w:val="auto"/>
        </w:rPr>
        <w:t>The following indemnification provisions shall apply to the persons enumerated below.</w:t>
      </w:r>
    </w:p>
    <w:p>
      <w:pPr>
        <w:spacing w:after="0" w:line="229" w:lineRule="exact"/>
        <w:rPr>
          <w:sz w:val="20"/>
          <w:szCs w:val="20"/>
          <w:color w:val="auto"/>
        </w:rPr>
      </w:pPr>
    </w:p>
    <w:p>
      <w:pPr>
        <w:ind w:right="140" w:firstLine="436"/>
        <w:spacing w:after="0" w:line="288" w:lineRule="auto"/>
        <w:tabs>
          <w:tab w:leader="none" w:pos="755"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Right to Indemnification of Directors and Officers</w:t>
      </w:r>
      <w:r>
        <w:rPr>
          <w:rFonts w:ascii="Arial" w:cs="Arial" w:eastAsia="Arial" w:hAnsi="Arial"/>
          <w:sz w:val="16"/>
          <w:szCs w:val="16"/>
          <w:color w:val="auto"/>
        </w:rPr>
        <w:t>. The Corporation shall indemnify and hold harmless, to the fullest extent permitted by applicable law as it presently exists or may hereafter be amended, any person (an “</w:t>
      </w:r>
      <w:r>
        <w:rPr>
          <w:rFonts w:ascii="Arial" w:cs="Arial" w:eastAsia="Arial" w:hAnsi="Arial"/>
          <w:sz w:val="16"/>
          <w:szCs w:val="16"/>
          <w:b w:val="1"/>
          <w:bCs w:val="1"/>
          <w:color w:val="auto"/>
        </w:rPr>
        <w:t>Indemnified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xml:space="preserve">”),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Article Tenth,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w:t>
      </w:r>
    </w:p>
    <w:p>
      <w:pPr>
        <w:spacing w:after="0" w:line="168" w:lineRule="exact"/>
        <w:rPr>
          <w:rFonts w:ascii="Arial" w:cs="Arial" w:eastAsia="Arial" w:hAnsi="Arial"/>
          <w:sz w:val="16"/>
          <w:szCs w:val="16"/>
          <w:color w:val="auto"/>
        </w:rPr>
      </w:pPr>
    </w:p>
    <w:p>
      <w:pPr>
        <w:ind w:firstLine="436"/>
        <w:spacing w:after="0" w:line="257" w:lineRule="auto"/>
        <w:tabs>
          <w:tab w:leader="none" w:pos="755"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Prepayment of Expenses of Directors and Officers</w:t>
      </w:r>
      <w:r>
        <w:rPr>
          <w:rFonts w:ascii="Arial" w:cs="Arial" w:eastAsia="Arial" w:hAnsi="Arial"/>
          <w:sz w:val="18"/>
          <w:szCs w:val="18"/>
          <w:color w:val="auto"/>
        </w:rPr>
        <w:t xml:space="preserve">. The Corporation shall pay the expenses (including attorneys’ fees) incurred by an Indemnified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Tenth or otherwise.</w:t>
      </w:r>
    </w:p>
    <w:p>
      <w:pPr>
        <w:spacing w:after="0" w:line="187" w:lineRule="exact"/>
        <w:rPr>
          <w:rFonts w:ascii="Arial" w:cs="Arial" w:eastAsia="Arial" w:hAnsi="Arial"/>
          <w:sz w:val="18"/>
          <w:szCs w:val="18"/>
          <w:color w:val="auto"/>
        </w:rPr>
      </w:pPr>
    </w:p>
    <w:p>
      <w:pPr>
        <w:ind w:firstLine="436"/>
        <w:spacing w:after="0" w:line="257" w:lineRule="auto"/>
        <w:tabs>
          <w:tab w:leader="none" w:pos="755"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Claims by Directors and Officers</w:t>
      </w:r>
      <w:r>
        <w:rPr>
          <w:rFonts w:ascii="Arial" w:cs="Arial" w:eastAsia="Arial" w:hAnsi="Arial"/>
          <w:sz w:val="18"/>
          <w:szCs w:val="18"/>
          <w:color w:val="auto"/>
        </w:rPr>
        <w:t>. If a claim for indemnification or advancement of expenses under this Article Tenth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0" w:right="479" w:bottom="1440" w:gutter="0" w:footer="0" w:header="0"/>
        </w:sectPr>
      </w:pPr>
    </w:p>
    <w:bookmarkStart w:id="367" w:name="page368"/>
    <w:bookmarkEnd w:id="367"/>
    <w:p>
      <w:pPr>
        <w:ind w:left="-20" w:firstLine="436"/>
        <w:spacing w:after="0" w:line="270" w:lineRule="auto"/>
        <w:tabs>
          <w:tab w:leader="none" w:pos="735"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of Employees and Agents</w:t>
      </w:r>
      <w:r>
        <w:rPr>
          <w:rFonts w:ascii="Arial" w:cs="Arial" w:eastAsia="Arial" w:hAnsi="Arial"/>
          <w:sz w:val="17"/>
          <w:szCs w:val="17"/>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180" w:lineRule="exact"/>
        <w:rPr>
          <w:rFonts w:ascii="Arial" w:cs="Arial" w:eastAsia="Arial" w:hAnsi="Arial"/>
          <w:sz w:val="17"/>
          <w:szCs w:val="17"/>
          <w:color w:val="auto"/>
        </w:rPr>
      </w:pPr>
    </w:p>
    <w:p>
      <w:pPr>
        <w:ind w:left="-20" w:right="180" w:firstLine="436"/>
        <w:spacing w:after="0" w:line="263" w:lineRule="auto"/>
        <w:tabs>
          <w:tab w:leader="none" w:pos="73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Advancement of Expenses of Employees and Agents</w:t>
      </w:r>
      <w:r>
        <w:rPr>
          <w:rFonts w:ascii="Arial" w:cs="Arial" w:eastAsia="Arial" w:hAnsi="Arial"/>
          <w:sz w:val="18"/>
          <w:szCs w:val="18"/>
          <w:color w:val="auto"/>
        </w:rPr>
        <w:t>. The Corporation may pay the expenses (including attorneys’ fees) incurred by an employee or agent in defending any Proceeding in advance of its final disposition on such terms and conditions as may be determined by the Board of Directors.</w:t>
      </w:r>
    </w:p>
    <w:p>
      <w:pPr>
        <w:spacing w:after="0" w:line="183" w:lineRule="exact"/>
        <w:rPr>
          <w:rFonts w:ascii="Arial" w:cs="Arial" w:eastAsia="Arial" w:hAnsi="Arial"/>
          <w:sz w:val="18"/>
          <w:szCs w:val="18"/>
          <w:color w:val="auto"/>
        </w:rPr>
      </w:pPr>
    </w:p>
    <w:p>
      <w:pPr>
        <w:ind w:left="-20" w:right="180" w:firstLine="436"/>
        <w:spacing w:after="0" w:line="263" w:lineRule="auto"/>
        <w:tabs>
          <w:tab w:leader="none" w:pos="73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person by this Article Tenth shall not be exclusive of any other rights which such person may have or hereafter acquire under any statute, provision of the certificate of incorporation, these by-laws, agreement, vote of stockholders or disinterested directors or otherwise.</w:t>
      </w:r>
    </w:p>
    <w:p>
      <w:pPr>
        <w:spacing w:after="0" w:line="183" w:lineRule="exact"/>
        <w:rPr>
          <w:rFonts w:ascii="Arial" w:cs="Arial" w:eastAsia="Arial" w:hAnsi="Arial"/>
          <w:sz w:val="18"/>
          <w:szCs w:val="18"/>
          <w:color w:val="auto"/>
        </w:rPr>
      </w:pPr>
    </w:p>
    <w:p>
      <w:pPr>
        <w:jc w:val="both"/>
        <w:ind w:left="-20" w:firstLine="436"/>
        <w:spacing w:after="0" w:line="259" w:lineRule="auto"/>
        <w:tabs>
          <w:tab w:leader="none" w:pos="73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86" w:lineRule="exact"/>
        <w:rPr>
          <w:rFonts w:ascii="Arial" w:cs="Arial" w:eastAsia="Arial" w:hAnsi="Arial"/>
          <w:sz w:val="18"/>
          <w:szCs w:val="18"/>
          <w:color w:val="auto"/>
        </w:rPr>
      </w:pPr>
    </w:p>
    <w:p>
      <w:pPr>
        <w:ind w:left="-20" w:right="20" w:firstLine="436"/>
        <w:spacing w:after="0" w:line="257" w:lineRule="auto"/>
        <w:tabs>
          <w:tab w:leader="none" w:pos="73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Tenth; and (b) to indemnify or insure directors, officers and employees against liability in instances in which they may not otherwise be indemnified by the Corporation under the provisions of this Article Tenth.</w:t>
      </w:r>
    </w:p>
    <w:p>
      <w:pPr>
        <w:spacing w:after="0" w:line="187" w:lineRule="exact"/>
        <w:rPr>
          <w:rFonts w:ascii="Arial" w:cs="Arial" w:eastAsia="Arial" w:hAnsi="Arial"/>
          <w:sz w:val="18"/>
          <w:szCs w:val="18"/>
          <w:color w:val="auto"/>
        </w:rPr>
      </w:pPr>
    </w:p>
    <w:p>
      <w:pPr>
        <w:ind w:left="-20" w:right="340" w:firstLine="436"/>
        <w:spacing w:after="0" w:line="286" w:lineRule="auto"/>
        <w:tabs>
          <w:tab w:leader="none" w:pos="735"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repeal or modification of the foregoing provisions of this Article Tenth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460" w:top="274" w:right="479" w:bottom="1440" w:gutter="0" w:footer="0" w:header="0"/>
        </w:sectPr>
      </w:pPr>
    </w:p>
    <w:bookmarkStart w:id="368" w:name="page369"/>
    <w:bookmarkEnd w:id="368"/>
    <w:p>
      <w:pPr>
        <w:ind w:left="4" w:right="20" w:firstLine="44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ELEVENTH: </w:t>
      </w:r>
      <w:r>
        <w:rPr>
          <w:rFonts w:ascii="Arial" w:cs="Arial" w:eastAsia="Arial" w:hAnsi="Arial"/>
          <w:sz w:val="16"/>
          <w:szCs w:val="16"/>
          <w:color w:val="auto"/>
        </w:rPr>
        <w:t>The Corporation renounces, to the fullest extent permitted by law, any interest or expectancy of the Corporation in, or in being</w:t>
      </w:r>
      <w:r>
        <w:rPr>
          <w:rFonts w:ascii="Arial" w:cs="Arial" w:eastAsia="Arial" w:hAnsi="Arial"/>
          <w:sz w:val="16"/>
          <w:szCs w:val="16"/>
          <w:b w:val="1"/>
          <w:bCs w:val="1"/>
          <w:color w:val="auto"/>
        </w:rPr>
        <w:t xml:space="preserve"> </w:t>
      </w:r>
      <w:r>
        <w:rPr>
          <w:rFonts w:ascii="Arial" w:cs="Arial" w:eastAsia="Arial" w:hAnsi="Arial"/>
          <w:sz w:val="16"/>
          <w:szCs w:val="16"/>
          <w:color w:val="auto"/>
        </w:rPr>
        <w:t>offered an opportunity to participate in, or in being informed about, any Excluded Opportunity, and hereby waives any claim that such Excluded Opportunity constituted a corporate opportunity that should have been presented to the Corporation or any of its affiliates. An “</w:t>
      </w:r>
      <w:r>
        <w:rPr>
          <w:rFonts w:ascii="Arial" w:cs="Arial" w:eastAsia="Arial" w:hAnsi="Arial"/>
          <w:sz w:val="16"/>
          <w:szCs w:val="16"/>
          <w:b w:val="1"/>
          <w:bCs w:val="1"/>
          <w:color w:val="auto"/>
        </w:rPr>
        <w:t>Excluded Opportunity</w:t>
      </w:r>
      <w:r>
        <w:rPr>
          <w:rFonts w:ascii="Arial" w:cs="Arial" w:eastAsia="Arial" w:hAnsi="Arial"/>
          <w:sz w:val="16"/>
          <w:szCs w:val="16"/>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Affiliate, partner, member, director, stockholder, employee or agent of any such holder, other than someone who is an employee of the Corporation or any of its subsidiaries (collectively, “</w:t>
      </w:r>
      <w:r>
        <w:rPr>
          <w:rFonts w:ascii="Arial" w:cs="Arial" w:eastAsia="Arial" w:hAnsi="Arial"/>
          <w:sz w:val="16"/>
          <w:szCs w:val="16"/>
          <w:b w:val="1"/>
          <w:bCs w:val="1"/>
          <w:color w:val="auto"/>
        </w:rPr>
        <w:t>Covered Persons</w:t>
      </w:r>
      <w:r>
        <w:rPr>
          <w:rFonts w:ascii="Arial" w:cs="Arial" w:eastAsia="Arial" w:hAnsi="Arial"/>
          <w:sz w:val="16"/>
          <w:szCs w:val="16"/>
          <w:color w:val="auto"/>
        </w:rPr>
        <w:t>”), unless such matter, transaction or interest is presented to, or acquired, created or developed by, or otherwise comes into the possession of, a Covered Person expressly in such Covered Person’s capacity as a director of the Corporation.</w:t>
      </w:r>
    </w:p>
    <w:p>
      <w:pPr>
        <w:spacing w:after="0" w:line="159"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6"/>
          <w:szCs w:val="16"/>
          <w:b w:val="1"/>
          <w:bCs w:val="1"/>
          <w:color w:val="auto"/>
        </w:rPr>
        <w:t xml:space="preserve">TWELFTH: </w:t>
      </w:r>
      <w:r>
        <w:rPr>
          <w:rFonts w:ascii="Arial" w:cs="Arial" w:eastAsia="Arial" w:hAnsi="Arial"/>
          <w:sz w:val="16"/>
          <w:szCs w:val="16"/>
          <w:color w:val="auto"/>
        </w:rPr>
        <w:t>Unless the Corporation consents in writing to the selection of an alternative forum, the Court of Chancery in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sole and exclusive forum for (i) any derivative action or proceeding brought on behalf of the Corporation, (ii) any action asserting a claim of breach of fiduciary duty owed by any director, officer or other employee of the Corporation to the Corporation or the Corporation’s stockholders,</w:t>
      </w:r>
    </w:p>
    <w:p>
      <w:pPr>
        <w:spacing w:after="0" w:line="2" w:lineRule="exact"/>
        <w:rPr>
          <w:sz w:val="20"/>
          <w:szCs w:val="20"/>
          <w:color w:val="auto"/>
        </w:rPr>
      </w:pPr>
    </w:p>
    <w:p>
      <w:pPr>
        <w:ind w:left="4" w:right="740" w:hanging="4"/>
        <w:spacing w:after="0" w:line="260" w:lineRule="auto"/>
        <w:tabs>
          <w:tab w:leader="none" w:pos="319"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Delaware General Corporation Law or the Corporation’s certificate of incorporation or bylaws or (iv) any action asserting a claim governed by the internal affairs doctrine.</w:t>
      </w:r>
    </w:p>
    <w:p>
      <w:pPr>
        <w:spacing w:after="0" w:line="185" w:lineRule="exact"/>
        <w:rPr>
          <w:rFonts w:ascii="Arial" w:cs="Arial" w:eastAsia="Arial" w:hAnsi="Arial"/>
          <w:sz w:val="18"/>
          <w:szCs w:val="18"/>
          <w:color w:val="auto"/>
        </w:rPr>
      </w:pPr>
    </w:p>
    <w:p>
      <w:pPr>
        <w:ind w:left="5184"/>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rFonts w:ascii="Arial" w:cs="Arial" w:eastAsia="Arial" w:hAnsi="Arial"/>
          <w:sz w:val="18"/>
          <w:szCs w:val="18"/>
          <w:color w:val="auto"/>
        </w:rPr>
      </w:pPr>
    </w:p>
    <w:p>
      <w:pPr>
        <w:ind w:left="4" w:right="680" w:firstLine="436"/>
        <w:spacing w:after="0" w:line="277" w:lineRule="auto"/>
        <w:tabs>
          <w:tab w:leader="none" w:pos="846" w:val="left"/>
        </w:tabs>
        <w:numPr>
          <w:ilvl w:val="1"/>
          <w:numId w:val="262"/>
        </w:numPr>
        <w:rPr>
          <w:rFonts w:ascii="Arial" w:cs="Arial" w:eastAsia="Arial" w:hAnsi="Arial"/>
          <w:sz w:val="18"/>
          <w:szCs w:val="18"/>
          <w:b w:val="1"/>
          <w:bCs w:val="1"/>
          <w:color w:val="auto"/>
        </w:rPr>
      </w:pPr>
      <w:r>
        <w:rPr>
          <w:rFonts w:ascii="Arial" w:cs="Arial" w:eastAsia="Arial" w:hAnsi="Arial"/>
          <w:sz w:val="18"/>
          <w:szCs w:val="18"/>
          <w:color w:val="auto"/>
        </w:rPr>
        <w:t>That the foregoing amendment and restatement was approved by the holders of the requisite number of shares of this corporation in accordance with Section 228 of the General Corporation Law.</w:t>
      </w:r>
    </w:p>
    <w:p>
      <w:pPr>
        <w:spacing w:after="0" w:line="170" w:lineRule="exact"/>
        <w:rPr>
          <w:rFonts w:ascii="Arial" w:cs="Arial" w:eastAsia="Arial" w:hAnsi="Arial"/>
          <w:sz w:val="18"/>
          <w:szCs w:val="18"/>
          <w:b w:val="1"/>
          <w:bCs w:val="1"/>
          <w:color w:val="auto"/>
        </w:rPr>
      </w:pPr>
    </w:p>
    <w:p>
      <w:pPr>
        <w:ind w:left="4" w:firstLine="436"/>
        <w:spacing w:after="0" w:line="342" w:lineRule="auto"/>
        <w:tabs>
          <w:tab w:leader="none" w:pos="836" w:val="left"/>
        </w:tabs>
        <w:numPr>
          <w:ilvl w:val="1"/>
          <w:numId w:val="262"/>
        </w:numPr>
        <w:rPr>
          <w:rFonts w:ascii="Arial" w:cs="Arial" w:eastAsia="Arial" w:hAnsi="Arial"/>
          <w:sz w:val="16"/>
          <w:szCs w:val="16"/>
          <w:b w:val="1"/>
          <w:bCs w:val="1"/>
          <w:color w:val="auto"/>
        </w:rPr>
      </w:pPr>
      <w:r>
        <w:rPr>
          <w:rFonts w:ascii="Arial" w:cs="Arial" w:eastAsia="Arial" w:hAnsi="Arial"/>
          <w:sz w:val="16"/>
          <w:szCs w:val="16"/>
          <w:color w:val="auto"/>
        </w:rPr>
        <w:t>That this Certificate of Incorporation, which restates and integrates and further amends the provisions of this corporation’s Seventh Amended and Restated Certificate of Incorporation, has been duly adopted in accordance with Sections 242 and 245 of the General Corporation Law.</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0" w:right="459" w:bottom="1440" w:gutter="0" w:footer="0" w:header="0"/>
        </w:sectPr>
      </w:pPr>
    </w:p>
    <w:bookmarkStart w:id="369" w:name="page370"/>
    <w:bookmarkEnd w:id="369"/>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this Eighth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23</w:t>
      </w:r>
      <w:r>
        <w:rPr>
          <w:rFonts w:ascii="Arial" w:cs="Arial" w:eastAsia="Arial" w:hAnsi="Arial"/>
          <w:sz w:val="15"/>
          <w:szCs w:val="15"/>
          <w:color w:val="auto"/>
        </w:rPr>
        <w:t>rd</w:t>
      </w:r>
      <w:r>
        <w:rPr>
          <w:rFonts w:ascii="Arial" w:cs="Arial" w:eastAsia="Arial" w:hAnsi="Arial"/>
          <w:sz w:val="18"/>
          <w:szCs w:val="18"/>
          <w:color w:val="auto"/>
        </w:rPr>
        <w:t xml:space="preserve"> day of February, 2021.</w:t>
      </w:r>
    </w:p>
    <w:p>
      <w:pPr>
        <w:spacing w:after="0" w:line="19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Massaro</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0" w:right="459" w:bottom="1440" w:gutter="0" w:footer="0" w:header="0"/>
        </w:sectPr>
      </w:pPr>
    </w:p>
    <w:bookmarkStart w:id="370" w:name="page371"/>
    <w:bookmarkEnd w:id="37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Flywire Corporation, a corporation organized and existing under the laws of the State of Delaware, hereby certifies as follows:</w:t>
      </w:r>
    </w:p>
    <w:p>
      <w:pPr>
        <w:spacing w:after="0" w:line="225" w:lineRule="exact"/>
        <w:rPr>
          <w:sz w:val="20"/>
          <w:szCs w:val="20"/>
          <w:color w:val="auto"/>
        </w:rPr>
      </w:pPr>
    </w:p>
    <w:p>
      <w:pPr>
        <w:ind w:right="900" w:firstLine="436"/>
        <w:spacing w:after="0" w:line="277" w:lineRule="auto"/>
        <w:tabs>
          <w:tab w:leader="none" w:pos="79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name of the corporation is Flywire Corporation, and that this corporation was originally incorporated pursuant to the General Corporation Law on July 31, 2009 under the name peerTransfer Corporation.</w:t>
      </w:r>
    </w:p>
    <w:p>
      <w:pPr>
        <w:spacing w:after="0" w:line="170" w:lineRule="exact"/>
        <w:rPr>
          <w:rFonts w:ascii="Arial" w:cs="Arial" w:eastAsia="Arial" w:hAnsi="Arial"/>
          <w:sz w:val="18"/>
          <w:szCs w:val="18"/>
          <w:color w:val="auto"/>
        </w:rPr>
      </w:pPr>
    </w:p>
    <w:p>
      <w:pPr>
        <w:ind w:right="100" w:firstLine="436"/>
        <w:spacing w:after="0" w:line="259" w:lineRule="auto"/>
        <w:tabs>
          <w:tab w:leader="none" w:pos="79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which restates, integrates and further amends the certificate of incorporation of the corporation, has been duly adopted by the corporation in accordance with Sections 242 and 245 of the General Corporation Law of the State of Delaware and has been adopted by the requisite vote of the stockholders of the corporation, acting by written consent in lieu of a meeting in accordance with Section 228 of the General Corporation Law of the State of Delaware.</w:t>
      </w:r>
    </w:p>
    <w:p>
      <w:pPr>
        <w:spacing w:after="0" w:line="186" w:lineRule="exact"/>
        <w:rPr>
          <w:rFonts w:ascii="Arial" w:cs="Arial" w:eastAsia="Arial" w:hAnsi="Arial"/>
          <w:sz w:val="18"/>
          <w:szCs w:val="18"/>
          <w:color w:val="auto"/>
        </w:rPr>
      </w:pPr>
    </w:p>
    <w:p>
      <w:pPr>
        <w:ind w:left="800" w:hanging="364"/>
        <w:spacing w:after="0"/>
        <w:tabs>
          <w:tab w:leader="none" w:pos="8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is hereby amended and restated in its entirety to read as follows:</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 Flywire Corporation (hereinafter called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680" w:firstLine="991"/>
        <w:spacing w:after="0" w:line="347" w:lineRule="auto"/>
        <w:rPr>
          <w:sz w:val="20"/>
          <w:szCs w:val="20"/>
          <w:color w:val="auto"/>
        </w:rPr>
      </w:pPr>
      <w:r>
        <w:rPr>
          <w:rFonts w:ascii="Arial" w:cs="Arial" w:eastAsia="Arial" w:hAnsi="Arial"/>
          <w:sz w:val="16"/>
          <w:szCs w:val="16"/>
          <w:b w:val="1"/>
          <w:bCs w:val="1"/>
          <w:color w:val="auto"/>
        </w:rPr>
        <w:t>SECOND</w:t>
      </w:r>
      <w:r>
        <w:rPr>
          <w:rFonts w:ascii="Arial" w:cs="Arial" w:eastAsia="Arial" w:hAnsi="Arial"/>
          <w:sz w:val="16"/>
          <w:szCs w:val="16"/>
          <w:color w:val="auto"/>
        </w:rPr>
        <w:t>: The address of the registered office of the Corporation in the State of Delaware is 251 Little Falls Drive, in the City of</w:t>
      </w:r>
      <w:r>
        <w:rPr>
          <w:rFonts w:ascii="Arial" w:cs="Arial" w:eastAsia="Arial" w:hAnsi="Arial"/>
          <w:sz w:val="16"/>
          <w:szCs w:val="16"/>
          <w:b w:val="1"/>
          <w:bCs w:val="1"/>
          <w:color w:val="auto"/>
        </w:rPr>
        <w:t xml:space="preserve"> </w:t>
      </w:r>
      <w:r>
        <w:rPr>
          <w:rFonts w:ascii="Arial" w:cs="Arial" w:eastAsia="Arial" w:hAnsi="Arial"/>
          <w:sz w:val="16"/>
          <w:szCs w:val="16"/>
          <w:color w:val="auto"/>
        </w:rPr>
        <w:t>Wilmington, County of New Castle, Delaware 19808. The name of its registered agent at such address is Corporation Service Company.</w:t>
      </w:r>
    </w:p>
    <w:p>
      <w:pPr>
        <w:spacing w:after="0" w:line="116" w:lineRule="exact"/>
        <w:rPr>
          <w:sz w:val="20"/>
          <w:szCs w:val="20"/>
          <w:color w:val="auto"/>
        </w:rPr>
      </w:pPr>
    </w:p>
    <w:p>
      <w:pPr>
        <w:ind w:right="320" w:firstLine="991"/>
        <w:spacing w:after="0" w:line="266"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purpose of the Corporation is to engage in any lawful act or activity for which corporations may be organized and</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under the General Corporation Law of the State of Delaware or any applicable successor act thereto, as the same may be amended from time to time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The total number of shares of all classes of capital stock that the Corporation is authorized to issue is 2,020,000,000 shares,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consisting of (i) 2,000,000,000 shares of voting common stock, par value $0.0001 per share (the “</w:t>
      </w:r>
      <w:r>
        <w:rPr>
          <w:rFonts w:ascii="Arial" w:cs="Arial" w:eastAsia="Arial" w:hAnsi="Arial"/>
          <w:sz w:val="16"/>
          <w:szCs w:val="16"/>
          <w:b w:val="1"/>
          <w:bCs w:val="1"/>
          <w:color w:val="auto"/>
        </w:rPr>
        <w:t>Voting Common Stock</w:t>
      </w:r>
      <w:r>
        <w:rPr>
          <w:rFonts w:ascii="Arial" w:cs="Arial" w:eastAsia="Arial" w:hAnsi="Arial"/>
          <w:sz w:val="16"/>
          <w:szCs w:val="16"/>
          <w:color w:val="auto"/>
        </w:rPr>
        <w:t>”), (ii) 10,000,000 shares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non-voting common stock, par value $0.0001 per share (the “</w:t>
      </w:r>
      <w:r>
        <w:rPr>
          <w:rFonts w:ascii="Arial" w:cs="Arial" w:eastAsia="Arial" w:hAnsi="Arial"/>
          <w:sz w:val="17"/>
          <w:szCs w:val="17"/>
          <w:b w:val="1"/>
          <w:bCs w:val="1"/>
          <w:color w:val="auto"/>
        </w:rPr>
        <w:t>Non-Voting Common Stock</w:t>
      </w:r>
      <w:r>
        <w:rPr>
          <w:rFonts w:ascii="Arial" w:cs="Arial" w:eastAsia="Arial" w:hAnsi="Arial"/>
          <w:sz w:val="17"/>
          <w:szCs w:val="17"/>
          <w:color w:val="auto"/>
        </w:rPr>
        <w:t>” and together with the Voting Common Stock,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and (iii) 10,000,000 shares of preferred stock, par value $0.0001 per share (“</w:t>
      </w:r>
      <w:r>
        <w:rPr>
          <w:rFonts w:ascii="Arial" w:cs="Arial" w:eastAsia="Arial" w:hAnsi="Arial"/>
          <w:sz w:val="16"/>
          <w:szCs w:val="16"/>
          <w:b w:val="1"/>
          <w:bCs w:val="1"/>
          <w:color w:val="auto"/>
        </w:rPr>
        <w:t>Preferred Stock</w:t>
      </w:r>
      <w:r>
        <w:rPr>
          <w:rFonts w:ascii="Arial" w:cs="Arial" w:eastAsia="Arial" w:hAnsi="Arial"/>
          <w:sz w:val="16"/>
          <w:szCs w:val="16"/>
          <w:color w:val="auto"/>
        </w:rPr>
        <w:t>”). Subject to the rights of the 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any series of Preferred Stock, the number of authorized shares of any of the Common Stock or Preferred Stock may be increased or decreased (but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below the number of shares thereof then outstanding) by the affirmative vote of the holders of a majority in voting power of the capital stock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entitled to vote thereon irrespective of the provisions of Section 242(b)(2) of the DGCL, and no vote of the holders of any of the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or Preferred Stock voting separately as a class shall be required therefor.</w:t>
      </w:r>
    </w:p>
    <w:p>
      <w:pPr>
        <w:sectPr>
          <w:pgSz w:w="11900" w:h="16838" w:orient="portrait"/>
          <w:cols w:equalWidth="0" w:num="1">
            <w:col w:w="11020"/>
          </w:cols>
          <w:pgMar w:left="440" w:top="121" w:right="439" w:bottom="1440" w:gutter="0" w:footer="0" w:header="0"/>
        </w:sectPr>
      </w:pPr>
    </w:p>
    <w:bookmarkStart w:id="371" w:name="page372"/>
    <w:bookmarkEnd w:id="371"/>
    <w:p>
      <w:pPr>
        <w:ind w:left="-987" w:right="40" w:firstLine="987"/>
        <w:spacing w:after="0" w:line="277" w:lineRule="auto"/>
        <w:tabs>
          <w:tab w:leader="none" w:pos="359"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Stock</w:t>
      </w:r>
      <w:r>
        <w:rPr>
          <w:rFonts w:ascii="Arial" w:cs="Arial" w:eastAsia="Arial" w:hAnsi="Arial"/>
          <w:sz w:val="18"/>
          <w:szCs w:val="18"/>
          <w:color w:val="auto"/>
        </w:rPr>
        <w:t>. The powers, preferences and relative participating, optional or other special rights, and the qualifications, limitations and restrictions of the Common Stock are as follows:</w:t>
      </w:r>
    </w:p>
    <w:p>
      <w:pPr>
        <w:spacing w:after="0" w:line="170" w:lineRule="exact"/>
        <w:rPr>
          <w:rFonts w:ascii="Arial" w:cs="Arial" w:eastAsia="Arial" w:hAnsi="Arial"/>
          <w:sz w:val="18"/>
          <w:szCs w:val="18"/>
          <w:color w:val="auto"/>
        </w:rPr>
      </w:pPr>
    </w:p>
    <w:p>
      <w:pPr>
        <w:jc w:val="both"/>
        <w:ind w:left="-987" w:right="320" w:firstLine="1428"/>
        <w:spacing w:after="0" w:line="263" w:lineRule="auto"/>
        <w:tabs>
          <w:tab w:leader="none" w:pos="759"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 The voting, dividend and liquidation rights of the holders of the Common Stock are subject to and qualified by the rights of the holders of the Preferred Stock of any series as may be designated by 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 upon any issuance of the Preferred Stock of any series.</w:t>
      </w:r>
    </w:p>
    <w:p>
      <w:pPr>
        <w:spacing w:after="0" w:line="183" w:lineRule="exact"/>
        <w:rPr>
          <w:rFonts w:ascii="Arial" w:cs="Arial" w:eastAsia="Arial" w:hAnsi="Arial"/>
          <w:sz w:val="18"/>
          <w:szCs w:val="18"/>
          <w:color w:val="auto"/>
        </w:rPr>
      </w:pPr>
    </w:p>
    <w:p>
      <w:pPr>
        <w:ind w:left="-987" w:right="20" w:firstLine="1428"/>
        <w:spacing w:after="0" w:line="270" w:lineRule="auto"/>
        <w:tabs>
          <w:tab w:leader="none" w:pos="759"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Except as otherwise provided by law or by this Amended and Restated Certificate of Incorporation (as amended from time to time, including the terms of any Preferred Stock Designation (as defined below), this “</w:t>
      </w:r>
      <w:r>
        <w:rPr>
          <w:rFonts w:ascii="Arial" w:cs="Arial" w:eastAsia="Arial" w:hAnsi="Arial"/>
          <w:sz w:val="17"/>
          <w:szCs w:val="17"/>
          <w:b w:val="1"/>
          <w:bCs w:val="1"/>
          <w:color w:val="auto"/>
        </w:rPr>
        <w:t>Certificate of Incorporation</w:t>
      </w:r>
      <w:r>
        <w:rPr>
          <w:rFonts w:ascii="Arial" w:cs="Arial" w:eastAsia="Arial" w:hAnsi="Arial"/>
          <w:sz w:val="17"/>
          <w:szCs w:val="17"/>
          <w:color w:val="auto"/>
        </w:rPr>
        <w:t>”), the holders of outstanding shares of Voting Common Stock shall have the exclusive right to vote for the election and removal of directors and for all other purposes. Each outstanding share of Voting Common Stock shall entitle the holder thereof to one vote on each matter properly submitted to the stockholders of the Corporation for their vote. The shares of Non-Voting Common Stock shall not be entitled to vote on any matter except as required by the DGCL. Notwithstanding any other provision of this Certificate of Incorporation to the contrary, the holders of Common Stock shall not be entitled to vote on any amendment to this Certificate of Incorporation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or the DGCL.</w:t>
      </w:r>
    </w:p>
    <w:p>
      <w:pPr>
        <w:spacing w:after="0" w:line="180" w:lineRule="exact"/>
        <w:rPr>
          <w:rFonts w:ascii="Arial" w:cs="Arial" w:eastAsia="Arial" w:hAnsi="Arial"/>
          <w:sz w:val="17"/>
          <w:szCs w:val="17"/>
          <w:color w:val="auto"/>
        </w:rPr>
      </w:pPr>
    </w:p>
    <w:p>
      <w:pPr>
        <w:ind w:left="-987" w:firstLine="1428"/>
        <w:spacing w:after="0" w:line="286" w:lineRule="auto"/>
        <w:tabs>
          <w:tab w:leader="none" w:pos="759"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Subject to the rights of the holders of one or more outstanding series of Preferred Stock, holders of shares of Common Stock shall be entitled to receive such dividends and distributions and other distributions in cash, stock or property of the Corporation when, as and if declared thereon by the Board from time to time out of assets or funds of the Corporation legally available therefor.</w:t>
      </w:r>
    </w:p>
    <w:p>
      <w:pPr>
        <w:spacing w:after="0" w:line="165" w:lineRule="exact"/>
        <w:rPr>
          <w:rFonts w:ascii="Arial" w:cs="Arial" w:eastAsia="Arial" w:hAnsi="Arial"/>
          <w:sz w:val="17"/>
          <w:szCs w:val="17"/>
          <w:color w:val="auto"/>
        </w:rPr>
      </w:pPr>
    </w:p>
    <w:p>
      <w:pPr>
        <w:ind w:left="-987" w:right="80" w:firstLine="1428"/>
        <w:spacing w:after="0" w:line="296" w:lineRule="auto"/>
        <w:tabs>
          <w:tab w:leader="none" w:pos="759" w:val="left"/>
        </w:tabs>
        <w:numPr>
          <w:ilvl w:val="1"/>
          <w:numId w:val="264"/>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Subject to the rights of the holders of one or more outstanding series of Preferred Stock, shares of Common Stock shall be entitled to receive the assets and funds of the Corporation available for distribution in the event of any liquidation, dissolution or winding up of the affairs of the Corporation, whether voluntary or involuntary. A liquidation, dissolution or winding up of the affairs of the Corporation, as such terms are used in this Section A(4), shall not be deemed to be occasioned by or to include any consolidation or merger of the Corporation with or into any other person or a sale, lease, exchange, exclusive license, conveyance or other disposition of all or any part of its assets.</w:t>
      </w:r>
    </w:p>
    <w:p>
      <w:pPr>
        <w:spacing w:after="0" w:line="269" w:lineRule="exact"/>
        <w:rPr>
          <w:rFonts w:ascii="Arial" w:cs="Arial" w:eastAsia="Arial" w:hAnsi="Arial"/>
          <w:sz w:val="16"/>
          <w:szCs w:val="16"/>
          <w:color w:val="auto"/>
        </w:rPr>
      </w:pPr>
    </w:p>
    <w:p>
      <w:pPr>
        <w:ind w:left="753" w:hanging="312"/>
        <w:spacing w:after="0"/>
        <w:tabs>
          <w:tab w:leader="none" w:pos="753"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Mandatory Conversion of Non-Voting Common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7" w:right="100" w:firstLine="1979"/>
        <w:spacing w:after="0" w:line="271" w:lineRule="auto"/>
        <w:tabs>
          <w:tab w:leader="none" w:pos="1420" w:val="left"/>
        </w:tabs>
        <w:numPr>
          <w:ilvl w:val="2"/>
          <w:numId w:val="264"/>
        </w:numPr>
        <w:rPr>
          <w:rFonts w:ascii="Arial" w:cs="Arial" w:eastAsia="Arial" w:hAnsi="Arial"/>
          <w:sz w:val="17"/>
          <w:szCs w:val="17"/>
          <w:color w:val="auto"/>
        </w:rPr>
      </w:pPr>
      <w:r>
        <w:rPr>
          <w:rFonts w:ascii="Arial" w:cs="Arial" w:eastAsia="Arial" w:hAnsi="Arial"/>
          <w:sz w:val="17"/>
          <w:szCs w:val="17"/>
          <w:color w:val="auto"/>
        </w:rPr>
        <w:t xml:space="preserve">Each share of Non-Voting Common Stock shall be automatically converted without the payment of any additional consideration into fully paid shares of Voting Common Stock at the rate of one-to-one (subject to equitable adjustment in the event of any stock split, recapitalization, dividend or the like) upon the transfer thereof in a Widely Dispersed Offering. For the purposes of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 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w:t>
      </w:r>
      <w:r>
        <w:rPr>
          <w:rFonts w:ascii="Arial" w:cs="Arial" w:eastAsia="Arial" w:hAnsi="Arial"/>
          <w:sz w:val="17"/>
          <w:szCs w:val="17"/>
          <w:color w:val="auto"/>
        </w:rPr>
        <w:t>, a “</w:t>
      </w:r>
      <w:r>
        <w:rPr>
          <w:rFonts w:ascii="Arial" w:cs="Arial" w:eastAsia="Arial" w:hAnsi="Arial"/>
          <w:sz w:val="17"/>
          <w:szCs w:val="17"/>
          <w:b w:val="1"/>
          <w:bCs w:val="1"/>
          <w:i w:val="1"/>
          <w:iCs w:val="1"/>
          <w:color w:val="auto"/>
        </w:rPr>
        <w:t>Widely Dispersed Offering</w:t>
      </w:r>
      <w:r>
        <w:rPr>
          <w:rFonts w:ascii="Arial" w:cs="Arial" w:eastAsia="Arial" w:hAnsi="Arial"/>
          <w:sz w:val="17"/>
          <w:szCs w:val="17"/>
          <w:color w:val="auto"/>
        </w:rPr>
        <w:t>” means (i) a widespread public distribution, including pursuant to Securities and Exchange Commission Rule 144, (ii) a transfer (including a private placement or a sale pursuant to Securities and Exchange Commission Rule 144) in which no one party acquires the right to purchase 2% or more of any class of voting securities (as such term is used for the purposes of the Bank Holding Company Act of 1956, as amended (“</w:t>
      </w:r>
      <w:r>
        <w:rPr>
          <w:rFonts w:ascii="Arial" w:cs="Arial" w:eastAsia="Arial" w:hAnsi="Arial"/>
          <w:sz w:val="17"/>
          <w:szCs w:val="17"/>
          <w:b w:val="1"/>
          <w:bCs w:val="1"/>
          <w:i w:val="1"/>
          <w:iCs w:val="1"/>
          <w:color w:val="auto"/>
        </w:rPr>
        <w:t>BHC Act</w:t>
      </w:r>
      <w:r>
        <w:rPr>
          <w:rFonts w:ascii="Arial" w:cs="Arial" w:eastAsia="Arial" w:hAnsi="Arial"/>
          <w:sz w:val="17"/>
          <w:szCs w:val="17"/>
          <w:color w:val="auto"/>
        </w:rPr>
        <w:t>”)), (iii) an assignment to a single party (for example, a broker or investment banker) for the purposes of conducting a widespread public distribution, or (iv) to a party who would control more than 50% of the voting securities of the</w:t>
      </w:r>
    </w:p>
    <w:p>
      <w:pPr>
        <w:sectPr>
          <w:pgSz w:w="11900" w:h="16838" w:orient="portrait"/>
          <w:cols w:equalWidth="0" w:num="1">
            <w:col w:w="10013"/>
          </w:cols>
          <w:pgMar w:left="1427" w:top="274" w:right="459" w:bottom="1440" w:gutter="0" w:footer="0" w:header="0"/>
        </w:sectPr>
      </w:pPr>
    </w:p>
    <w:bookmarkStart w:id="372" w:name="page373"/>
    <w:bookmarkEnd w:id="372"/>
    <w:p>
      <w:pPr>
        <w:jc w:val="both"/>
        <w:ind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Corporation without giving effect to the shares of Non-Voting Common Stock transferred by the holder. Other than in the event of a Widely Dispersed Offering, shares of Non-Voting Common Stock shall not be convertible into any other security of the Corporation. Other than in the event of a Widely Dispersed Offering, shares of Non-Voting Common Stock shall not be convertible into any other security of the Corporation.</w:t>
      </w:r>
    </w:p>
    <w:p>
      <w:pPr>
        <w:spacing w:after="0" w:line="165" w:lineRule="exact"/>
        <w:rPr>
          <w:sz w:val="20"/>
          <w:szCs w:val="20"/>
          <w:color w:val="auto"/>
        </w:rPr>
      </w:pPr>
    </w:p>
    <w:p>
      <w:pPr>
        <w:ind w:right="20" w:firstLine="1979"/>
        <w:spacing w:after="0" w:line="285" w:lineRule="auto"/>
        <w:tabs>
          <w:tab w:leader="none" w:pos="2373"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In order for a holder of Non-Voting Common Stock to convert shares of Non-Voting Common Stock into shares of Voting Common Stock in connection with a Widely Dispersed Offering, such holder shall surrender the certificate or certificates for such shares of Non-Voting Common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Non-Voting Common Stock (or at the principal office of the Corporation if the Corporation serves as its own transfer agent), together with written notice that such holder elects to convert all or any number of the shares of the Non-Voting Common Stock represented by such certificate or certificates and, if applicable, any event on which such conversion is contingent. Such notice shall state such holder’s name or the names of the nominees in which such holder wishes the certificate or certificates for shares of Voting Common Stock to be issued. If required by the Corporation, certificates surrendered for conversion shall be endorsed or accompanied by a written instrument or instruments of transfer, in form reasonably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Arial" w:cs="Arial" w:eastAsia="Arial" w:hAnsi="Arial"/>
          <w:sz w:val="16"/>
          <w:szCs w:val="16"/>
          <w:b w:val="1"/>
          <w:bCs w:val="1"/>
          <w:i w:val="1"/>
          <w:iCs w:val="1"/>
          <w:color w:val="auto"/>
        </w:rPr>
        <w:t>Common Stock Conversion Time</w:t>
      </w:r>
      <w:r>
        <w:rPr>
          <w:rFonts w:ascii="Arial" w:cs="Arial" w:eastAsia="Arial" w:hAnsi="Arial"/>
          <w:sz w:val="16"/>
          <w:szCs w:val="16"/>
          <w:color w:val="auto"/>
        </w:rPr>
        <w:t>”), and the shares of Voting Common Stock issuable upon conversion of the shares represented by such certificate shall be deemed to be outstanding of record as of such date. The Corporation shall, as soon as practicable after the Common Stock Conversion Time, issue and deliver to such holder of Non-Voting Common Stock, or to his, her or its nominees, a certificate or certificates for the number of full shares of Voting Common Stock issuable upon such conversion in accordance with the provisions hereof and a certificate for the number (if any) of the shares of Non-Voting Common Stock represented by the surrendered certificate that were not converted into Voting Common Stock.</w:t>
      </w:r>
    </w:p>
    <w:p>
      <w:pPr>
        <w:spacing w:after="0" w:line="173" w:lineRule="exact"/>
        <w:rPr>
          <w:rFonts w:ascii="Arial" w:cs="Arial" w:eastAsia="Arial" w:hAnsi="Arial"/>
          <w:sz w:val="16"/>
          <w:szCs w:val="16"/>
          <w:color w:val="auto"/>
        </w:rPr>
      </w:pPr>
    </w:p>
    <w:p>
      <w:pPr>
        <w:ind w:firstLine="1979"/>
        <w:spacing w:after="0" w:line="291" w:lineRule="auto"/>
        <w:tabs>
          <w:tab w:leader="none" w:pos="2362"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when the Non-Voting Common Stock shall be outstanding, reserve and keep available out of its authorized but unissued capital stock, for the purpose of effecting the conversion of the Non-Voting Common Stock, such number of its duly authorized shares of Voting Common Stock as shall from time to time be sufficient to effect the conversion of all outstanding Non-Voting Common Stock; and if at any time the number of authorized but unissued shares of Voting Common Stock shall not be sufficient to effect the conversion of all then outstanding shares of the Non-Voting Common Stock, the Corporation shall take such corporate action as may be necessary to increase its authorized but unissued shares of Voting Common Stock to such number of shares as shall be sufficient for such purposes, including, without limitation, engaging in best efforts to obtain the requisite stockholder approval of any necessary amendment to this Certificate.</w:t>
      </w:r>
    </w:p>
    <w:p>
      <w:pPr>
        <w:sectPr>
          <w:pgSz w:w="11900" w:h="16838" w:orient="portrait"/>
          <w:cols w:equalWidth="0" w:num="1">
            <w:col w:w="11000"/>
          </w:cols>
          <w:pgMar w:left="440" w:top="274" w:right="459" w:bottom="1440" w:gutter="0" w:footer="0" w:header="0"/>
        </w:sectPr>
      </w:pPr>
    </w:p>
    <w:bookmarkStart w:id="373" w:name="page374"/>
    <w:bookmarkEnd w:id="373"/>
    <w:p>
      <w:pPr>
        <w:ind w:right="20" w:firstLine="1428"/>
        <w:spacing w:after="0" w:line="291" w:lineRule="auto"/>
        <w:tabs>
          <w:tab w:leader="none" w:pos="1747"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Relative Rights of Voting Common Stock and Non-Voting Common Stock</w:t>
      </w:r>
      <w:r>
        <w:rPr>
          <w:rFonts w:ascii="Arial" w:cs="Arial" w:eastAsia="Arial" w:hAnsi="Arial"/>
          <w:sz w:val="16"/>
          <w:szCs w:val="16"/>
          <w:color w:val="auto"/>
        </w:rPr>
        <w:t xml:space="preserve">. Except as expressly provided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 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 with respect to voting powers, the Voting Common Stock and the Non-Voting Common Stock shall be identical in all respects and shall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one another, and share ratably on a per share basis in respect of, the payment of dividends and the distribution of assets on the liquidation, dissolution or winding up of the Corporation made in respect of the Common Stock. In furtherance of the foregoing, the Corporation shall not, whether by merger, consolidation, amendment to this Certificate, operation of law or otherwise, effect any stock split, recapitalization or similar adjustment to either the Voting Common Stock or Non-Voting Common Stock unless simultaneously in connection therewith the Corporation effects an identical stock split, recapitalization or similar adjustment to the other Non-Voting Common Stock or Voting Common Stock, respectively.</w:t>
      </w:r>
    </w:p>
    <w:p>
      <w:pPr>
        <w:spacing w:after="0" w:line="274" w:lineRule="exact"/>
        <w:rPr>
          <w:rFonts w:ascii="Arial" w:cs="Arial" w:eastAsia="Arial" w:hAnsi="Arial"/>
          <w:sz w:val="16"/>
          <w:szCs w:val="16"/>
          <w:color w:val="auto"/>
        </w:rPr>
      </w:pPr>
    </w:p>
    <w:p>
      <w:pPr>
        <w:ind w:left="1340" w:hanging="353"/>
        <w:spacing w:after="0"/>
        <w:tabs>
          <w:tab w:leader="none" w:pos="134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Preferred Stock</w:t>
      </w:r>
    </w:p>
    <w:p>
      <w:pPr>
        <w:spacing w:after="0" w:line="11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Shares of Preferred Stock may be issued from time to time in one or more series. The Board is hereby authorized to provide by resolution or resolutions from time to time for the issuance, out of the authorized but unissued shares of Preferred Stock, of one or more series of Preferred Stock, without stockholder approval (except as otherwise expressly required by this Certificate of Incorporation), by filing a certificate of designation pursuant to the applicable law of the State of Delaware (any such certificate, a “</w:t>
      </w:r>
      <w:r>
        <w:rPr>
          <w:rFonts w:ascii="Arial" w:cs="Arial" w:eastAsia="Arial" w:hAnsi="Arial"/>
          <w:sz w:val="17"/>
          <w:szCs w:val="17"/>
          <w:b w:val="1"/>
          <w:bCs w:val="1"/>
          <w:color w:val="auto"/>
        </w:rPr>
        <w:t>Preferred Stock Designation</w:t>
      </w:r>
      <w:r>
        <w:rPr>
          <w:rFonts w:ascii="Arial" w:cs="Arial" w:eastAsia="Arial" w:hAnsi="Arial"/>
          <w:sz w:val="17"/>
          <w:szCs w:val="17"/>
          <w:color w:val="auto"/>
        </w:rPr>
        <w:t>”), setting forth such resolution and, with respect to each such series,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such series. The powers, designation, preferences and relative, participating, optional and other special rights, and the qualifications, limitations and restrictions thereof, of each series of Preferred Stock may differ from those of any and all other series at any time outstanding. The authority of the Board with respect to each series of Preferred Stock shall include, but not be limited to, the determination of the following:</w:t>
      </w:r>
    </w:p>
    <w:p>
      <w:pPr>
        <w:spacing w:after="0" w:line="185" w:lineRule="exact"/>
        <w:rPr>
          <w:sz w:val="20"/>
          <w:szCs w:val="20"/>
          <w:color w:val="auto"/>
        </w:rPr>
      </w:pPr>
    </w:p>
    <w:p>
      <w:pPr>
        <w:ind w:left="2360" w:hanging="381"/>
        <w:spacing w:after="0"/>
        <w:tabs>
          <w:tab w:leader="none" w:pos="23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designation of the series, which may be by distinguishing number, letter or title;</w:t>
      </w:r>
    </w:p>
    <w:p>
      <w:pPr>
        <w:spacing w:after="0" w:line="225" w:lineRule="exact"/>
        <w:rPr>
          <w:rFonts w:ascii="Arial" w:cs="Arial" w:eastAsia="Arial" w:hAnsi="Arial"/>
          <w:sz w:val="18"/>
          <w:szCs w:val="18"/>
          <w:color w:val="auto"/>
        </w:rPr>
      </w:pPr>
    </w:p>
    <w:p>
      <w:pPr>
        <w:ind w:right="360" w:firstLine="1979"/>
        <w:spacing w:after="0" w:line="263" w:lineRule="auto"/>
        <w:tabs>
          <w:tab w:leader="none" w:pos="237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number of shares of the series, which number the Board may thereafter increase or decrease (but not below the number of shares thereof then outstanding) without any vote of stockholders (except as otherwise expressly required by this Certificate of Incorporation);</w:t>
      </w:r>
    </w:p>
    <w:p>
      <w:pPr>
        <w:spacing w:after="0" w:line="183" w:lineRule="exact"/>
        <w:rPr>
          <w:rFonts w:ascii="Arial" w:cs="Arial" w:eastAsia="Arial" w:hAnsi="Arial"/>
          <w:sz w:val="18"/>
          <w:szCs w:val="18"/>
          <w:color w:val="auto"/>
        </w:rPr>
      </w:pPr>
    </w:p>
    <w:p>
      <w:pPr>
        <w:ind w:firstLine="1979"/>
        <w:spacing w:after="0" w:line="277" w:lineRule="auto"/>
        <w:tabs>
          <w:tab w:leader="none" w:pos="236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amounts or rates at which dividends will be payable on, and the preferences, if any, of shares of the series in respect of dividends, and whether such dividends, if any, shall be cumulative or noncumulative;</w:t>
      </w:r>
    </w:p>
    <w:p>
      <w:pPr>
        <w:spacing w:after="0" w:line="170" w:lineRule="exact"/>
        <w:rPr>
          <w:rFonts w:ascii="Arial" w:cs="Arial" w:eastAsia="Arial" w:hAnsi="Arial"/>
          <w:sz w:val="18"/>
          <w:szCs w:val="18"/>
          <w:color w:val="auto"/>
        </w:rPr>
      </w:pPr>
    </w:p>
    <w:p>
      <w:pPr>
        <w:ind w:left="2360" w:hanging="381"/>
        <w:spacing w:after="0"/>
        <w:tabs>
          <w:tab w:leader="none" w:pos="23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dates on which dividends, if any, shall be payable;</w:t>
      </w:r>
    </w:p>
    <w:p>
      <w:pPr>
        <w:spacing w:after="0" w:line="225" w:lineRule="exact"/>
        <w:rPr>
          <w:rFonts w:ascii="Arial" w:cs="Arial" w:eastAsia="Arial" w:hAnsi="Arial"/>
          <w:sz w:val="18"/>
          <w:szCs w:val="18"/>
          <w:color w:val="auto"/>
        </w:rPr>
      </w:pPr>
    </w:p>
    <w:p>
      <w:pPr>
        <w:ind w:left="2360" w:hanging="381"/>
        <w:spacing w:after="0"/>
        <w:tabs>
          <w:tab w:leader="none" w:pos="23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225" w:lineRule="exact"/>
        <w:rPr>
          <w:rFonts w:ascii="Arial" w:cs="Arial" w:eastAsia="Arial" w:hAnsi="Arial"/>
          <w:sz w:val="18"/>
          <w:szCs w:val="18"/>
          <w:color w:val="auto"/>
        </w:rPr>
      </w:pPr>
    </w:p>
    <w:p>
      <w:pPr>
        <w:ind w:left="2340" w:hanging="361"/>
        <w:spacing w:after="0"/>
        <w:tabs>
          <w:tab w:leader="none" w:pos="234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terms and amount of any sinking fund, if any, provided for the purchase or redemption of shares of the series;</w:t>
      </w:r>
    </w:p>
    <w:p>
      <w:pPr>
        <w:sectPr>
          <w:pgSz w:w="11900" w:h="16838" w:orient="portrait"/>
          <w:cols w:equalWidth="0" w:num="1">
            <w:col w:w="10960"/>
          </w:cols>
          <w:pgMar w:left="440" w:top="274" w:right="499" w:bottom="1440" w:gutter="0" w:footer="0" w:header="0"/>
        </w:sectPr>
      </w:pPr>
    </w:p>
    <w:bookmarkStart w:id="374" w:name="page375"/>
    <w:bookmarkEnd w:id="374"/>
    <w:p>
      <w:pPr>
        <w:ind w:right="80" w:firstLine="1979"/>
        <w:spacing w:after="0" w:line="277" w:lineRule="auto"/>
        <w:tabs>
          <w:tab w:leader="none" w:pos="2373" w:val="left"/>
        </w:tabs>
        <w:numPr>
          <w:ilvl w:val="0"/>
          <w:numId w:val="2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amounts payable on, and the preferences, if any, of shares of the series in the event of any voluntary or involuntary liquidation, dissolution or winding up of the affairs of the Corporation;</w:t>
      </w:r>
    </w:p>
    <w:p>
      <w:pPr>
        <w:spacing w:after="0" w:line="170" w:lineRule="exact"/>
        <w:rPr>
          <w:rFonts w:ascii="Arial" w:cs="Arial" w:eastAsia="Arial" w:hAnsi="Arial"/>
          <w:sz w:val="18"/>
          <w:szCs w:val="18"/>
          <w:color w:val="auto"/>
        </w:rPr>
      </w:pPr>
    </w:p>
    <w:p>
      <w:pPr>
        <w:jc w:val="both"/>
        <w:ind w:right="20" w:firstLine="1979"/>
        <w:spacing w:after="0" w:line="259" w:lineRule="auto"/>
        <w:tabs>
          <w:tab w:leader="none" w:pos="237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86" w:lineRule="exact"/>
        <w:rPr>
          <w:rFonts w:ascii="Arial" w:cs="Arial" w:eastAsia="Arial" w:hAnsi="Arial"/>
          <w:sz w:val="18"/>
          <w:szCs w:val="18"/>
          <w:color w:val="auto"/>
        </w:rPr>
      </w:pPr>
    </w:p>
    <w:p>
      <w:pPr>
        <w:ind w:left="2320" w:hanging="341"/>
        <w:spacing w:after="0"/>
        <w:tabs>
          <w:tab w:leader="none" w:pos="23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restrictions on the issuance or reissuance of shares of the same series or any other class or series;</w:t>
      </w:r>
    </w:p>
    <w:p>
      <w:pPr>
        <w:spacing w:after="0" w:line="225" w:lineRule="exact"/>
        <w:rPr>
          <w:rFonts w:ascii="Arial" w:cs="Arial" w:eastAsia="Arial" w:hAnsi="Arial"/>
          <w:sz w:val="18"/>
          <w:szCs w:val="18"/>
          <w:color w:val="auto"/>
        </w:rPr>
      </w:pPr>
    </w:p>
    <w:p>
      <w:pPr>
        <w:ind w:left="2320" w:hanging="341"/>
        <w:spacing w:after="0"/>
        <w:tabs>
          <w:tab w:leader="none" w:pos="23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voting rights, if any, of the holders of shares of the series generally or upon specified events; and</w:t>
      </w:r>
    </w:p>
    <w:p>
      <w:pPr>
        <w:spacing w:after="0" w:line="225" w:lineRule="exact"/>
        <w:rPr>
          <w:rFonts w:ascii="Arial" w:cs="Arial" w:eastAsia="Arial" w:hAnsi="Arial"/>
          <w:sz w:val="18"/>
          <w:szCs w:val="18"/>
          <w:color w:val="auto"/>
        </w:rPr>
      </w:pPr>
    </w:p>
    <w:p>
      <w:pPr>
        <w:ind w:right="600" w:firstLine="1979"/>
        <w:spacing w:after="0" w:line="277" w:lineRule="auto"/>
        <w:tabs>
          <w:tab w:leader="none" w:pos="237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other powers, preferences and relative, participating, optional or other special rights, and the qualifications, limitations or restrictions thereof, of each series of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all as may be determined from time to time by the Board and stated in the resolution or resolutions providing for the issuance of such Preferred Stock.</w:t>
      </w:r>
    </w:p>
    <w:p>
      <w:pPr>
        <w:spacing w:after="0" w:line="24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Without limiting the generality of the foregoing, subject to the rights of one or more series of Preferred Stock then outstanding, the resolutions providing for issuance of any series of Preferred Stock may provide that such series shall be superior or rank equally or be junior to any other series of Preferred Stock to the extent permitted by law.</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FIFTH</w:t>
      </w:r>
      <w:r>
        <w:rPr>
          <w:rFonts w:ascii="Arial" w:cs="Arial" w:eastAsia="Arial" w:hAnsi="Arial"/>
          <w:sz w:val="17"/>
          <w:szCs w:val="17"/>
          <w:color w:val="auto"/>
        </w:rPr>
        <w:t>: This Article FIFTH is inserted for the management of the business and for the conduct of the affairs of the Corporation.</w:t>
      </w:r>
    </w:p>
    <w:p>
      <w:pPr>
        <w:spacing w:after="0" w:line="241" w:lineRule="exact"/>
        <w:rPr>
          <w:sz w:val="20"/>
          <w:szCs w:val="20"/>
          <w:color w:val="auto"/>
        </w:rPr>
      </w:pPr>
    </w:p>
    <w:p>
      <w:pPr>
        <w:ind w:right="480" w:firstLine="987"/>
        <w:spacing w:after="0" w:line="277" w:lineRule="auto"/>
        <w:tabs>
          <w:tab w:leader="none" w:pos="1346"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the Board, except as otherwise provided by this Certificate of Incorporation or the DGCL.</w:t>
      </w:r>
    </w:p>
    <w:p>
      <w:pPr>
        <w:spacing w:after="0" w:line="170" w:lineRule="exact"/>
        <w:rPr>
          <w:rFonts w:ascii="Arial" w:cs="Arial" w:eastAsia="Arial" w:hAnsi="Arial"/>
          <w:sz w:val="18"/>
          <w:szCs w:val="18"/>
          <w:color w:val="auto"/>
        </w:rPr>
      </w:pPr>
    </w:p>
    <w:p>
      <w:pPr>
        <w:ind w:right="320" w:firstLine="987"/>
        <w:spacing w:after="0" w:line="301" w:lineRule="auto"/>
        <w:tabs>
          <w:tab w:leader="none" w:pos="1336"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Number of Directors; Election of Directors</w:t>
      </w:r>
      <w:r>
        <w:rPr>
          <w:rFonts w:ascii="Arial" w:cs="Arial" w:eastAsia="Arial" w:hAnsi="Arial"/>
          <w:sz w:val="16"/>
          <w:szCs w:val="16"/>
          <w:color w:val="auto"/>
        </w:rPr>
        <w:t>. Subject to the rights of holders of any series of Preferred Stock to elect directors, the number of directors of the Corporation shall be fixed from time to time by resolution of the majority of the Whole Board. For purposes of this Certificate of Incorporation, the term “</w:t>
      </w:r>
      <w:r>
        <w:rPr>
          <w:rFonts w:ascii="Arial" w:cs="Arial" w:eastAsia="Arial" w:hAnsi="Arial"/>
          <w:sz w:val="16"/>
          <w:szCs w:val="16"/>
          <w:b w:val="1"/>
          <w:bCs w:val="1"/>
          <w:color w:val="auto"/>
        </w:rPr>
        <w:t>Whole Board</w:t>
      </w:r>
      <w:r>
        <w:rPr>
          <w:rFonts w:ascii="Arial" w:cs="Arial" w:eastAsia="Arial" w:hAnsi="Arial"/>
          <w:sz w:val="16"/>
          <w:szCs w:val="16"/>
          <w:color w:val="auto"/>
        </w:rPr>
        <w:t>” will mean the total number of authorized directors whether or not there exist any vacancies in previously authorized directorships. No decrease in the number of directors constituting the Board shall shorten the term of any incumbent director.</w:t>
      </w:r>
    </w:p>
    <w:p>
      <w:pPr>
        <w:spacing w:after="0" w:line="157" w:lineRule="exact"/>
        <w:rPr>
          <w:rFonts w:ascii="Arial" w:cs="Arial" w:eastAsia="Arial" w:hAnsi="Arial"/>
          <w:sz w:val="16"/>
          <w:szCs w:val="16"/>
          <w:color w:val="auto"/>
        </w:rPr>
      </w:pPr>
    </w:p>
    <w:p>
      <w:pPr>
        <w:jc w:val="both"/>
        <w:ind w:right="60" w:firstLine="987"/>
        <w:spacing w:after="0" w:line="259" w:lineRule="auto"/>
        <w:tabs>
          <w:tab w:leader="none" w:pos="1336"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Classes of Directors</w:t>
      </w:r>
      <w:r>
        <w:rPr>
          <w:rFonts w:ascii="Arial" w:cs="Arial" w:eastAsia="Arial" w:hAnsi="Arial"/>
          <w:sz w:val="18"/>
          <w:szCs w:val="18"/>
          <w:color w:val="auto"/>
        </w:rPr>
        <w:t>. Subject to the special rights of holders of any series of Preferred Stock to elect directors, the Board shall be and is divided into three classes, designated Class I, Class II and Class III, and each class shall consist, as nearly as may be possible, of one third of the total number of directors so divided into classes. The Board is authorized to assign members of the Board already in office to Class I, Class II or Class III at the time such classification becomes effective.</w:t>
      </w:r>
    </w:p>
    <w:p>
      <w:pPr>
        <w:spacing w:after="0" w:line="186" w:lineRule="exact"/>
        <w:rPr>
          <w:rFonts w:ascii="Arial" w:cs="Arial" w:eastAsia="Arial" w:hAnsi="Arial"/>
          <w:sz w:val="18"/>
          <w:szCs w:val="18"/>
          <w:color w:val="auto"/>
        </w:rPr>
      </w:pPr>
    </w:p>
    <w:p>
      <w:pPr>
        <w:ind w:firstLine="987"/>
        <w:spacing w:after="0" w:line="263" w:lineRule="auto"/>
        <w:tabs>
          <w:tab w:leader="none" w:pos="1346"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Terms of Office</w:t>
      </w:r>
      <w:r>
        <w:rPr>
          <w:rFonts w:ascii="Arial" w:cs="Arial" w:eastAsia="Arial" w:hAnsi="Arial"/>
          <w:sz w:val="18"/>
          <w:szCs w:val="18"/>
          <w:color w:val="auto"/>
        </w:rPr>
        <w:t xml:space="preserve">. Subject to the special rights of holders of any series of Preferred Stock to elect directors, each director shall serve for a term ending on the date of the third annual meeting of stockholders following the annual meeting of stockholders at which such director was elected; </w:t>
      </w:r>
      <w:r>
        <w:rPr>
          <w:rFonts w:ascii="Arial" w:cs="Arial" w:eastAsia="Arial" w:hAnsi="Arial"/>
          <w:sz w:val="18"/>
          <w:szCs w:val="18"/>
          <w:u w:val="single" w:color="auto"/>
          <w:color w:val="auto"/>
        </w:rPr>
        <w:t>provided</w:t>
      </w:r>
    </w:p>
    <w:p>
      <w:pPr>
        <w:sectPr>
          <w:pgSz w:w="11900" w:h="16838" w:orient="portrait"/>
          <w:cols w:equalWidth="0" w:num="1">
            <w:col w:w="10980"/>
          </w:cols>
          <w:pgMar w:left="440" w:top="274" w:right="479" w:bottom="1440" w:gutter="0" w:footer="0" w:header="0"/>
        </w:sectPr>
      </w:pPr>
    </w:p>
    <w:bookmarkStart w:id="375" w:name="page376"/>
    <w:bookmarkEnd w:id="37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each director initially assigned to Class I shall serve for a term expiring at the Corporation’s first annual meeting of stockholders held after the effectiveness of this Certificate of Incorporation; each director initially assigned to Class II shall serve for a term expiring at the Corporation’s second annual meeting of stockholders held after the effectiveness of this Certificate of Incorporation; and each director initially assigned to Class III shall serve for a term expiring at the Corporation’s third annual meeting of stockholders held after the effectiveness of this Certificate of Incorporation;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each director shall continue to serve as a director until his or her successor is duly elected and qualified, subject to his or her earlier death, disqualification, resignation or removal.</w:t>
      </w:r>
    </w:p>
    <w:p>
      <w:pPr>
        <w:spacing w:after="0" w:line="192" w:lineRule="exact"/>
        <w:rPr>
          <w:sz w:val="20"/>
          <w:szCs w:val="20"/>
          <w:color w:val="auto"/>
        </w:rPr>
      </w:pPr>
    </w:p>
    <w:p>
      <w:pPr>
        <w:ind w:right="20" w:firstLine="987"/>
        <w:spacing w:after="0" w:line="273" w:lineRule="auto"/>
        <w:tabs>
          <w:tab w:leader="none" w:pos="1326"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Newly Created Directorships and Vacancies</w:t>
      </w:r>
      <w:r>
        <w:rPr>
          <w:rFonts w:ascii="Arial" w:cs="Arial" w:eastAsia="Arial" w:hAnsi="Arial"/>
          <w:sz w:val="17"/>
          <w:szCs w:val="17"/>
          <w:color w:val="auto"/>
        </w:rPr>
        <w:t>. Subject to the special rights of holders of any series of Preferred Stock, any newly created directorship that results from an increase in the number of directors or any vacancy on the Board that results from the death, disability, resignation, disqualification or removal of any director or from any other cause shall be filled solely by the affirmative vote of a majority of the directors then in office, even if less than a quorum, or by a sole remaining director, and shall not be filled by the stockholders. Any director elected to fill a vacancy or newly created directorship shall hold office until the next election of the class to which such director shall have been appointed, and until his or her successor is duly elected and qualified, subject to his or her earlier death, disqualification, resignation or removal.</w:t>
      </w:r>
    </w:p>
    <w:p>
      <w:pPr>
        <w:spacing w:after="0" w:line="177" w:lineRule="exact"/>
        <w:rPr>
          <w:rFonts w:ascii="Arial" w:cs="Arial" w:eastAsia="Arial" w:hAnsi="Arial"/>
          <w:sz w:val="17"/>
          <w:szCs w:val="17"/>
          <w:color w:val="auto"/>
        </w:rPr>
      </w:pPr>
    </w:p>
    <w:p>
      <w:pPr>
        <w:ind w:firstLine="987"/>
        <w:spacing w:after="0" w:line="269" w:lineRule="auto"/>
        <w:tabs>
          <w:tab w:leader="none" w:pos="1302"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Preferred Directors</w:t>
      </w:r>
      <w:r>
        <w:rPr>
          <w:rFonts w:ascii="Arial" w:cs="Arial" w:eastAsia="Arial" w:hAnsi="Arial"/>
          <w:sz w:val="17"/>
          <w:szCs w:val="17"/>
          <w:color w:val="auto"/>
        </w:rPr>
        <w:t>. During any period when the holders of any series of Preferred Stock have the special right to elect additional directors, upon commencement and for the duration of such period during which such right continues: (i) the then otherwise total authorized number of directors of the Corporation shall automatically be increased by such specified number of additional directors, and the holders of such series of Preferred Stock shall be entitled to elect the additional directors so provided for or fixed pursuant to this Certificate of Incorporation; and (ii) each such additional director shall serve until such director’s successor shall have been duly elected and qualified, or until such director’s right to hold such office terminates pursuant to the Preferred Stock Designation establishing such series of Preferred Stock, whichever occurs earlier, subject to his or her earlier death, resignation, disqualification or removal. Except as otherwise provided by this Certificate of Incorporation, whenever the holders of any series of Preferred Stock having the special right to elect additional directors are divested of such right pursuant to this Certificate of Incorporation, the terms of office of all such additional directors elected by the holders of such series,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81" w:lineRule="exact"/>
        <w:rPr>
          <w:rFonts w:ascii="Arial" w:cs="Arial" w:eastAsia="Arial" w:hAnsi="Arial"/>
          <w:sz w:val="17"/>
          <w:szCs w:val="17"/>
          <w:color w:val="auto"/>
        </w:rPr>
      </w:pPr>
    </w:p>
    <w:p>
      <w:pPr>
        <w:jc w:val="both"/>
        <w:ind w:right="260" w:firstLine="987"/>
        <w:spacing w:after="0" w:line="263" w:lineRule="auto"/>
        <w:tabs>
          <w:tab w:leader="none" w:pos="1346"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Subject to any special rights of the holders of one or more series of Preferred Stock to elect directors, any director or the entire Board may be removed from office at any time, but only for cause and only by the affirmative vote of the holders of at least 66 2/3% in voting power of the outstanding stock of the Corporation entitled to vote thereon, voting as a single class.</w:t>
      </w:r>
    </w:p>
    <w:p>
      <w:pPr>
        <w:spacing w:after="0" w:line="179" w:lineRule="exact"/>
        <w:rPr>
          <w:rFonts w:ascii="Arial" w:cs="Arial" w:eastAsia="Arial" w:hAnsi="Arial"/>
          <w:sz w:val="18"/>
          <w:szCs w:val="18"/>
          <w:color w:val="auto"/>
        </w:rPr>
      </w:pPr>
    </w:p>
    <w:p>
      <w:pPr>
        <w:ind w:right="60" w:firstLine="987"/>
        <w:spacing w:after="0" w:line="282" w:lineRule="auto"/>
        <w:tabs>
          <w:tab w:leader="none" w:pos="1346"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Pursuant to the Amended and Restated Bylaws of the Corporation (the “</w:t>
      </w:r>
      <w:r>
        <w:rPr>
          <w:rFonts w:ascii="Arial" w:cs="Arial" w:eastAsia="Arial" w:hAnsi="Arial"/>
          <w:sz w:val="18"/>
          <w:szCs w:val="18"/>
          <w:b w:val="1"/>
          <w:bCs w:val="1"/>
          <w:color w:val="auto"/>
        </w:rPr>
        <w:t>Bylaws</w:t>
      </w:r>
      <w:r>
        <w:rPr>
          <w:rFonts w:ascii="Arial" w:cs="Arial" w:eastAsia="Arial" w:hAnsi="Arial"/>
          <w:sz w:val="18"/>
          <w:szCs w:val="18"/>
          <w:color w:val="auto"/>
        </w:rPr>
        <w:t>”), the Board may establish one or more committees to which may be delegated any or all of the powers and duties of the Board to the full extent permitted by law.</w:t>
      </w:r>
    </w:p>
    <w:p>
      <w:pPr>
        <w:spacing w:after="0" w:line="165" w:lineRule="exact"/>
        <w:rPr>
          <w:rFonts w:ascii="Arial" w:cs="Arial" w:eastAsia="Arial" w:hAnsi="Arial"/>
          <w:sz w:val="18"/>
          <w:szCs w:val="18"/>
          <w:color w:val="auto"/>
        </w:rPr>
      </w:pPr>
    </w:p>
    <w:p>
      <w:pPr>
        <w:ind w:right="80" w:firstLine="987"/>
        <w:spacing w:after="0" w:line="308" w:lineRule="auto"/>
        <w:tabs>
          <w:tab w:leader="none" w:pos="1276"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Stockholder Nominations and Introduction of Business</w:t>
      </w:r>
      <w:r>
        <w:rPr>
          <w:rFonts w:ascii="Arial" w:cs="Arial" w:eastAsia="Arial" w:hAnsi="Arial"/>
          <w:sz w:val="17"/>
          <w:szCs w:val="17"/>
          <w:color w:val="auto"/>
        </w:rPr>
        <w:t>. Advance notice of stockholder nominations for election of directors and other business to be brought by stockholders before a meeting of stockholders shall be given in the manner provided by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1731010</wp:posOffset>
            </wp:positionH>
            <wp:positionV relativeFrom="paragraph">
              <wp:posOffset>-2803525</wp:posOffset>
            </wp:positionV>
            <wp:extent cx="2857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2" w:lineRule="exact"/>
        <w:rPr>
          <w:sz w:val="20"/>
          <w:szCs w:val="20"/>
          <w:color w:val="auto"/>
        </w:rPr>
      </w:pPr>
    </w:p>
    <w:p>
      <w:pPr>
        <w:ind w:right="540" w:firstLine="991"/>
        <w:spacing w:after="0" w:line="282" w:lineRule="auto"/>
        <w:rPr>
          <w:sz w:val="20"/>
          <w:szCs w:val="20"/>
          <w:color w:val="auto"/>
        </w:rPr>
      </w:pPr>
      <w:r>
        <w:rPr>
          <w:rFonts w:ascii="Arial" w:cs="Arial" w:eastAsia="Arial" w:hAnsi="Arial"/>
          <w:sz w:val="18"/>
          <w:szCs w:val="18"/>
          <w:b w:val="1"/>
          <w:bCs w:val="1"/>
          <w:color w:val="auto"/>
        </w:rPr>
        <w:t>SIXTH</w:t>
      </w:r>
      <w:r>
        <w:rPr>
          <w:rFonts w:ascii="Arial" w:cs="Arial" w:eastAsia="Arial" w:hAnsi="Arial"/>
          <w:sz w:val="18"/>
          <w:szCs w:val="18"/>
          <w:color w:val="auto"/>
        </w:rPr>
        <w:t>: Unless and except to the extent that the Bylaws shall so require, the election of directors of the Corporation need not be by</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ballot.</w:t>
      </w:r>
    </w:p>
    <w:p>
      <w:pPr>
        <w:sectPr>
          <w:pgSz w:w="11900" w:h="16838" w:orient="portrait"/>
          <w:cols w:equalWidth="0" w:num="1">
            <w:col w:w="11000"/>
          </w:cols>
          <w:pgMar w:left="440" w:top="274" w:right="459" w:bottom="1440" w:gutter="0" w:footer="0" w:header="0"/>
        </w:sectPr>
      </w:pPr>
    </w:p>
    <w:bookmarkStart w:id="376" w:name="page377"/>
    <w:bookmarkEnd w:id="376"/>
    <w:p>
      <w:pPr>
        <w:ind w:firstLine="991"/>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SEVENTH</w:t>
      </w:r>
      <w:r>
        <w:rPr>
          <w:rFonts w:ascii="Arial" w:cs="Arial" w:eastAsia="Arial" w:hAnsi="Arial"/>
          <w:sz w:val="17"/>
          <w:szCs w:val="17"/>
          <w:color w:val="auto"/>
        </w:rPr>
        <w:t>: To the fullest extent permitted by the DGCL as it now exists and as it may hereafter be amended, no director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shall be personally liable to the Corporation or any of its stockholders for monetary damages for breach of fiduciary duty as a director. If the DGCL is hereafter amended to authorize corporate action further eliminating or limiting the personal liability of directors, then the liability of a director of the Corporation shall be eliminated or limited to the fullest extent permitted by the DGCL, as so amended. No amendment, modification or repeal of this Article SEVENTH shall apply to or have any adverse effect on any right or protection of, or any limitation of the liability of, a director of the Corporation with respect to actions or omissions occurring prior to the time of such amendment, modification or repeal.</w:t>
      </w:r>
    </w:p>
    <w:p>
      <w:pPr>
        <w:spacing w:after="0" w:line="173" w:lineRule="exact"/>
        <w:rPr>
          <w:sz w:val="20"/>
          <w:szCs w:val="20"/>
          <w:color w:val="auto"/>
        </w:rPr>
      </w:pPr>
    </w:p>
    <w:p>
      <w:pPr>
        <w:ind w:right="280" w:firstLine="991"/>
        <w:spacing w:after="0" w:line="266" w:lineRule="auto"/>
        <w:rPr>
          <w:sz w:val="20"/>
          <w:szCs w:val="20"/>
          <w:color w:val="auto"/>
        </w:rPr>
      </w:pPr>
      <w:r>
        <w:rPr>
          <w:rFonts w:ascii="Arial" w:cs="Arial" w:eastAsia="Arial" w:hAnsi="Arial"/>
          <w:sz w:val="18"/>
          <w:szCs w:val="18"/>
          <w:b w:val="1"/>
          <w:bCs w:val="1"/>
          <w:color w:val="auto"/>
        </w:rPr>
        <w:t>EIGHTH</w:t>
      </w:r>
      <w:r>
        <w:rPr>
          <w:rFonts w:ascii="Arial" w:cs="Arial" w:eastAsia="Arial" w:hAnsi="Arial"/>
          <w:sz w:val="18"/>
          <w:szCs w:val="18"/>
          <w:color w:val="auto"/>
        </w:rPr>
        <w:t>: Subject to the terms of any series of Preferred Stock, any action required or permitted to be taken by the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must be effected at an annual or special meeting of the stockholders called in accordance with the Bylaws and may not be effected by written consent in lieu of a meeting.</w:t>
      </w:r>
    </w:p>
    <w:p>
      <w:pPr>
        <w:spacing w:after="0" w:line="176" w:lineRule="exact"/>
        <w:rPr>
          <w:sz w:val="20"/>
          <w:szCs w:val="20"/>
          <w:color w:val="auto"/>
        </w:rPr>
      </w:pPr>
    </w:p>
    <w:p>
      <w:pPr>
        <w:ind w:right="60" w:firstLine="991"/>
        <w:spacing w:after="0" w:line="261" w:lineRule="auto"/>
        <w:rPr>
          <w:sz w:val="20"/>
          <w:szCs w:val="20"/>
          <w:color w:val="auto"/>
        </w:rPr>
      </w:pPr>
      <w:r>
        <w:rPr>
          <w:rFonts w:ascii="Arial" w:cs="Arial" w:eastAsia="Arial" w:hAnsi="Arial"/>
          <w:sz w:val="18"/>
          <w:szCs w:val="18"/>
          <w:b w:val="1"/>
          <w:bCs w:val="1"/>
          <w:color w:val="auto"/>
        </w:rPr>
        <w:t>NINTH</w:t>
      </w:r>
      <w:r>
        <w:rPr>
          <w:rFonts w:ascii="Arial" w:cs="Arial" w:eastAsia="Arial" w:hAnsi="Arial"/>
          <w:sz w:val="18"/>
          <w:szCs w:val="18"/>
          <w:color w:val="auto"/>
        </w:rPr>
        <w:t>: Except as otherwise required by law and subject to the terms of any series of Preferred Stock, special meetings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purpose or purposes may be called at any time by the majority of the Whole Board, the Chairman of the Board or the Chief Executive Officer of the Corporation, and may not be called by stockholders or any other person or persons. Business transacted at any special meeting of stockholders shall be limited to matters relating to the purpose or purposes stated in the notice for such meeting.</w:t>
      </w:r>
    </w:p>
    <w:p>
      <w:pPr>
        <w:spacing w:after="0" w:line="180"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b w:val="1"/>
          <w:bCs w:val="1"/>
          <w:color w:val="auto"/>
        </w:rPr>
        <w:t>TENTH</w:t>
      </w:r>
      <w:r>
        <w:rPr>
          <w:rFonts w:ascii="Arial" w:cs="Arial" w:eastAsia="Arial" w:hAnsi="Arial"/>
          <w:sz w:val="17"/>
          <w:szCs w:val="17"/>
          <w:color w:val="auto"/>
        </w:rPr>
        <w:t>: If any provision or provisions of this Certificate of Incorporation shall be held to be invalid, illegal or unenforceable as applied</w:t>
      </w:r>
      <w:r>
        <w:rPr>
          <w:rFonts w:ascii="Arial" w:cs="Arial" w:eastAsia="Arial" w:hAnsi="Arial"/>
          <w:sz w:val="17"/>
          <w:szCs w:val="17"/>
          <w:b w:val="1"/>
          <w:bCs w:val="1"/>
          <w:color w:val="auto"/>
        </w:rPr>
        <w:t xml:space="preserve"> </w:t>
      </w:r>
      <w:r>
        <w:rPr>
          <w:rFonts w:ascii="Arial" w:cs="Arial" w:eastAsia="Arial" w:hAnsi="Arial"/>
          <w:sz w:val="17"/>
          <w:szCs w:val="17"/>
          <w:color w:val="auto"/>
        </w:rPr>
        <w:t>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76" w:lineRule="exact"/>
        <w:rPr>
          <w:sz w:val="20"/>
          <w:szCs w:val="20"/>
          <w:color w:val="auto"/>
        </w:rPr>
      </w:pPr>
    </w:p>
    <w:p>
      <w:pPr>
        <w:ind w:right="40" w:firstLine="991"/>
        <w:spacing w:after="0" w:line="286" w:lineRule="auto"/>
        <w:rPr>
          <w:sz w:val="20"/>
          <w:szCs w:val="20"/>
          <w:color w:val="auto"/>
        </w:rPr>
      </w:pPr>
      <w:r>
        <w:rPr>
          <w:rFonts w:ascii="Arial" w:cs="Arial" w:eastAsia="Arial" w:hAnsi="Arial"/>
          <w:sz w:val="16"/>
          <w:szCs w:val="16"/>
          <w:color w:val="auto"/>
        </w:rPr>
        <w:t>The Corporation reserves the right at any time from time to time to amend, alter, change or repeal any provision contained in this Certificate of Incorporation, and any other provisions authorized by the DGCL may be added or inserted, in the manner now or hereafter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 TENTH. Notwithstanding any other provision of this Certificate of Incorporation or any provision of law that might otherwise permit a lesser vote or no vote, but in addition to any affirmative vote of the holders of any series of Preferred Stock required by law or by this Certificate of Incorporation, the affirmative vote of the holders of at least 66 2/3% in voting power of the outstanding stock of the Corporation entitled to vote thereon, voting together as a single class, shall be required to amend, alter, change or repeal, or adopt any provision inconsistent with, any of Parts A. and B. of ARTICLE FOURTH, Article FIFTH, Article SEVENTH, Article EIGHTH, Article NINTH, Article ELEVENTH, Article TWELFTH, and this Article TENTH, and in each case, the definition of any capitalized terms used therein or any successor provision (including, without limitation, any such article or section as renumbered as a result of any amendment, alteration, change, repeal or adoption of any other provision of this Certificate of Incorporation). Any amendment, repeal or modification of any of Article SEVENTH, and this sentence shall not adversely affect any right or protection of any person existing thereunder with respect to any act or omission occurring prior to such repeal or modification.</w:t>
      </w:r>
    </w:p>
    <w:p>
      <w:pPr>
        <w:sectPr>
          <w:pgSz w:w="11900" w:h="16838" w:orient="portrait"/>
          <w:cols w:equalWidth="0" w:num="1">
            <w:col w:w="11000"/>
          </w:cols>
          <w:pgMar w:left="440" w:top="270" w:right="459" w:bottom="1440" w:gutter="0" w:footer="0" w:header="0"/>
        </w:sectPr>
      </w:pPr>
    </w:p>
    <w:bookmarkStart w:id="377" w:name="page378"/>
    <w:bookmarkEnd w:id="377"/>
    <w:p>
      <w:pPr>
        <w:ind w:firstLine="991"/>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ELEVENTH</w:t>
      </w:r>
      <w:r>
        <w:rPr>
          <w:rFonts w:ascii="Arial" w:cs="Arial" w:eastAsia="Arial" w:hAnsi="Arial"/>
          <w:sz w:val="18"/>
          <w:szCs w:val="18"/>
          <w:color w:val="auto"/>
        </w:rPr>
        <w:t>: In furtherance and not in limitation of the powers conferred upon it by law, the Board is expressly authorized and</w:t>
      </w:r>
      <w:r>
        <w:rPr>
          <w:rFonts w:ascii="Arial" w:cs="Arial" w:eastAsia="Arial" w:hAnsi="Arial"/>
          <w:sz w:val="18"/>
          <w:szCs w:val="18"/>
          <w:b w:val="1"/>
          <w:bCs w:val="1"/>
          <w:color w:val="auto"/>
        </w:rPr>
        <w:t xml:space="preserve"> </w:t>
      </w:r>
      <w:r>
        <w:rPr>
          <w:rFonts w:ascii="Arial" w:cs="Arial" w:eastAsia="Arial" w:hAnsi="Arial"/>
          <w:sz w:val="18"/>
          <w:szCs w:val="18"/>
          <w:color w:val="auto"/>
        </w:rPr>
        <w:t>empowered to adopt, amend and repeal the Bylaws by the affirmative vote of a majority of the Whole Board. The stockholders shall also have power to adopt, amend or repeal the Bylaws; provided, however, that,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or the Bylaws, the affirmative vote of the holders of at least 66 2/3% in voting power of the outstanding shares of the stock of the Corporation entitled to vote thereon, voting together as a single class, shall be required for the stockholders to adopt, amend or repeal any provision of the Bylaws.</w:t>
      </w:r>
    </w:p>
    <w:p>
      <w:pPr>
        <w:spacing w:after="0" w:line="29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TWELFTH</w:t>
      </w:r>
      <w:r>
        <w:rPr>
          <w:rFonts w:ascii="Arial" w:cs="Arial" w:eastAsia="Arial" w:hAnsi="Arial"/>
          <w:sz w:val="18"/>
          <w:szCs w:val="18"/>
          <w:color w:val="auto"/>
        </w:rPr>
        <w:t>:</w:t>
      </w:r>
    </w:p>
    <w:p>
      <w:pPr>
        <w:spacing w:after="0" w:line="121" w:lineRule="exact"/>
        <w:rPr>
          <w:sz w:val="20"/>
          <w:szCs w:val="20"/>
          <w:color w:val="auto"/>
        </w:rPr>
      </w:pPr>
    </w:p>
    <w:p>
      <w:pPr>
        <w:ind w:left="1340" w:hanging="353"/>
        <w:spacing w:after="0"/>
        <w:tabs>
          <w:tab w:leader="none" w:pos="134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Forum Selection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428"/>
        <w:spacing w:after="0" w:line="254" w:lineRule="auto"/>
        <w:tabs>
          <w:tab w:leader="none" w:pos="181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Court of Chancery of the State of Delaware (or, if the Court of Chancery does not have jurisdiction, the state or federal courts in the State of Delaware) shall, to the fullest extent permitted by law, be the sole and exclusive forum for (1) any derivative action or proceeding brought on behalf of the Corporation, (2) any action asserting a claim of breach of a fiduciary duty owed by any current or former director, officer, stockholder or other employee of the Corporation to the Corporation or the Corporation’s stockholders, (3) any action arising pursuant to any provision of the DGCL or this Certificate of Incorporation or the Bylaws (as the foregoing may be amended, modified, supplemented and/or restated from time to time), or (4) any action asserting a claim governed by the internal affairs doctrine.</w:t>
      </w:r>
    </w:p>
    <w:p>
      <w:pPr>
        <w:spacing w:after="0" w:line="194" w:lineRule="exact"/>
        <w:rPr>
          <w:rFonts w:ascii="Arial" w:cs="Arial" w:eastAsia="Arial" w:hAnsi="Arial"/>
          <w:sz w:val="18"/>
          <w:szCs w:val="18"/>
          <w:color w:val="auto"/>
        </w:rPr>
      </w:pPr>
    </w:p>
    <w:p>
      <w:pPr>
        <w:ind w:right="160" w:firstLine="1428"/>
        <w:spacing w:after="0" w:line="263" w:lineRule="auto"/>
        <w:tabs>
          <w:tab w:leader="none" w:pos="182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w:t>
      </w:r>
    </w:p>
    <w:p>
      <w:pPr>
        <w:spacing w:after="0" w:line="183" w:lineRule="exact"/>
        <w:rPr>
          <w:rFonts w:ascii="Arial" w:cs="Arial" w:eastAsia="Arial" w:hAnsi="Arial"/>
          <w:sz w:val="18"/>
          <w:szCs w:val="18"/>
          <w:color w:val="auto"/>
        </w:rPr>
      </w:pPr>
    </w:p>
    <w:p>
      <w:pPr>
        <w:ind w:firstLine="987"/>
        <w:spacing w:after="0" w:line="296" w:lineRule="auto"/>
        <w:tabs>
          <w:tab w:leader="none" w:pos="1336"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Personal Jurisdiction</w:t>
      </w:r>
      <w:r>
        <w:rPr>
          <w:rFonts w:ascii="Arial" w:cs="Arial" w:eastAsia="Arial" w:hAnsi="Arial"/>
          <w:sz w:val="16"/>
          <w:szCs w:val="16"/>
          <w:color w:val="auto"/>
        </w:rPr>
        <w:t>. If any action the subject matter of which is within the scope of Section A immediately above is filed in a court other than a court located within the State of Delaware (a “</w:t>
      </w:r>
      <w:r>
        <w:rPr>
          <w:rFonts w:ascii="Arial" w:cs="Arial" w:eastAsia="Arial" w:hAnsi="Arial"/>
          <w:sz w:val="16"/>
          <w:szCs w:val="16"/>
          <w:b w:val="1"/>
          <w:bCs w:val="1"/>
          <w:color w:val="auto"/>
        </w:rPr>
        <w:t>Foreign Action</w:t>
      </w:r>
      <w:r>
        <w:rPr>
          <w:rFonts w:ascii="Arial" w:cs="Arial" w:eastAsia="Arial" w:hAnsi="Arial"/>
          <w:sz w:val="16"/>
          <w:szCs w:val="16"/>
          <w:color w:val="auto"/>
        </w:rPr>
        <w:t>”) in the name of any stockholder, such stockholder shall be deemed to have consented to (i) the personal jurisdiction of the applicable state and federal courts located within the State of Delaware in connection with any action brought in any such court to enforce Section A immediately above (an “</w:t>
      </w:r>
      <w:r>
        <w:rPr>
          <w:rFonts w:ascii="Arial" w:cs="Arial" w:eastAsia="Arial" w:hAnsi="Arial"/>
          <w:sz w:val="16"/>
          <w:szCs w:val="16"/>
          <w:b w:val="1"/>
          <w:bCs w:val="1"/>
          <w:color w:val="auto"/>
        </w:rPr>
        <w:t>FSC Enforcement Action</w:t>
      </w:r>
      <w:r>
        <w:rPr>
          <w:rFonts w:ascii="Arial" w:cs="Arial" w:eastAsia="Arial" w:hAnsi="Arial"/>
          <w:sz w:val="16"/>
          <w:szCs w:val="16"/>
          <w:color w:val="auto"/>
        </w:rPr>
        <w:t>”) and (ii) having service of process made upon such stockholder in any such FSC Enforcement Action by service upon such stockholder’s counsel in the Foreign Action as agent for such stockholder.</w:t>
      </w:r>
    </w:p>
    <w:p>
      <w:pPr>
        <w:spacing w:after="0" w:line="1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Any person or entity purchasing or otherwise acquiring or holding any interest in shares of capital stock of the Corporation shall be deemed to have notice of and consented to the provisions of this Article TWELFTH.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0920"/>
          </w:cols>
          <w:pgMar w:left="440" w:top="270" w:right="539" w:bottom="1440" w:gutter="0" w:footer="0" w:header="0"/>
        </w:sectPr>
      </w:pPr>
    </w:p>
    <w:bookmarkStart w:id="378" w:name="page379"/>
    <w:bookmarkEnd w:id="378"/>
    <w:p>
      <w:pPr>
        <w:ind w:firstLine="452"/>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executed this Amended and Restated Certificate of Incorporation as of this day of , 2021.</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5715</wp:posOffset>
            </wp:positionV>
            <wp:extent cx="2425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Massaro</w:t>
      </w:r>
    </w:p>
    <w:p>
      <w:pPr>
        <w:spacing w:after="0" w:line="23" w:lineRule="exact"/>
        <w:rPr>
          <w:sz w:val="20"/>
          <w:szCs w:val="20"/>
          <w:color w:val="auto"/>
        </w:rPr>
      </w:pPr>
    </w:p>
    <w:p>
      <w:pPr>
        <w:ind w:left="6080"/>
        <w:spacing w:after="0"/>
        <w:tabs>
          <w:tab w:leader="none" w:pos="66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020"/>
          </w:cols>
          <w:pgMar w:left="980" w:top="274" w:right="899" w:bottom="1440" w:gutter="0" w:footer="0" w:header="0"/>
        </w:sectPr>
      </w:pPr>
    </w:p>
    <w:bookmarkStart w:id="379" w:name="page380"/>
    <w:bookmarkEnd w:id="379"/>
    <w:p>
      <w:pPr>
        <w:jc w:val="right"/>
        <w:spacing w:after="0"/>
        <w:rPr>
          <w:sz w:val="20"/>
          <w:szCs w:val="20"/>
          <w:color w:val="auto"/>
        </w:rPr>
      </w:pPr>
      <w:r>
        <w:rPr>
          <w:rFonts w:ascii="Arial" w:cs="Arial" w:eastAsia="Arial" w:hAnsi="Arial"/>
          <w:sz w:val="18"/>
          <w:szCs w:val="18"/>
          <w:b w:val="1"/>
          <w:bCs w:val="1"/>
          <w:color w:val="auto"/>
        </w:rPr>
        <w:t>Exhibit 3.3</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AMENDED AND RESTATED BY-LAWS</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of</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PEERTRANSFER CORPORATION</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Delaware Corporation</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Adopted: </w:t>
      </w:r>
      <w:r>
        <w:rPr>
          <w:rFonts w:ascii="Arial" w:cs="Arial" w:eastAsia="Arial" w:hAnsi="Arial"/>
          <w:sz w:val="18"/>
          <w:szCs w:val="18"/>
          <w:b w:val="1"/>
          <w:bCs w:val="1"/>
          <w:color w:val="auto"/>
        </w:rPr>
        <w:t>June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754380</wp:posOffset>
            </wp:positionV>
            <wp:extent cx="27946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lker rVlarcaide, Secretary</w:t>
      </w:r>
    </w:p>
    <w:p>
      <w:pPr>
        <w:sectPr>
          <w:pgSz w:w="11900" w:h="16838" w:orient="portrait"/>
          <w:cols w:equalWidth="0" w:num="1">
            <w:col w:w="10020"/>
          </w:cols>
          <w:pgMar w:left="1440" w:top="121" w:right="439" w:bottom="1440" w:gutter="0" w:footer="0" w:header="0"/>
        </w:sectPr>
      </w:pPr>
    </w:p>
    <w:bookmarkStart w:id="380" w:name="page381"/>
    <w:bookmarkEnd w:id="380"/>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BY-LAWS</w:t>
            </w:r>
          </w:p>
        </w:tc>
        <w:tc>
          <w:tcPr>
            <w:tcW w:w="2600" w:type="dxa"/>
            <w:vAlign w:val="bottom"/>
            <w:gridSpan w:val="3"/>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gridSpan w:val="8"/>
          </w:tcPr>
          <w:p>
            <w:pPr>
              <w:jc w:val="center"/>
              <w:ind w:right="2020"/>
              <w:spacing w:after="0"/>
              <w:rPr>
                <w:sz w:val="20"/>
                <w:szCs w:val="20"/>
                <w:color w:val="auto"/>
              </w:rPr>
            </w:pPr>
            <w:r>
              <w:rPr>
                <w:rFonts w:ascii="Arial" w:cs="Arial" w:eastAsia="Arial" w:hAnsi="Arial"/>
                <w:sz w:val="18"/>
                <w:szCs w:val="18"/>
                <w:color w:val="auto"/>
                <w:w w:val="95"/>
              </w:rPr>
              <w:t>TABLE OF CONTENTS</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0" w:type="dxa"/>
            <w:vAlign w:val="bottom"/>
            <w:gridSpan w:val="35"/>
          </w:tcPr>
          <w:p>
            <w:pPr>
              <w:spacing w:after="0"/>
              <w:rPr>
                <w:sz w:val="20"/>
                <w:szCs w:val="20"/>
                <w:color w:val="auto"/>
              </w:rPr>
            </w:pPr>
            <w:r>
              <w:rPr>
                <w:rFonts w:ascii="Arial" w:cs="Arial" w:eastAsia="Arial" w:hAnsi="Arial"/>
                <w:sz w:val="18"/>
                <w:szCs w:val="18"/>
                <w:b w:val="1"/>
                <w:bCs w:val="1"/>
                <w:color w:val="auto"/>
              </w:rPr>
              <w:t>ARTICLE I. STOCKHOLDERS</w:t>
            </w:r>
          </w:p>
        </w:tc>
        <w:tc>
          <w:tcPr>
            <w:tcW w:w="1820" w:type="dxa"/>
            <w:vAlign w:val="bottom"/>
            <w:tcBorders>
              <w:top w:val="single" w:sz="8" w:color="auto"/>
            </w:tcBorders>
            <w:gridSpan w:val="6"/>
          </w:tcPr>
          <w:p>
            <w:pPr>
              <w:spacing w:after="0"/>
              <w:rPr>
                <w:sz w:val="24"/>
                <w:szCs w:val="24"/>
                <w:color w:val="auto"/>
              </w:rPr>
            </w:pPr>
          </w:p>
        </w:tc>
        <w:tc>
          <w:tcPr>
            <w:tcW w:w="208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42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1.1. A</w:t>
            </w:r>
            <w:r>
              <w:rPr>
                <w:rFonts w:ascii="Arial" w:cs="Arial" w:eastAsia="Arial" w:hAnsi="Arial"/>
                <w:sz w:val="14"/>
                <w:szCs w:val="14"/>
                <w:color w:val="auto"/>
              </w:rPr>
              <w:t>NNUAL</w:t>
            </w:r>
            <w:r>
              <w:rPr>
                <w:rFonts w:ascii="Arial" w:cs="Arial" w:eastAsia="Arial" w:hAnsi="Arial"/>
                <w:sz w:val="18"/>
                <w:szCs w:val="18"/>
                <w:color w:val="auto"/>
              </w:rPr>
              <w:t xml:space="preserve"> M</w:t>
            </w:r>
            <w:r>
              <w:rPr>
                <w:rFonts w:ascii="Arial" w:cs="Arial" w:eastAsia="Arial" w:hAnsi="Arial"/>
                <w:sz w:val="14"/>
                <w:szCs w:val="14"/>
                <w:color w:val="auto"/>
              </w:rPr>
              <w:t>EETING</w:t>
            </w:r>
          </w:p>
        </w:tc>
        <w:tc>
          <w:tcPr>
            <w:tcW w:w="5720" w:type="dxa"/>
            <w:vAlign w:val="bottom"/>
            <w:gridSpan w:val="27"/>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6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ECTION</w:t>
            </w:r>
            <w:r>
              <w:rPr>
                <w:rFonts w:ascii="Arial" w:cs="Arial" w:eastAsia="Arial" w:hAnsi="Arial"/>
                <w:sz w:val="18"/>
                <w:szCs w:val="18"/>
                <w:color w:val="auto"/>
                <w:w w:val="98"/>
              </w:rPr>
              <w:t xml:space="preserve"> 1.2. S</w:t>
            </w:r>
            <w:r>
              <w:rPr>
                <w:rFonts w:ascii="Arial" w:cs="Arial" w:eastAsia="Arial" w:hAnsi="Arial"/>
                <w:sz w:val="14"/>
                <w:szCs w:val="14"/>
                <w:color w:val="auto"/>
                <w:w w:val="98"/>
              </w:rPr>
              <w:t>PECIAL</w:t>
            </w:r>
            <w:r>
              <w:rPr>
                <w:rFonts w:ascii="Arial" w:cs="Arial" w:eastAsia="Arial" w:hAnsi="Arial"/>
                <w:sz w:val="18"/>
                <w:szCs w:val="18"/>
                <w:color w:val="auto"/>
                <w:w w:val="98"/>
              </w:rPr>
              <w:t xml:space="preserve"> M</w:t>
            </w:r>
            <w:r>
              <w:rPr>
                <w:rFonts w:ascii="Arial" w:cs="Arial" w:eastAsia="Arial" w:hAnsi="Arial"/>
                <w:sz w:val="14"/>
                <w:szCs w:val="14"/>
                <w:color w:val="auto"/>
                <w:w w:val="98"/>
              </w:rPr>
              <w:t>EETINGS</w:t>
            </w:r>
          </w:p>
        </w:tc>
        <w:tc>
          <w:tcPr>
            <w:tcW w:w="5680" w:type="dxa"/>
            <w:vAlign w:val="bottom"/>
            <w:gridSpan w:val="26"/>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56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ECTION</w:t>
            </w:r>
            <w:r>
              <w:rPr>
                <w:rFonts w:ascii="Arial" w:cs="Arial" w:eastAsia="Arial" w:hAnsi="Arial"/>
                <w:sz w:val="18"/>
                <w:szCs w:val="18"/>
                <w:color w:val="auto"/>
                <w:w w:val="99"/>
              </w:rPr>
              <w:t xml:space="preserve"> 1.3. N</w:t>
            </w:r>
            <w:r>
              <w:rPr>
                <w:rFonts w:ascii="Arial" w:cs="Arial" w:eastAsia="Arial" w:hAnsi="Arial"/>
                <w:sz w:val="14"/>
                <w:szCs w:val="14"/>
                <w:color w:val="auto"/>
                <w:w w:val="99"/>
              </w:rPr>
              <w:t>OTICE OF</w:t>
            </w:r>
            <w:r>
              <w:rPr>
                <w:rFonts w:ascii="Arial" w:cs="Arial" w:eastAsia="Arial" w:hAnsi="Arial"/>
                <w:sz w:val="18"/>
                <w:szCs w:val="18"/>
                <w:color w:val="auto"/>
                <w:w w:val="99"/>
              </w:rPr>
              <w:t xml:space="preserve"> M</w:t>
            </w:r>
            <w:r>
              <w:rPr>
                <w:rFonts w:ascii="Arial" w:cs="Arial" w:eastAsia="Arial" w:hAnsi="Arial"/>
                <w:sz w:val="14"/>
                <w:szCs w:val="14"/>
                <w:color w:val="auto"/>
                <w:w w:val="99"/>
              </w:rPr>
              <w:t>EETING</w:t>
            </w:r>
          </w:p>
        </w:tc>
        <w:tc>
          <w:tcPr>
            <w:tcW w:w="5580" w:type="dxa"/>
            <w:vAlign w:val="bottom"/>
            <w:gridSpan w:val="25"/>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ECTION</w:t>
            </w:r>
            <w:r>
              <w:rPr>
                <w:rFonts w:ascii="Arial" w:cs="Arial" w:eastAsia="Arial" w:hAnsi="Arial"/>
                <w:sz w:val="18"/>
                <w:szCs w:val="18"/>
                <w:color w:val="auto"/>
                <w:w w:val="96"/>
              </w:rPr>
              <w:t xml:space="preserve"> 1.4. Q</w:t>
            </w:r>
            <w:r>
              <w:rPr>
                <w:rFonts w:ascii="Arial" w:cs="Arial" w:eastAsia="Arial" w:hAnsi="Arial"/>
                <w:sz w:val="14"/>
                <w:szCs w:val="14"/>
                <w:color w:val="auto"/>
                <w:w w:val="96"/>
              </w:rPr>
              <w:t>UORUM</w:t>
            </w:r>
          </w:p>
        </w:tc>
        <w:tc>
          <w:tcPr>
            <w:tcW w:w="6440" w:type="dxa"/>
            <w:vAlign w:val="bottom"/>
            <w:gridSpan w:val="38"/>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68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1.5. V</w:t>
            </w:r>
            <w:r>
              <w:rPr>
                <w:rFonts w:ascii="Arial" w:cs="Arial" w:eastAsia="Arial" w:hAnsi="Arial"/>
                <w:sz w:val="14"/>
                <w:szCs w:val="14"/>
                <w:color w:val="auto"/>
              </w:rPr>
              <w:t>OTING AND</w:t>
            </w:r>
            <w:r>
              <w:rPr>
                <w:rFonts w:ascii="Arial" w:cs="Arial" w:eastAsia="Arial" w:hAnsi="Arial"/>
                <w:sz w:val="18"/>
                <w:szCs w:val="18"/>
                <w:color w:val="auto"/>
              </w:rPr>
              <w:t xml:space="preserve"> P</w:t>
            </w:r>
            <w:r>
              <w:rPr>
                <w:rFonts w:ascii="Arial" w:cs="Arial" w:eastAsia="Arial" w:hAnsi="Arial"/>
                <w:sz w:val="14"/>
                <w:szCs w:val="14"/>
                <w:color w:val="auto"/>
              </w:rPr>
              <w:t>ROXIES</w:t>
            </w:r>
          </w:p>
        </w:tc>
        <w:tc>
          <w:tcPr>
            <w:tcW w:w="5460" w:type="dxa"/>
            <w:vAlign w:val="bottom"/>
            <w:gridSpan w:val="20"/>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140" w:type="dxa"/>
            <w:vAlign w:val="bottom"/>
            <w:gridSpan w:val="4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1.6. A</w:t>
            </w:r>
            <w:r>
              <w:rPr>
                <w:rFonts w:ascii="Arial" w:cs="Arial" w:eastAsia="Arial" w:hAnsi="Arial"/>
                <w:sz w:val="14"/>
                <w:szCs w:val="14"/>
                <w:color w:val="auto"/>
              </w:rPr>
              <w:t>CTION AT</w:t>
            </w:r>
            <w:r>
              <w:rPr>
                <w:rFonts w:ascii="Arial" w:cs="Arial" w:eastAsia="Arial" w:hAnsi="Arial"/>
                <w:sz w:val="18"/>
                <w:szCs w:val="18"/>
                <w:color w:val="auto"/>
              </w:rPr>
              <w:t xml:space="preserve"> M</w:t>
            </w:r>
            <w:r>
              <w:rPr>
                <w:rFonts w:ascii="Arial" w:cs="Arial" w:eastAsia="Arial" w:hAnsi="Arial"/>
                <w:sz w:val="14"/>
                <w:szCs w:val="14"/>
                <w:color w:val="auto"/>
              </w:rPr>
              <w:t>EETING</w:t>
            </w: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12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1.7. A</w:t>
            </w:r>
            <w:r>
              <w:rPr>
                <w:rFonts w:ascii="Arial" w:cs="Arial" w:eastAsia="Arial" w:hAnsi="Arial"/>
                <w:sz w:val="14"/>
                <w:szCs w:val="14"/>
                <w:color w:val="auto"/>
              </w:rPr>
              <w:t>CTION</w:t>
            </w:r>
            <w:r>
              <w:rPr>
                <w:rFonts w:ascii="Arial" w:cs="Arial" w:eastAsia="Arial" w:hAnsi="Arial"/>
                <w:sz w:val="18"/>
                <w:szCs w:val="18"/>
                <w:color w:val="auto"/>
              </w:rPr>
              <w:t xml:space="preserve"> W</w:t>
            </w:r>
            <w:r>
              <w:rPr>
                <w:rFonts w:ascii="Arial" w:cs="Arial" w:eastAsia="Arial" w:hAnsi="Arial"/>
                <w:sz w:val="14"/>
                <w:szCs w:val="14"/>
                <w:color w:val="auto"/>
              </w:rPr>
              <w:t>ITHOUT</w:t>
            </w:r>
            <w:r>
              <w:rPr>
                <w:rFonts w:ascii="Arial" w:cs="Arial" w:eastAsia="Arial" w:hAnsi="Arial"/>
                <w:sz w:val="18"/>
                <w:szCs w:val="18"/>
                <w:color w:val="auto"/>
              </w:rPr>
              <w:t xml:space="preserve"> M</w:t>
            </w:r>
            <w:r>
              <w:rPr>
                <w:rFonts w:ascii="Arial" w:cs="Arial" w:eastAsia="Arial" w:hAnsi="Arial"/>
                <w:sz w:val="14"/>
                <w:szCs w:val="14"/>
                <w:color w:val="auto"/>
              </w:rPr>
              <w:t>EETING</w:t>
            </w:r>
          </w:p>
        </w:tc>
        <w:tc>
          <w:tcPr>
            <w:tcW w:w="5020" w:type="dxa"/>
            <w:vAlign w:val="bottom"/>
            <w:gridSpan w:val="15"/>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180" w:type="dxa"/>
            <w:vAlign w:val="bottom"/>
            <w:tcBorders>
              <w:bottom w:val="single" w:sz="8" w:color="auto"/>
            </w:tcBorders>
            <w:gridSpan w:val="33"/>
          </w:tcPr>
          <w:p>
            <w:pPr>
              <w:spacing w:after="0" w:line="196" w:lineRule="exact"/>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ECTION</w:t>
            </w:r>
            <w:r>
              <w:rPr>
                <w:rFonts w:ascii="Arial" w:cs="Arial" w:eastAsia="Arial" w:hAnsi="Arial"/>
                <w:sz w:val="18"/>
                <w:szCs w:val="18"/>
                <w:color w:val="auto"/>
                <w:w w:val="99"/>
              </w:rPr>
              <w:t xml:space="preserve"> 1.8. V</w:t>
            </w:r>
            <w:r>
              <w:rPr>
                <w:rFonts w:ascii="Arial" w:cs="Arial" w:eastAsia="Arial" w:hAnsi="Arial"/>
                <w:sz w:val="14"/>
                <w:szCs w:val="14"/>
                <w:color w:val="auto"/>
                <w:w w:val="99"/>
              </w:rPr>
              <w:t>OTING OF</w:t>
            </w:r>
            <w:r>
              <w:rPr>
                <w:rFonts w:ascii="Arial" w:cs="Arial" w:eastAsia="Arial" w:hAnsi="Arial"/>
                <w:sz w:val="18"/>
                <w:szCs w:val="18"/>
                <w:color w:val="auto"/>
                <w:w w:val="99"/>
              </w:rPr>
              <w:t xml:space="preserve"> S</w:t>
            </w:r>
            <w:r>
              <w:rPr>
                <w:rFonts w:ascii="Arial" w:cs="Arial" w:eastAsia="Arial" w:hAnsi="Arial"/>
                <w:sz w:val="14"/>
                <w:szCs w:val="14"/>
                <w:color w:val="auto"/>
                <w:w w:val="99"/>
              </w:rPr>
              <w:t>HARES OF</w:t>
            </w:r>
            <w:r>
              <w:rPr>
                <w:rFonts w:ascii="Arial" w:cs="Arial" w:eastAsia="Arial" w:hAnsi="Arial"/>
                <w:sz w:val="18"/>
                <w:szCs w:val="18"/>
                <w:color w:val="auto"/>
                <w:w w:val="99"/>
              </w:rPr>
              <w:t xml:space="preserve"> C</w:t>
            </w:r>
            <w:r>
              <w:rPr>
                <w:rFonts w:ascii="Arial" w:cs="Arial" w:eastAsia="Arial" w:hAnsi="Arial"/>
                <w:sz w:val="14"/>
                <w:szCs w:val="14"/>
                <w:color w:val="auto"/>
                <w:w w:val="99"/>
              </w:rPr>
              <w:t>ERTAIN</w:t>
            </w:r>
            <w:r>
              <w:rPr>
                <w:rFonts w:ascii="Arial" w:cs="Arial" w:eastAsia="Arial" w:hAnsi="Arial"/>
                <w:sz w:val="18"/>
                <w:szCs w:val="18"/>
                <w:color w:val="auto"/>
                <w:w w:val="99"/>
              </w:rPr>
              <w:t xml:space="preserve"> H</w:t>
            </w:r>
            <w:r>
              <w:rPr>
                <w:rFonts w:ascii="Arial" w:cs="Arial" w:eastAsia="Arial" w:hAnsi="Arial"/>
                <w:sz w:val="14"/>
                <w:szCs w:val="14"/>
                <w:color w:val="auto"/>
                <w:w w:val="99"/>
              </w:rPr>
              <w:t>OLDERS</w:t>
            </w:r>
          </w:p>
        </w:tc>
        <w:tc>
          <w:tcPr>
            <w:tcW w:w="3960" w:type="dxa"/>
            <w:vAlign w:val="bottom"/>
            <w:gridSpan w:val="8"/>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140" w:type="dxa"/>
            <w:vAlign w:val="bottom"/>
            <w:gridSpan w:val="4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1.9. S</w:t>
            </w:r>
            <w:r>
              <w:rPr>
                <w:rFonts w:ascii="Arial" w:cs="Arial" w:eastAsia="Arial" w:hAnsi="Arial"/>
                <w:sz w:val="14"/>
                <w:szCs w:val="14"/>
                <w:color w:val="auto"/>
              </w:rPr>
              <w:t>TOCKHOLDER</w:t>
            </w:r>
            <w:r>
              <w:rPr>
                <w:rFonts w:ascii="Arial" w:cs="Arial" w:eastAsia="Arial" w:hAnsi="Arial"/>
                <w:sz w:val="18"/>
                <w:szCs w:val="18"/>
                <w:color w:val="auto"/>
              </w:rPr>
              <w:t xml:space="preserve"> L</w:t>
            </w:r>
            <w:r>
              <w:rPr>
                <w:rFonts w:ascii="Arial" w:cs="Arial" w:eastAsia="Arial" w:hAnsi="Arial"/>
                <w:sz w:val="14"/>
                <w:szCs w:val="14"/>
                <w:color w:val="auto"/>
              </w:rPr>
              <w:t>ISTS</w:t>
            </w: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500" w:type="dxa"/>
            <w:vAlign w:val="bottom"/>
            <w:gridSpan w:val="42"/>
          </w:tcPr>
          <w:p>
            <w:pPr>
              <w:spacing w:after="0"/>
              <w:rPr>
                <w:sz w:val="20"/>
                <w:szCs w:val="20"/>
                <w:color w:val="auto"/>
              </w:rPr>
            </w:pPr>
            <w:r>
              <w:rPr>
                <w:rFonts w:ascii="Arial" w:cs="Arial" w:eastAsia="Arial" w:hAnsi="Arial"/>
                <w:sz w:val="18"/>
                <w:szCs w:val="18"/>
                <w:b w:val="1"/>
                <w:bCs w:val="1"/>
                <w:color w:val="auto"/>
              </w:rPr>
              <w:t>ARTICLE II. BOARD OF DIRECTORS</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Borders>
              <w:top w:val="single" w:sz="8" w:color="auto"/>
            </w:tcBorders>
          </w:tcPr>
          <w:p>
            <w:pPr>
              <w:spacing w:after="0"/>
              <w:rPr>
                <w:sz w:val="24"/>
                <w:szCs w:val="24"/>
                <w:color w:val="auto"/>
              </w:rPr>
            </w:pPr>
          </w:p>
        </w:tc>
        <w:tc>
          <w:tcPr>
            <w:tcW w:w="16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2.1. P</w:t>
            </w:r>
            <w:r>
              <w:rPr>
                <w:rFonts w:ascii="Arial" w:cs="Arial" w:eastAsia="Arial" w:hAnsi="Arial"/>
                <w:sz w:val="14"/>
                <w:szCs w:val="14"/>
                <w:color w:val="auto"/>
                <w:w w:val="95"/>
              </w:rPr>
              <w:t>OWERS</w:t>
            </w:r>
          </w:p>
        </w:tc>
        <w:tc>
          <w:tcPr>
            <w:tcW w:w="1140" w:type="dxa"/>
            <w:vAlign w:val="bottom"/>
            <w:tcBorders>
              <w:top w:val="single" w:sz="8" w:color="auto"/>
            </w:tcBorders>
            <w:gridSpan w:val="21"/>
          </w:tcPr>
          <w:p>
            <w:pPr>
              <w:spacing w:after="0"/>
              <w:rPr>
                <w:sz w:val="24"/>
                <w:szCs w:val="24"/>
                <w:color w:val="auto"/>
              </w:rPr>
            </w:pPr>
          </w:p>
        </w:tc>
        <w:tc>
          <w:tcPr>
            <w:tcW w:w="5360" w:type="dxa"/>
            <w:vAlign w:val="bottom"/>
            <w:gridSpan w:val="18"/>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160" w:type="dxa"/>
            <w:vAlign w:val="bottom"/>
            <w:tcBorders>
              <w:bottom w:val="single" w:sz="8" w:color="auto"/>
            </w:tcBorders>
            <w:gridSpan w:val="32"/>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2.2. N</w:t>
            </w:r>
            <w:r>
              <w:rPr>
                <w:rFonts w:ascii="Arial" w:cs="Arial" w:eastAsia="Arial" w:hAnsi="Arial"/>
                <w:sz w:val="14"/>
                <w:szCs w:val="14"/>
                <w:color w:val="auto"/>
              </w:rPr>
              <w:t>UMBER OF</w:t>
            </w:r>
            <w:r>
              <w:rPr>
                <w:rFonts w:ascii="Arial" w:cs="Arial" w:eastAsia="Arial" w:hAnsi="Arial"/>
                <w:sz w:val="18"/>
                <w:szCs w:val="18"/>
                <w:color w:val="auto"/>
              </w:rPr>
              <w:t xml:space="preserve"> D</w:t>
            </w:r>
            <w:r>
              <w:rPr>
                <w:rFonts w:ascii="Arial" w:cs="Arial" w:eastAsia="Arial" w:hAnsi="Arial"/>
                <w:sz w:val="14"/>
                <w:szCs w:val="14"/>
                <w:color w:val="auto"/>
              </w:rPr>
              <w:t>IRECTORS</w:t>
            </w:r>
            <w:r>
              <w:rPr>
                <w:rFonts w:ascii="Arial" w:cs="Arial" w:eastAsia="Arial" w:hAnsi="Arial"/>
                <w:sz w:val="18"/>
                <w:szCs w:val="18"/>
                <w:color w:val="auto"/>
              </w:rPr>
              <w:t>; Q</w:t>
            </w:r>
            <w:r>
              <w:rPr>
                <w:rFonts w:ascii="Arial" w:cs="Arial" w:eastAsia="Arial" w:hAnsi="Arial"/>
                <w:sz w:val="14"/>
                <w:szCs w:val="14"/>
                <w:color w:val="auto"/>
              </w:rPr>
              <w:t>UALIFICATIONS</w:t>
            </w:r>
          </w:p>
        </w:tc>
        <w:tc>
          <w:tcPr>
            <w:tcW w:w="3980" w:type="dxa"/>
            <w:vAlign w:val="bottom"/>
            <w:gridSpan w:val="9"/>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12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ECTION</w:t>
            </w:r>
            <w:r>
              <w:rPr>
                <w:rFonts w:ascii="Arial" w:cs="Arial" w:eastAsia="Arial" w:hAnsi="Arial"/>
                <w:sz w:val="18"/>
                <w:szCs w:val="18"/>
                <w:color w:val="auto"/>
                <w:w w:val="99"/>
              </w:rPr>
              <w:t xml:space="preserve"> 2.3. N</w:t>
            </w:r>
            <w:r>
              <w:rPr>
                <w:rFonts w:ascii="Arial" w:cs="Arial" w:eastAsia="Arial" w:hAnsi="Arial"/>
                <w:sz w:val="14"/>
                <w:szCs w:val="14"/>
                <w:color w:val="auto"/>
                <w:w w:val="99"/>
              </w:rPr>
              <w:t>OMINATION OF</w:t>
            </w:r>
            <w:r>
              <w:rPr>
                <w:rFonts w:ascii="Arial" w:cs="Arial" w:eastAsia="Arial" w:hAnsi="Arial"/>
                <w:sz w:val="18"/>
                <w:szCs w:val="18"/>
                <w:color w:val="auto"/>
                <w:w w:val="99"/>
              </w:rPr>
              <w:t xml:space="preserve"> D</w:t>
            </w:r>
            <w:r>
              <w:rPr>
                <w:rFonts w:ascii="Arial" w:cs="Arial" w:eastAsia="Arial" w:hAnsi="Arial"/>
                <w:sz w:val="14"/>
                <w:szCs w:val="14"/>
                <w:color w:val="auto"/>
                <w:w w:val="99"/>
              </w:rPr>
              <w:t>IRECTORS</w:t>
            </w:r>
          </w:p>
        </w:tc>
        <w:tc>
          <w:tcPr>
            <w:tcW w:w="5020" w:type="dxa"/>
            <w:vAlign w:val="bottom"/>
            <w:gridSpan w:val="15"/>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900" w:type="dxa"/>
            <w:vAlign w:val="bottom"/>
            <w:tcBorders>
              <w:bottom w:val="single" w:sz="8" w:color="auto"/>
            </w:tcBorders>
            <w:gridSpan w:val="24"/>
          </w:tcPr>
          <w:p>
            <w:pPr>
              <w:spacing w:after="0" w:line="196" w:lineRule="exact"/>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ECTION</w:t>
            </w:r>
            <w:r>
              <w:rPr>
                <w:rFonts w:ascii="Arial" w:cs="Arial" w:eastAsia="Arial" w:hAnsi="Arial"/>
                <w:sz w:val="18"/>
                <w:szCs w:val="18"/>
                <w:color w:val="auto"/>
                <w:w w:val="98"/>
              </w:rPr>
              <w:t xml:space="preserve"> 2.4. E</w:t>
            </w:r>
            <w:r>
              <w:rPr>
                <w:rFonts w:ascii="Arial" w:cs="Arial" w:eastAsia="Arial" w:hAnsi="Arial"/>
                <w:sz w:val="14"/>
                <w:szCs w:val="14"/>
                <w:color w:val="auto"/>
                <w:w w:val="98"/>
              </w:rPr>
              <w:t>LECTION OF</w:t>
            </w:r>
            <w:r>
              <w:rPr>
                <w:rFonts w:ascii="Arial" w:cs="Arial" w:eastAsia="Arial" w:hAnsi="Arial"/>
                <w:sz w:val="18"/>
                <w:szCs w:val="18"/>
                <w:color w:val="auto"/>
                <w:w w:val="98"/>
              </w:rPr>
              <w:t xml:space="preserve"> D</w:t>
            </w:r>
            <w:r>
              <w:rPr>
                <w:rFonts w:ascii="Arial" w:cs="Arial" w:eastAsia="Arial" w:hAnsi="Arial"/>
                <w:sz w:val="14"/>
                <w:szCs w:val="14"/>
                <w:color w:val="auto"/>
                <w:w w:val="98"/>
              </w:rPr>
              <w:t>IRECTORS</w:t>
            </w:r>
          </w:p>
        </w:tc>
        <w:tc>
          <w:tcPr>
            <w:tcW w:w="5240" w:type="dxa"/>
            <w:vAlign w:val="bottom"/>
            <w:gridSpan w:val="17"/>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140" w:type="dxa"/>
            <w:vAlign w:val="bottom"/>
            <w:gridSpan w:val="4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2.5. V</w:t>
            </w:r>
            <w:r>
              <w:rPr>
                <w:rFonts w:ascii="Arial" w:cs="Arial" w:eastAsia="Arial" w:hAnsi="Arial"/>
                <w:sz w:val="14"/>
                <w:szCs w:val="14"/>
                <w:color w:val="auto"/>
              </w:rPr>
              <w:t>ACANCIES</w:t>
            </w:r>
            <w:r>
              <w:rPr>
                <w:rFonts w:ascii="Arial" w:cs="Arial" w:eastAsia="Arial" w:hAnsi="Arial"/>
                <w:sz w:val="18"/>
                <w:szCs w:val="18"/>
                <w:color w:val="auto"/>
              </w:rPr>
              <w:t>; R</w:t>
            </w:r>
            <w:r>
              <w:rPr>
                <w:rFonts w:ascii="Arial" w:cs="Arial" w:eastAsia="Arial" w:hAnsi="Arial"/>
                <w:sz w:val="14"/>
                <w:szCs w:val="14"/>
                <w:color w:val="auto"/>
              </w:rPr>
              <w:t>EDUCTION OF THE</w:t>
            </w:r>
            <w:r>
              <w:rPr>
                <w:rFonts w:ascii="Arial" w:cs="Arial" w:eastAsia="Arial" w:hAnsi="Arial"/>
                <w:sz w:val="18"/>
                <w:szCs w:val="18"/>
                <w:color w:val="auto"/>
              </w:rPr>
              <w:t xml:space="preserve"> B</w:t>
            </w:r>
            <w:r>
              <w:rPr>
                <w:rFonts w:ascii="Arial" w:cs="Arial" w:eastAsia="Arial" w:hAnsi="Arial"/>
                <w:sz w:val="14"/>
                <w:szCs w:val="14"/>
                <w:color w:val="auto"/>
              </w:rPr>
              <w:t>OARD</w:t>
            </w: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320" w:type="dxa"/>
            <w:vAlign w:val="bottom"/>
            <w:tcBorders>
              <w:top w:val="single" w:sz="8" w:color="auto"/>
              <w:bottom w:val="single" w:sz="8" w:color="auto"/>
            </w:tcBorders>
            <w:gridSpan w:val="30"/>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2.6. E</w:t>
            </w:r>
            <w:r>
              <w:rPr>
                <w:rFonts w:ascii="Arial" w:cs="Arial" w:eastAsia="Arial" w:hAnsi="Arial"/>
                <w:sz w:val="14"/>
                <w:szCs w:val="14"/>
                <w:color w:val="auto"/>
              </w:rPr>
              <w:t>NLARGEMENT OF THE</w:t>
            </w:r>
            <w:r>
              <w:rPr>
                <w:rFonts w:ascii="Arial" w:cs="Arial" w:eastAsia="Arial" w:hAnsi="Arial"/>
                <w:sz w:val="18"/>
                <w:szCs w:val="18"/>
                <w:color w:val="auto"/>
              </w:rPr>
              <w:t xml:space="preserve"> B</w:t>
            </w:r>
            <w:r>
              <w:rPr>
                <w:rFonts w:ascii="Arial" w:cs="Arial" w:eastAsia="Arial" w:hAnsi="Arial"/>
                <w:sz w:val="14"/>
                <w:szCs w:val="14"/>
                <w:color w:val="auto"/>
              </w:rPr>
              <w:t>OARD</w:t>
            </w:r>
          </w:p>
        </w:tc>
        <w:tc>
          <w:tcPr>
            <w:tcW w:w="700" w:type="dxa"/>
            <w:vAlign w:val="bottom"/>
            <w:tcBorders>
              <w:top w:val="single" w:sz="8" w:color="auto"/>
            </w:tcBorders>
          </w:tcPr>
          <w:p>
            <w:pPr>
              <w:spacing w:after="0"/>
              <w:rPr>
                <w:sz w:val="17"/>
                <w:szCs w:val="17"/>
                <w:color w:val="auto"/>
              </w:rPr>
            </w:pPr>
          </w:p>
        </w:tc>
        <w:tc>
          <w:tcPr>
            <w:tcW w:w="4120" w:type="dxa"/>
            <w:vAlign w:val="bottom"/>
            <w:gridSpan w:val="10"/>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140" w:type="dxa"/>
            <w:vAlign w:val="bottom"/>
            <w:gridSpan w:val="4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2.7. T</w:t>
            </w:r>
            <w:r>
              <w:rPr>
                <w:rFonts w:ascii="Arial" w:cs="Arial" w:eastAsia="Arial" w:hAnsi="Arial"/>
                <w:sz w:val="14"/>
                <w:szCs w:val="14"/>
                <w:color w:val="auto"/>
              </w:rPr>
              <w:t>ENURE AND</w:t>
            </w:r>
            <w:r>
              <w:rPr>
                <w:rFonts w:ascii="Arial" w:cs="Arial" w:eastAsia="Arial" w:hAnsi="Arial"/>
                <w:sz w:val="18"/>
                <w:szCs w:val="18"/>
                <w:color w:val="auto"/>
              </w:rPr>
              <w:t xml:space="preserve"> R</w:t>
            </w:r>
            <w:r>
              <w:rPr>
                <w:rFonts w:ascii="Arial" w:cs="Arial" w:eastAsia="Arial" w:hAnsi="Arial"/>
                <w:sz w:val="14"/>
                <w:szCs w:val="14"/>
                <w:color w:val="auto"/>
              </w:rPr>
              <w:t>ESIGNATION</w:t>
            </w: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040" w:type="dxa"/>
            <w:vAlign w:val="bottom"/>
            <w:tcBorders>
              <w:top w:val="single" w:sz="8" w:color="auto"/>
            </w:tcBorders>
            <w:gridSpan w:val="25"/>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2.8. R</w:t>
            </w:r>
            <w:r>
              <w:rPr>
                <w:rFonts w:ascii="Arial" w:cs="Arial" w:eastAsia="Arial" w:hAnsi="Arial"/>
                <w:sz w:val="14"/>
                <w:szCs w:val="14"/>
                <w:color w:val="auto"/>
              </w:rPr>
              <w:t>EMOVAL</w:t>
            </w:r>
          </w:p>
        </w:tc>
        <w:tc>
          <w:tcPr>
            <w:tcW w:w="5100" w:type="dxa"/>
            <w:vAlign w:val="bottom"/>
            <w:gridSpan w:val="16"/>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80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ECTION</w:t>
            </w:r>
            <w:r>
              <w:rPr>
                <w:rFonts w:ascii="Arial" w:cs="Arial" w:eastAsia="Arial" w:hAnsi="Arial"/>
                <w:sz w:val="18"/>
                <w:szCs w:val="18"/>
                <w:color w:val="auto"/>
                <w:w w:val="98"/>
              </w:rPr>
              <w:t xml:space="preserve"> 2.9. M</w:t>
            </w:r>
            <w:r>
              <w:rPr>
                <w:rFonts w:ascii="Arial" w:cs="Arial" w:eastAsia="Arial" w:hAnsi="Arial"/>
                <w:sz w:val="14"/>
                <w:szCs w:val="14"/>
                <w:color w:val="auto"/>
                <w:w w:val="98"/>
              </w:rPr>
              <w:t>EETINGS</w:t>
            </w:r>
          </w:p>
        </w:tc>
        <w:tc>
          <w:tcPr>
            <w:tcW w:w="6340" w:type="dxa"/>
            <w:vAlign w:val="bottom"/>
            <w:gridSpan w:val="36"/>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140" w:type="dxa"/>
            <w:vAlign w:val="bottom"/>
            <w:gridSpan w:val="4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2.10. N</w:t>
            </w:r>
            <w:r>
              <w:rPr>
                <w:rFonts w:ascii="Arial" w:cs="Arial" w:eastAsia="Arial" w:hAnsi="Arial"/>
                <w:sz w:val="14"/>
                <w:szCs w:val="14"/>
                <w:color w:val="auto"/>
              </w:rPr>
              <w:t>OTICE OF</w:t>
            </w:r>
            <w:r>
              <w:rPr>
                <w:rFonts w:ascii="Arial" w:cs="Arial" w:eastAsia="Arial" w:hAnsi="Arial"/>
                <w:sz w:val="18"/>
                <w:szCs w:val="18"/>
                <w:color w:val="auto"/>
              </w:rPr>
              <w:t xml:space="preserve"> M</w:t>
            </w:r>
            <w:r>
              <w:rPr>
                <w:rFonts w:ascii="Arial" w:cs="Arial" w:eastAsia="Arial" w:hAnsi="Arial"/>
                <w:sz w:val="14"/>
                <w:szCs w:val="14"/>
                <w:color w:val="auto"/>
              </w:rPr>
              <w:t>EETING</w:t>
            </w: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640" w:type="dxa"/>
            <w:vAlign w:val="bottom"/>
            <w:tcBorders>
              <w:top w:val="single" w:sz="8" w:color="auto"/>
            </w:tcBorders>
            <w:gridSpan w:val="19"/>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2.11. A</w:t>
            </w:r>
            <w:r>
              <w:rPr>
                <w:rFonts w:ascii="Arial" w:cs="Arial" w:eastAsia="Arial" w:hAnsi="Arial"/>
                <w:sz w:val="14"/>
                <w:szCs w:val="14"/>
                <w:color w:val="auto"/>
              </w:rPr>
              <w:t>GENDA</w:t>
            </w:r>
          </w:p>
        </w:tc>
        <w:tc>
          <w:tcPr>
            <w:tcW w:w="5500" w:type="dxa"/>
            <w:vAlign w:val="bottom"/>
            <w:gridSpan w:val="22"/>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140" w:type="dxa"/>
            <w:vAlign w:val="bottom"/>
            <w:gridSpan w:val="4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2.12. Q</w:t>
            </w:r>
            <w:r>
              <w:rPr>
                <w:rFonts w:ascii="Arial" w:cs="Arial" w:eastAsia="Arial" w:hAnsi="Arial"/>
                <w:sz w:val="14"/>
                <w:szCs w:val="14"/>
                <w:color w:val="auto"/>
              </w:rPr>
              <w:t>UORUM</w:t>
            </w: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66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ECTION</w:t>
            </w:r>
            <w:r>
              <w:rPr>
                <w:rFonts w:ascii="Arial" w:cs="Arial" w:eastAsia="Arial" w:hAnsi="Arial"/>
                <w:sz w:val="18"/>
                <w:szCs w:val="18"/>
                <w:color w:val="auto"/>
                <w:w w:val="99"/>
              </w:rPr>
              <w:t xml:space="preserve"> 2.13. A</w:t>
            </w:r>
            <w:r>
              <w:rPr>
                <w:rFonts w:ascii="Arial" w:cs="Arial" w:eastAsia="Arial" w:hAnsi="Arial"/>
                <w:sz w:val="14"/>
                <w:szCs w:val="14"/>
                <w:color w:val="auto"/>
                <w:w w:val="99"/>
              </w:rPr>
              <w:t>CTION AT</w:t>
            </w:r>
            <w:r>
              <w:rPr>
                <w:rFonts w:ascii="Arial" w:cs="Arial" w:eastAsia="Arial" w:hAnsi="Arial"/>
                <w:sz w:val="18"/>
                <w:szCs w:val="18"/>
                <w:color w:val="auto"/>
                <w:w w:val="99"/>
              </w:rPr>
              <w:t xml:space="preserve"> M</w:t>
            </w:r>
            <w:r>
              <w:rPr>
                <w:rFonts w:ascii="Arial" w:cs="Arial" w:eastAsia="Arial" w:hAnsi="Arial"/>
                <w:sz w:val="14"/>
                <w:szCs w:val="14"/>
                <w:color w:val="auto"/>
                <w:w w:val="99"/>
              </w:rPr>
              <w:t>EETING</w:t>
            </w:r>
          </w:p>
        </w:tc>
        <w:tc>
          <w:tcPr>
            <w:tcW w:w="5480" w:type="dxa"/>
            <w:vAlign w:val="bottom"/>
            <w:gridSpan w:val="21"/>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140" w:type="dxa"/>
            <w:vAlign w:val="bottom"/>
            <w:gridSpan w:val="4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2.14. A</w:t>
            </w:r>
            <w:r>
              <w:rPr>
                <w:rFonts w:ascii="Arial" w:cs="Arial" w:eastAsia="Arial" w:hAnsi="Arial"/>
                <w:sz w:val="14"/>
                <w:szCs w:val="14"/>
                <w:color w:val="auto"/>
              </w:rPr>
              <w:t>CTION</w:t>
            </w:r>
            <w:r>
              <w:rPr>
                <w:rFonts w:ascii="Arial" w:cs="Arial" w:eastAsia="Arial" w:hAnsi="Arial"/>
                <w:sz w:val="18"/>
                <w:szCs w:val="18"/>
                <w:color w:val="auto"/>
              </w:rPr>
              <w:t xml:space="preserve"> W</w:t>
            </w:r>
            <w:r>
              <w:rPr>
                <w:rFonts w:ascii="Arial" w:cs="Arial" w:eastAsia="Arial" w:hAnsi="Arial"/>
                <w:sz w:val="14"/>
                <w:szCs w:val="14"/>
                <w:color w:val="auto"/>
              </w:rPr>
              <w:t>ITHOUT</w:t>
            </w:r>
            <w:r>
              <w:rPr>
                <w:rFonts w:ascii="Arial" w:cs="Arial" w:eastAsia="Arial" w:hAnsi="Arial"/>
                <w:sz w:val="18"/>
                <w:szCs w:val="18"/>
                <w:color w:val="auto"/>
              </w:rPr>
              <w:t xml:space="preserve"> M</w:t>
            </w:r>
            <w:r>
              <w:rPr>
                <w:rFonts w:ascii="Arial" w:cs="Arial" w:eastAsia="Arial" w:hAnsi="Arial"/>
                <w:sz w:val="14"/>
                <w:szCs w:val="14"/>
                <w:color w:val="auto"/>
              </w:rPr>
              <w:t>EETING</w:t>
            </w: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60" w:type="dxa"/>
            <w:vAlign w:val="bottom"/>
            <w:tcBorders>
              <w:top w:val="single" w:sz="8" w:color="auto"/>
              <w:bottom w:val="single" w:sz="8" w:color="auto"/>
            </w:tcBorders>
            <w:gridSpan w:val="10"/>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2.15. C</w:t>
            </w:r>
            <w:r>
              <w:rPr>
                <w:rFonts w:ascii="Arial" w:cs="Arial" w:eastAsia="Arial" w:hAnsi="Arial"/>
                <w:sz w:val="14"/>
                <w:szCs w:val="14"/>
                <w:color w:val="auto"/>
              </w:rPr>
              <w:t>OMMITTEES</w:t>
            </w:r>
          </w:p>
        </w:tc>
        <w:tc>
          <w:tcPr>
            <w:tcW w:w="1040" w:type="dxa"/>
            <w:vAlign w:val="bottom"/>
            <w:tcBorders>
              <w:top w:val="single" w:sz="8" w:color="auto"/>
            </w:tcBorders>
            <w:gridSpan w:val="18"/>
          </w:tcPr>
          <w:p>
            <w:pPr>
              <w:spacing w:after="0"/>
              <w:rPr>
                <w:sz w:val="17"/>
                <w:szCs w:val="17"/>
                <w:color w:val="auto"/>
              </w:rPr>
            </w:pPr>
          </w:p>
        </w:tc>
        <w:tc>
          <w:tcPr>
            <w:tcW w:w="4940" w:type="dxa"/>
            <w:vAlign w:val="bottom"/>
            <w:gridSpan w:val="13"/>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500" w:type="dxa"/>
            <w:vAlign w:val="bottom"/>
            <w:gridSpan w:val="42"/>
          </w:tcPr>
          <w:p>
            <w:pPr>
              <w:spacing w:after="0"/>
              <w:rPr>
                <w:sz w:val="20"/>
                <w:szCs w:val="20"/>
                <w:color w:val="auto"/>
              </w:rPr>
            </w:pPr>
            <w:r>
              <w:rPr>
                <w:rFonts w:ascii="Arial" w:cs="Arial" w:eastAsia="Arial" w:hAnsi="Arial"/>
                <w:sz w:val="18"/>
                <w:szCs w:val="18"/>
                <w:b w:val="1"/>
                <w:bCs w:val="1"/>
                <w:color w:val="auto"/>
              </w:rPr>
              <w:t>ARTICLE III. OFFICERS</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140" w:type="dxa"/>
            <w:vAlign w:val="bottom"/>
            <w:gridSpan w:val="41"/>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3.1. E</w:t>
            </w:r>
            <w:r>
              <w:rPr>
                <w:rFonts w:ascii="Arial" w:cs="Arial" w:eastAsia="Arial" w:hAnsi="Arial"/>
                <w:sz w:val="14"/>
                <w:szCs w:val="14"/>
                <w:color w:val="auto"/>
              </w:rPr>
              <w:t>NUMERATION</w:t>
            </w:r>
          </w:p>
        </w:tc>
        <w:tc>
          <w:tcPr>
            <w:tcW w:w="25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8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S</w:t>
            </w:r>
            <w:r>
              <w:rPr>
                <w:rFonts w:ascii="Arial" w:cs="Arial" w:eastAsia="Arial" w:hAnsi="Arial"/>
                <w:sz w:val="14"/>
                <w:szCs w:val="14"/>
                <w:color w:val="auto"/>
                <w:w w:val="97"/>
              </w:rPr>
              <w:t>ECTION</w:t>
            </w:r>
            <w:r>
              <w:rPr>
                <w:rFonts w:ascii="Arial" w:cs="Arial" w:eastAsia="Arial" w:hAnsi="Arial"/>
                <w:sz w:val="18"/>
                <w:szCs w:val="18"/>
                <w:color w:val="auto"/>
                <w:w w:val="97"/>
              </w:rPr>
              <w:t xml:space="preserve"> 3.2. E</w:t>
            </w:r>
            <w:r>
              <w:rPr>
                <w:rFonts w:ascii="Arial" w:cs="Arial" w:eastAsia="Arial" w:hAnsi="Arial"/>
                <w:sz w:val="14"/>
                <w:szCs w:val="14"/>
                <w:color w:val="auto"/>
                <w:w w:val="97"/>
              </w:rPr>
              <w:t>LECTION</w:t>
            </w:r>
          </w:p>
        </w:tc>
        <w:tc>
          <w:tcPr>
            <w:tcW w:w="380" w:type="dxa"/>
            <w:vAlign w:val="bottom"/>
            <w:tcBorders>
              <w:top w:val="single" w:sz="8" w:color="auto"/>
            </w:tcBorders>
            <w:gridSpan w:val="6"/>
          </w:tcPr>
          <w:p>
            <w:pPr>
              <w:spacing w:after="0"/>
              <w:rPr>
                <w:sz w:val="17"/>
                <w:szCs w:val="17"/>
                <w:color w:val="auto"/>
              </w:rPr>
            </w:pPr>
          </w:p>
        </w:tc>
        <w:tc>
          <w:tcPr>
            <w:tcW w:w="5980" w:type="dxa"/>
            <w:vAlign w:val="bottom"/>
            <w:gridSpan w:val="31"/>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8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3.3. Q</w:t>
            </w:r>
            <w:r>
              <w:rPr>
                <w:rFonts w:ascii="Arial" w:cs="Arial" w:eastAsia="Arial" w:hAnsi="Arial"/>
                <w:sz w:val="14"/>
                <w:szCs w:val="14"/>
                <w:color w:val="auto"/>
              </w:rPr>
              <w:t>UALIFICATION</w:t>
            </w:r>
          </w:p>
        </w:tc>
        <w:tc>
          <w:tcPr>
            <w:tcW w:w="5960" w:type="dxa"/>
            <w:vAlign w:val="bottom"/>
            <w:gridSpan w:val="30"/>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ECTION</w:t>
            </w:r>
            <w:r>
              <w:rPr>
                <w:rFonts w:ascii="Arial" w:cs="Arial" w:eastAsia="Arial" w:hAnsi="Arial"/>
                <w:sz w:val="18"/>
                <w:szCs w:val="18"/>
                <w:color w:val="auto"/>
                <w:w w:val="96"/>
              </w:rPr>
              <w:t xml:space="preserve"> 3.4. T</w:t>
            </w:r>
            <w:r>
              <w:rPr>
                <w:rFonts w:ascii="Arial" w:cs="Arial" w:eastAsia="Arial" w:hAnsi="Arial"/>
                <w:sz w:val="14"/>
                <w:szCs w:val="14"/>
                <w:color w:val="auto"/>
                <w:w w:val="96"/>
              </w:rPr>
              <w:t>ENURE</w:t>
            </w:r>
          </w:p>
        </w:tc>
        <w:tc>
          <w:tcPr>
            <w:tcW w:w="6520" w:type="dxa"/>
            <w:vAlign w:val="bottom"/>
            <w:gridSpan w:val="40"/>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140" w:type="dxa"/>
            <w:vAlign w:val="bottom"/>
            <w:gridSpan w:val="4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3.5. R</w:t>
            </w:r>
            <w:r>
              <w:rPr>
                <w:rFonts w:ascii="Arial" w:cs="Arial" w:eastAsia="Arial" w:hAnsi="Arial"/>
                <w:sz w:val="14"/>
                <w:szCs w:val="14"/>
                <w:color w:val="auto"/>
              </w:rPr>
              <w:t>EMOVAL</w:t>
            </w: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70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02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7"/>
              </w:rPr>
              <w:t>S</w:t>
            </w:r>
            <w:r>
              <w:rPr>
                <w:rFonts w:ascii="Arial" w:cs="Arial" w:eastAsia="Arial" w:hAnsi="Arial"/>
                <w:sz w:val="14"/>
                <w:szCs w:val="14"/>
                <w:color w:val="auto"/>
                <w:w w:val="97"/>
              </w:rPr>
              <w:t>ECTION</w:t>
            </w:r>
            <w:r>
              <w:rPr>
                <w:rFonts w:ascii="Arial" w:cs="Arial" w:eastAsia="Arial" w:hAnsi="Arial"/>
                <w:sz w:val="18"/>
                <w:szCs w:val="18"/>
                <w:color w:val="auto"/>
                <w:w w:val="97"/>
              </w:rPr>
              <w:t xml:space="preserve"> 3.6. R</w:t>
            </w:r>
            <w:r>
              <w:rPr>
                <w:rFonts w:ascii="Arial" w:cs="Arial" w:eastAsia="Arial" w:hAnsi="Arial"/>
                <w:sz w:val="14"/>
                <w:szCs w:val="14"/>
                <w:color w:val="auto"/>
                <w:w w:val="97"/>
              </w:rPr>
              <w:t>ESIGNATION</w:t>
            </w:r>
          </w:p>
        </w:tc>
        <w:tc>
          <w:tcPr>
            <w:tcW w:w="6120" w:type="dxa"/>
            <w:vAlign w:val="bottom"/>
            <w:gridSpan w:val="33"/>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140" w:type="dxa"/>
            <w:vAlign w:val="bottom"/>
            <w:gridSpan w:val="4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3.7. V</w:t>
            </w:r>
            <w:r>
              <w:rPr>
                <w:rFonts w:ascii="Arial" w:cs="Arial" w:eastAsia="Arial" w:hAnsi="Arial"/>
                <w:sz w:val="14"/>
                <w:szCs w:val="14"/>
                <w:color w:val="auto"/>
              </w:rPr>
              <w:t>ACANCIES</w:t>
            </w: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4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ECTION</w:t>
            </w:r>
            <w:r>
              <w:rPr>
                <w:rFonts w:ascii="Arial" w:cs="Arial" w:eastAsia="Arial" w:hAnsi="Arial"/>
                <w:sz w:val="18"/>
                <w:szCs w:val="18"/>
                <w:color w:val="auto"/>
                <w:w w:val="96"/>
              </w:rPr>
              <w:t xml:space="preserve"> 3.8. P</w:t>
            </w:r>
            <w:r>
              <w:rPr>
                <w:rFonts w:ascii="Arial" w:cs="Arial" w:eastAsia="Arial" w:hAnsi="Arial"/>
                <w:sz w:val="14"/>
                <w:szCs w:val="14"/>
                <w:color w:val="auto"/>
                <w:w w:val="96"/>
              </w:rPr>
              <w:t>RESIDENT</w:t>
            </w:r>
          </w:p>
        </w:tc>
        <w:tc>
          <w:tcPr>
            <w:tcW w:w="40" w:type="dxa"/>
            <w:vAlign w:val="bottom"/>
            <w:tcBorders>
              <w:top w:val="single" w:sz="8" w:color="auto"/>
            </w:tcBorders>
          </w:tcPr>
          <w:p>
            <w:pPr>
              <w:spacing w:after="0"/>
              <w:rPr>
                <w:sz w:val="17"/>
                <w:szCs w:val="17"/>
                <w:color w:val="auto"/>
              </w:rPr>
            </w:pPr>
          </w:p>
        </w:tc>
        <w:tc>
          <w:tcPr>
            <w:tcW w:w="6260" w:type="dxa"/>
            <w:vAlign w:val="bottom"/>
            <w:gridSpan w:val="34"/>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140" w:type="dxa"/>
            <w:vAlign w:val="bottom"/>
            <w:gridSpan w:val="4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3.9. V</w:t>
            </w:r>
            <w:r>
              <w:rPr>
                <w:rFonts w:ascii="Arial" w:cs="Arial" w:eastAsia="Arial" w:hAnsi="Arial"/>
                <w:sz w:val="14"/>
                <w:szCs w:val="14"/>
                <w:color w:val="auto"/>
              </w:rPr>
              <w:t>ICE</w:t>
            </w:r>
            <w:r>
              <w:rPr>
                <w:rFonts w:ascii="Arial" w:cs="Arial" w:eastAsia="Arial" w:hAnsi="Arial"/>
                <w:sz w:val="18"/>
                <w:szCs w:val="18"/>
                <w:color w:val="auto"/>
              </w:rPr>
              <w:t>-P</w:t>
            </w:r>
            <w:r>
              <w:rPr>
                <w:rFonts w:ascii="Arial" w:cs="Arial" w:eastAsia="Arial" w:hAnsi="Arial"/>
                <w:sz w:val="14"/>
                <w:szCs w:val="14"/>
                <w:color w:val="auto"/>
              </w:rPr>
              <w:t>RESIDENT</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80" w:type="dxa"/>
            <w:vAlign w:val="bottom"/>
            <w:gridSpan w:val="9"/>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280" w:type="dxa"/>
            <w:vAlign w:val="bottom"/>
            <w:tcBorders>
              <w:bottom w:val="single" w:sz="8" w:color="auto"/>
            </w:tcBorders>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3.10. T</w:t>
            </w:r>
            <w:r>
              <w:rPr>
                <w:rFonts w:ascii="Arial" w:cs="Arial" w:eastAsia="Arial" w:hAnsi="Arial"/>
                <w:sz w:val="14"/>
                <w:szCs w:val="14"/>
                <w:color w:val="auto"/>
              </w:rPr>
              <w:t>REASURER AND</w:t>
            </w:r>
            <w:r>
              <w:rPr>
                <w:rFonts w:ascii="Arial" w:cs="Arial" w:eastAsia="Arial" w:hAnsi="Arial"/>
                <w:sz w:val="18"/>
                <w:szCs w:val="18"/>
                <w:color w:val="auto"/>
              </w:rPr>
              <w:t xml:space="preserve"> A</w:t>
            </w:r>
            <w:r>
              <w:rPr>
                <w:rFonts w:ascii="Arial" w:cs="Arial" w:eastAsia="Arial" w:hAnsi="Arial"/>
                <w:sz w:val="14"/>
                <w:szCs w:val="14"/>
                <w:color w:val="auto"/>
              </w:rPr>
              <w:t>SSISTANT</w:t>
            </w:r>
            <w:r>
              <w:rPr>
                <w:rFonts w:ascii="Arial" w:cs="Arial" w:eastAsia="Arial" w:hAnsi="Arial"/>
                <w:sz w:val="18"/>
                <w:szCs w:val="18"/>
                <w:color w:val="auto"/>
              </w:rPr>
              <w:t xml:space="preserve"> T</w:t>
            </w:r>
            <w:r>
              <w:rPr>
                <w:rFonts w:ascii="Arial" w:cs="Arial" w:eastAsia="Arial" w:hAnsi="Arial"/>
                <w:sz w:val="14"/>
                <w:szCs w:val="14"/>
                <w:color w:val="auto"/>
              </w:rPr>
              <w:t>REASURERS</w:t>
            </w:r>
          </w:p>
        </w:tc>
        <w:tc>
          <w:tcPr>
            <w:tcW w:w="3860" w:type="dxa"/>
            <w:vAlign w:val="bottom"/>
            <w:gridSpan w:val="5"/>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260" w:type="dxa"/>
            <w:vAlign w:val="bottom"/>
            <w:tcBorders>
              <w:bottom w:val="single" w:sz="8" w:color="auto"/>
            </w:tcBorders>
            <w:gridSpan w:val="35"/>
          </w:tcPr>
          <w:p>
            <w:pPr>
              <w:spacing w:after="0" w:line="196" w:lineRule="exact"/>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ECTION</w:t>
            </w:r>
            <w:r>
              <w:rPr>
                <w:rFonts w:ascii="Arial" w:cs="Arial" w:eastAsia="Arial" w:hAnsi="Arial"/>
                <w:sz w:val="18"/>
                <w:szCs w:val="18"/>
                <w:color w:val="auto"/>
                <w:w w:val="98"/>
              </w:rPr>
              <w:t xml:space="preserve"> 3.11. S</w:t>
            </w:r>
            <w:r>
              <w:rPr>
                <w:rFonts w:ascii="Arial" w:cs="Arial" w:eastAsia="Arial" w:hAnsi="Arial"/>
                <w:sz w:val="14"/>
                <w:szCs w:val="14"/>
                <w:color w:val="auto"/>
                <w:w w:val="98"/>
              </w:rPr>
              <w:t>ECRETARY AND</w:t>
            </w:r>
            <w:r>
              <w:rPr>
                <w:rFonts w:ascii="Arial" w:cs="Arial" w:eastAsia="Arial" w:hAnsi="Arial"/>
                <w:sz w:val="18"/>
                <w:szCs w:val="18"/>
                <w:color w:val="auto"/>
                <w:w w:val="98"/>
              </w:rPr>
              <w:t xml:space="preserve"> A</w:t>
            </w:r>
            <w:r>
              <w:rPr>
                <w:rFonts w:ascii="Arial" w:cs="Arial" w:eastAsia="Arial" w:hAnsi="Arial"/>
                <w:sz w:val="14"/>
                <w:szCs w:val="14"/>
                <w:color w:val="auto"/>
                <w:w w:val="98"/>
              </w:rPr>
              <w:t>SSISTANT</w:t>
            </w:r>
            <w:r>
              <w:rPr>
                <w:rFonts w:ascii="Arial" w:cs="Arial" w:eastAsia="Arial" w:hAnsi="Arial"/>
                <w:sz w:val="18"/>
                <w:szCs w:val="18"/>
                <w:color w:val="auto"/>
                <w:w w:val="98"/>
              </w:rPr>
              <w:t xml:space="preserve"> S</w:t>
            </w:r>
            <w:r>
              <w:rPr>
                <w:rFonts w:ascii="Arial" w:cs="Arial" w:eastAsia="Arial" w:hAnsi="Arial"/>
                <w:sz w:val="14"/>
                <w:szCs w:val="14"/>
                <w:color w:val="auto"/>
                <w:w w:val="98"/>
              </w:rPr>
              <w:t>ECRETARIES</w:t>
            </w:r>
          </w:p>
        </w:tc>
        <w:tc>
          <w:tcPr>
            <w:tcW w:w="3880" w:type="dxa"/>
            <w:vAlign w:val="bottom"/>
            <w:gridSpan w:val="6"/>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260" w:type="dxa"/>
            <w:vAlign w:val="bottom"/>
            <w:tcBorders>
              <w:bottom w:val="single" w:sz="8" w:color="auto"/>
            </w:tcBorders>
            <w:gridSpan w:val="29"/>
          </w:tcPr>
          <w:p>
            <w:pPr>
              <w:spacing w:after="0" w:line="196" w:lineRule="exact"/>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ECTION</w:t>
            </w:r>
            <w:r>
              <w:rPr>
                <w:rFonts w:ascii="Arial" w:cs="Arial" w:eastAsia="Arial" w:hAnsi="Arial"/>
                <w:sz w:val="18"/>
                <w:szCs w:val="18"/>
                <w:color w:val="auto"/>
                <w:w w:val="98"/>
              </w:rPr>
              <w:t xml:space="preserve"> 3.12. O</w:t>
            </w:r>
            <w:r>
              <w:rPr>
                <w:rFonts w:ascii="Arial" w:cs="Arial" w:eastAsia="Arial" w:hAnsi="Arial"/>
                <w:sz w:val="14"/>
                <w:szCs w:val="14"/>
                <w:color w:val="auto"/>
                <w:w w:val="98"/>
              </w:rPr>
              <w:t>THER</w:t>
            </w:r>
            <w:r>
              <w:rPr>
                <w:rFonts w:ascii="Arial" w:cs="Arial" w:eastAsia="Arial" w:hAnsi="Arial"/>
                <w:sz w:val="18"/>
                <w:szCs w:val="18"/>
                <w:color w:val="auto"/>
                <w:w w:val="98"/>
              </w:rPr>
              <w:t xml:space="preserve"> P</w:t>
            </w:r>
            <w:r>
              <w:rPr>
                <w:rFonts w:ascii="Arial" w:cs="Arial" w:eastAsia="Arial" w:hAnsi="Arial"/>
                <w:sz w:val="14"/>
                <w:szCs w:val="14"/>
                <w:color w:val="auto"/>
                <w:w w:val="98"/>
              </w:rPr>
              <w:t>OWERS AND</w:t>
            </w:r>
            <w:r>
              <w:rPr>
                <w:rFonts w:ascii="Arial" w:cs="Arial" w:eastAsia="Arial" w:hAnsi="Arial"/>
                <w:sz w:val="18"/>
                <w:szCs w:val="18"/>
                <w:color w:val="auto"/>
                <w:w w:val="98"/>
              </w:rPr>
              <w:t xml:space="preserve"> D</w:t>
            </w:r>
            <w:r>
              <w:rPr>
                <w:rFonts w:ascii="Arial" w:cs="Arial" w:eastAsia="Arial" w:hAnsi="Arial"/>
                <w:sz w:val="14"/>
                <w:szCs w:val="14"/>
                <w:color w:val="auto"/>
                <w:w w:val="98"/>
              </w:rPr>
              <w:t>UTIES</w:t>
            </w:r>
          </w:p>
        </w:tc>
        <w:tc>
          <w:tcPr>
            <w:tcW w:w="4880" w:type="dxa"/>
            <w:vAlign w:val="bottom"/>
            <w:gridSpan w:val="12"/>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500" w:type="dxa"/>
            <w:vAlign w:val="bottom"/>
            <w:gridSpan w:val="42"/>
          </w:tcPr>
          <w:p>
            <w:pPr>
              <w:spacing w:after="0"/>
              <w:rPr>
                <w:sz w:val="20"/>
                <w:szCs w:val="20"/>
                <w:color w:val="auto"/>
              </w:rPr>
            </w:pPr>
            <w:r>
              <w:rPr>
                <w:rFonts w:ascii="Arial" w:cs="Arial" w:eastAsia="Arial" w:hAnsi="Arial"/>
                <w:sz w:val="18"/>
                <w:szCs w:val="18"/>
                <w:b w:val="1"/>
                <w:bCs w:val="1"/>
                <w:color w:val="auto"/>
              </w:rPr>
              <w:t>ARTICLE IV. CAPITAL STOCK</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080" w:type="dxa"/>
            <w:vAlign w:val="bottom"/>
            <w:gridSpan w:val="9"/>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600" w:type="dxa"/>
            <w:vAlign w:val="bottom"/>
            <w:tcBorders>
              <w:bottom w:val="single" w:sz="8" w:color="auto"/>
            </w:tcBorders>
            <w:gridSpan w:val="18"/>
          </w:tcPr>
          <w:p>
            <w:pPr>
              <w:spacing w:after="0"/>
              <w:rPr>
                <w:sz w:val="20"/>
                <w:szCs w:val="20"/>
                <w:color w:val="auto"/>
              </w:rPr>
            </w:pPr>
            <w:r>
              <w:rPr>
                <w:rFonts w:ascii="Arial" w:cs="Arial" w:eastAsia="Arial" w:hAnsi="Arial"/>
                <w:sz w:val="18"/>
                <w:szCs w:val="18"/>
                <w:color w:val="auto"/>
                <w:w w:val="97"/>
              </w:rPr>
              <w:t>S</w:t>
            </w:r>
            <w:r>
              <w:rPr>
                <w:rFonts w:ascii="Arial" w:cs="Arial" w:eastAsia="Arial" w:hAnsi="Arial"/>
                <w:sz w:val="14"/>
                <w:szCs w:val="14"/>
                <w:color w:val="auto"/>
                <w:w w:val="97"/>
              </w:rPr>
              <w:t>ECTION</w:t>
            </w:r>
            <w:r>
              <w:rPr>
                <w:rFonts w:ascii="Arial" w:cs="Arial" w:eastAsia="Arial" w:hAnsi="Arial"/>
                <w:sz w:val="18"/>
                <w:szCs w:val="18"/>
                <w:color w:val="auto"/>
                <w:w w:val="97"/>
              </w:rPr>
              <w:t xml:space="preserve"> 4.1. S</w:t>
            </w:r>
            <w:r>
              <w:rPr>
                <w:rFonts w:ascii="Arial" w:cs="Arial" w:eastAsia="Arial" w:hAnsi="Arial"/>
                <w:sz w:val="14"/>
                <w:szCs w:val="14"/>
                <w:color w:val="auto"/>
                <w:w w:val="97"/>
              </w:rPr>
              <w:t>TOCK</w:t>
            </w:r>
            <w:r>
              <w:rPr>
                <w:rFonts w:ascii="Arial" w:cs="Arial" w:eastAsia="Arial" w:hAnsi="Arial"/>
                <w:sz w:val="18"/>
                <w:szCs w:val="18"/>
                <w:color w:val="auto"/>
                <w:w w:val="97"/>
              </w:rPr>
              <w:t xml:space="preserve"> C</w:t>
            </w:r>
            <w:r>
              <w:rPr>
                <w:rFonts w:ascii="Arial" w:cs="Arial" w:eastAsia="Arial" w:hAnsi="Arial"/>
                <w:sz w:val="14"/>
                <w:szCs w:val="14"/>
                <w:color w:val="auto"/>
                <w:w w:val="97"/>
              </w:rPr>
              <w:t>ERTIFICATES</w:t>
            </w:r>
          </w:p>
        </w:tc>
        <w:tc>
          <w:tcPr>
            <w:tcW w:w="5540" w:type="dxa"/>
            <w:vAlign w:val="bottom"/>
            <w:gridSpan w:val="23"/>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7"/>
              </w:rPr>
              <w:t>S</w:t>
            </w:r>
            <w:r>
              <w:rPr>
                <w:rFonts w:ascii="Arial" w:cs="Arial" w:eastAsia="Arial" w:hAnsi="Arial"/>
                <w:sz w:val="14"/>
                <w:szCs w:val="14"/>
                <w:color w:val="auto"/>
                <w:w w:val="97"/>
              </w:rPr>
              <w:t>ECTION</w:t>
            </w:r>
            <w:r>
              <w:rPr>
                <w:rFonts w:ascii="Arial" w:cs="Arial" w:eastAsia="Arial" w:hAnsi="Arial"/>
                <w:sz w:val="18"/>
                <w:szCs w:val="18"/>
                <w:color w:val="auto"/>
                <w:w w:val="97"/>
              </w:rPr>
              <w:t xml:space="preserve"> 4.2. R</w:t>
            </w:r>
            <w:r>
              <w:rPr>
                <w:rFonts w:ascii="Arial" w:cs="Arial" w:eastAsia="Arial" w:hAnsi="Arial"/>
                <w:sz w:val="14"/>
                <w:szCs w:val="14"/>
                <w:color w:val="auto"/>
                <w:w w:val="97"/>
              </w:rPr>
              <w:t>ECORD</w:t>
            </w:r>
            <w:r>
              <w:rPr>
                <w:rFonts w:ascii="Arial" w:cs="Arial" w:eastAsia="Arial" w:hAnsi="Arial"/>
                <w:sz w:val="18"/>
                <w:szCs w:val="18"/>
                <w:color w:val="auto"/>
                <w:w w:val="97"/>
              </w:rPr>
              <w:t xml:space="preserve"> H</w:t>
            </w:r>
            <w:r>
              <w:rPr>
                <w:rFonts w:ascii="Arial" w:cs="Arial" w:eastAsia="Arial" w:hAnsi="Arial"/>
                <w:sz w:val="14"/>
                <w:szCs w:val="14"/>
                <w:color w:val="auto"/>
                <w:w w:val="97"/>
              </w:rPr>
              <w:t>OLDERS</w:t>
            </w:r>
          </w:p>
        </w:tc>
        <w:tc>
          <w:tcPr>
            <w:tcW w:w="5740" w:type="dxa"/>
            <w:vAlign w:val="bottom"/>
            <w:gridSpan w:val="28"/>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140" w:type="dxa"/>
            <w:vAlign w:val="bottom"/>
            <w:gridSpan w:val="4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4.3. R</w:t>
            </w:r>
            <w:r>
              <w:rPr>
                <w:rFonts w:ascii="Arial" w:cs="Arial" w:eastAsia="Arial" w:hAnsi="Arial"/>
                <w:sz w:val="14"/>
                <w:szCs w:val="14"/>
                <w:color w:val="auto"/>
              </w:rPr>
              <w:t>ECORD</w:t>
            </w:r>
            <w:r>
              <w:rPr>
                <w:rFonts w:ascii="Arial" w:cs="Arial" w:eastAsia="Arial" w:hAnsi="Arial"/>
                <w:sz w:val="18"/>
                <w:szCs w:val="18"/>
                <w:color w:val="auto"/>
              </w:rPr>
              <w:t xml:space="preserve"> D</w:t>
            </w:r>
            <w:r>
              <w:rPr>
                <w:rFonts w:ascii="Arial" w:cs="Arial" w:eastAsia="Arial" w:hAnsi="Arial"/>
                <w:sz w:val="14"/>
                <w:szCs w:val="14"/>
                <w:color w:val="auto"/>
              </w:rPr>
              <w:t>ATE</w:t>
            </w: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80" w:type="dxa"/>
            <w:vAlign w:val="bottom"/>
            <w:gridSpan w:val="9"/>
            <w:shd w:val="clear" w:color="auto" w:fill="000000"/>
          </w:tcPr>
          <w:p>
            <w:pPr>
              <w:spacing w:after="0" w:line="20" w:lineRule="exact"/>
              <w:rPr>
                <w:sz w:val="1"/>
                <w:szCs w:val="1"/>
                <w:color w:val="auto"/>
              </w:rPr>
            </w:pPr>
          </w:p>
        </w:tc>
        <w:tc>
          <w:tcPr>
            <w:tcW w:w="620" w:type="dxa"/>
            <w:vAlign w:val="bottom"/>
            <w:gridSpan w:val="1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980" w:type="dxa"/>
            <w:vAlign w:val="bottom"/>
            <w:tcBorders>
              <w:bottom w:val="single" w:sz="8" w:color="auto"/>
            </w:tcBorders>
            <w:gridSpan w:val="39"/>
          </w:tcPr>
          <w:p>
            <w:pPr>
              <w:spacing w:after="0" w:line="196" w:lineRule="exact"/>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ECTION</w:t>
            </w:r>
            <w:r>
              <w:rPr>
                <w:rFonts w:ascii="Arial" w:cs="Arial" w:eastAsia="Arial" w:hAnsi="Arial"/>
                <w:sz w:val="18"/>
                <w:szCs w:val="18"/>
                <w:color w:val="auto"/>
                <w:w w:val="99"/>
              </w:rPr>
              <w:t xml:space="preserve"> 4.4. T</w:t>
            </w:r>
            <w:r>
              <w:rPr>
                <w:rFonts w:ascii="Arial" w:cs="Arial" w:eastAsia="Arial" w:hAnsi="Arial"/>
                <w:sz w:val="14"/>
                <w:szCs w:val="14"/>
                <w:color w:val="auto"/>
                <w:w w:val="99"/>
              </w:rPr>
              <w:t>RANSFER</w:t>
            </w:r>
            <w:r>
              <w:rPr>
                <w:rFonts w:ascii="Arial" w:cs="Arial" w:eastAsia="Arial" w:hAnsi="Arial"/>
                <w:sz w:val="18"/>
                <w:szCs w:val="18"/>
                <w:color w:val="auto"/>
                <w:w w:val="99"/>
              </w:rPr>
              <w:t xml:space="preserve"> A</w:t>
            </w:r>
            <w:r>
              <w:rPr>
                <w:rFonts w:ascii="Arial" w:cs="Arial" w:eastAsia="Arial" w:hAnsi="Arial"/>
                <w:sz w:val="14"/>
                <w:szCs w:val="14"/>
                <w:color w:val="auto"/>
                <w:w w:val="99"/>
              </w:rPr>
              <w:t>GENT AND</w:t>
            </w:r>
            <w:r>
              <w:rPr>
                <w:rFonts w:ascii="Arial" w:cs="Arial" w:eastAsia="Arial" w:hAnsi="Arial"/>
                <w:sz w:val="18"/>
                <w:szCs w:val="18"/>
                <w:color w:val="auto"/>
                <w:w w:val="99"/>
              </w:rPr>
              <w:t xml:space="preserve"> R</w:t>
            </w:r>
            <w:r>
              <w:rPr>
                <w:rFonts w:ascii="Arial" w:cs="Arial" w:eastAsia="Arial" w:hAnsi="Arial"/>
                <w:sz w:val="14"/>
                <w:szCs w:val="14"/>
                <w:color w:val="auto"/>
                <w:w w:val="99"/>
              </w:rPr>
              <w:t>EGISTRAR</w:t>
            </w:r>
            <w:r>
              <w:rPr>
                <w:rFonts w:ascii="Arial" w:cs="Arial" w:eastAsia="Arial" w:hAnsi="Arial"/>
                <w:sz w:val="18"/>
                <w:szCs w:val="18"/>
                <w:color w:val="auto"/>
                <w:w w:val="99"/>
              </w:rPr>
              <w:t xml:space="preserve"> F</w:t>
            </w:r>
            <w:r>
              <w:rPr>
                <w:rFonts w:ascii="Arial" w:cs="Arial" w:eastAsia="Arial" w:hAnsi="Arial"/>
                <w:sz w:val="14"/>
                <w:szCs w:val="14"/>
                <w:color w:val="auto"/>
                <w:w w:val="99"/>
              </w:rPr>
              <w:t>OR</w:t>
            </w:r>
            <w:r>
              <w:rPr>
                <w:rFonts w:ascii="Arial" w:cs="Arial" w:eastAsia="Arial" w:hAnsi="Arial"/>
                <w:sz w:val="18"/>
                <w:szCs w:val="18"/>
                <w:color w:val="auto"/>
                <w:w w:val="99"/>
              </w:rPr>
              <w:t xml:space="preserve"> S</w:t>
            </w:r>
            <w:r>
              <w:rPr>
                <w:rFonts w:ascii="Arial" w:cs="Arial" w:eastAsia="Arial" w:hAnsi="Arial"/>
                <w:sz w:val="14"/>
                <w:szCs w:val="14"/>
                <w:color w:val="auto"/>
                <w:w w:val="99"/>
              </w:rPr>
              <w:t>HARES OF</w:t>
            </w:r>
            <w:r>
              <w:rPr>
                <w:rFonts w:ascii="Arial" w:cs="Arial" w:eastAsia="Arial" w:hAnsi="Arial"/>
                <w:sz w:val="18"/>
                <w:szCs w:val="18"/>
                <w:color w:val="auto"/>
                <w:w w:val="99"/>
              </w:rPr>
              <w:t xml:space="preserve"> C</w:t>
            </w:r>
            <w:r>
              <w:rPr>
                <w:rFonts w:ascii="Arial" w:cs="Arial" w:eastAsia="Arial" w:hAnsi="Arial"/>
                <w:sz w:val="14"/>
                <w:szCs w:val="14"/>
                <w:color w:val="auto"/>
                <w:w w:val="99"/>
              </w:rPr>
              <w:t>ORPORATION</w:t>
            </w:r>
          </w:p>
        </w:tc>
        <w:tc>
          <w:tcPr>
            <w:tcW w:w="2160" w:type="dxa"/>
            <w:vAlign w:val="bottom"/>
            <w:gridSpan w:val="2"/>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140" w:type="dxa"/>
            <w:vAlign w:val="bottom"/>
            <w:gridSpan w:val="4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4.5. L</w:t>
            </w:r>
            <w:r>
              <w:rPr>
                <w:rFonts w:ascii="Arial" w:cs="Arial" w:eastAsia="Arial" w:hAnsi="Arial"/>
                <w:sz w:val="14"/>
                <w:szCs w:val="14"/>
                <w:color w:val="auto"/>
              </w:rPr>
              <w:t>OSS OF</w:t>
            </w:r>
            <w:r>
              <w:rPr>
                <w:rFonts w:ascii="Arial" w:cs="Arial" w:eastAsia="Arial" w:hAnsi="Arial"/>
                <w:sz w:val="18"/>
                <w:szCs w:val="18"/>
                <w:color w:val="auto"/>
              </w:rPr>
              <w:t xml:space="preserve"> C</w:t>
            </w:r>
            <w:r>
              <w:rPr>
                <w:rFonts w:ascii="Arial" w:cs="Arial" w:eastAsia="Arial" w:hAnsi="Arial"/>
                <w:sz w:val="14"/>
                <w:szCs w:val="14"/>
                <w:color w:val="auto"/>
              </w:rPr>
              <w:t>ERTIFICATES</w:t>
            </w: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700" w:type="dxa"/>
            <w:vAlign w:val="bottom"/>
            <w:gridSpan w:val="22"/>
            <w:shd w:val="clear" w:color="auto" w:fill="000000"/>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18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ECTION</w:t>
            </w:r>
            <w:r>
              <w:rPr>
                <w:rFonts w:ascii="Arial" w:cs="Arial" w:eastAsia="Arial" w:hAnsi="Arial"/>
                <w:sz w:val="18"/>
                <w:szCs w:val="18"/>
                <w:color w:val="auto"/>
                <w:w w:val="98"/>
              </w:rPr>
              <w:t xml:space="preserve"> 4.6. R</w:t>
            </w:r>
            <w:r>
              <w:rPr>
                <w:rFonts w:ascii="Arial" w:cs="Arial" w:eastAsia="Arial" w:hAnsi="Arial"/>
                <w:sz w:val="14"/>
                <w:szCs w:val="14"/>
                <w:color w:val="auto"/>
                <w:w w:val="98"/>
              </w:rPr>
              <w:t>ESTRICTIONS ON</w:t>
            </w:r>
            <w:r>
              <w:rPr>
                <w:rFonts w:ascii="Arial" w:cs="Arial" w:eastAsia="Arial" w:hAnsi="Arial"/>
                <w:sz w:val="18"/>
                <w:szCs w:val="18"/>
                <w:color w:val="auto"/>
                <w:w w:val="98"/>
              </w:rPr>
              <w:t xml:space="preserve"> T</w:t>
            </w:r>
            <w:r>
              <w:rPr>
                <w:rFonts w:ascii="Arial" w:cs="Arial" w:eastAsia="Arial" w:hAnsi="Arial"/>
                <w:sz w:val="14"/>
                <w:szCs w:val="14"/>
                <w:color w:val="auto"/>
                <w:w w:val="98"/>
              </w:rPr>
              <w:t>RANSFER</w:t>
            </w:r>
          </w:p>
        </w:tc>
        <w:tc>
          <w:tcPr>
            <w:tcW w:w="4960" w:type="dxa"/>
            <w:vAlign w:val="bottom"/>
            <w:gridSpan w:val="14"/>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140" w:type="dxa"/>
            <w:vAlign w:val="bottom"/>
            <w:gridSpan w:val="4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4.7. M</w:t>
            </w:r>
            <w:r>
              <w:rPr>
                <w:rFonts w:ascii="Arial" w:cs="Arial" w:eastAsia="Arial" w:hAnsi="Arial"/>
                <w:sz w:val="14"/>
                <w:szCs w:val="14"/>
                <w:color w:val="auto"/>
              </w:rPr>
              <w:t>ULTIPLE</w:t>
            </w:r>
            <w:r>
              <w:rPr>
                <w:rFonts w:ascii="Arial" w:cs="Arial" w:eastAsia="Arial" w:hAnsi="Arial"/>
                <w:sz w:val="18"/>
                <w:szCs w:val="18"/>
                <w:color w:val="auto"/>
              </w:rPr>
              <w:t xml:space="preserve"> C</w:t>
            </w:r>
            <w:r>
              <w:rPr>
                <w:rFonts w:ascii="Arial" w:cs="Arial" w:eastAsia="Arial" w:hAnsi="Arial"/>
                <w:sz w:val="14"/>
                <w:szCs w:val="14"/>
                <w:color w:val="auto"/>
              </w:rPr>
              <w:t>LASSES OF</w:t>
            </w:r>
            <w:r>
              <w:rPr>
                <w:rFonts w:ascii="Arial" w:cs="Arial" w:eastAsia="Arial" w:hAnsi="Arial"/>
                <w:sz w:val="18"/>
                <w:szCs w:val="18"/>
                <w:color w:val="auto"/>
              </w:rPr>
              <w:t xml:space="preserve"> S</w:t>
            </w:r>
            <w:r>
              <w:rPr>
                <w:rFonts w:ascii="Arial" w:cs="Arial" w:eastAsia="Arial" w:hAnsi="Arial"/>
                <w:sz w:val="14"/>
                <w:szCs w:val="14"/>
                <w:color w:val="auto"/>
              </w:rPr>
              <w:t>TOCK</w:t>
            </w: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0" w:type="dxa"/>
            <w:vAlign w:val="bottom"/>
            <w:tcBorders>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500" w:type="dxa"/>
            <w:vAlign w:val="bottom"/>
            <w:gridSpan w:val="42"/>
          </w:tcPr>
          <w:p>
            <w:pPr>
              <w:spacing w:after="0"/>
              <w:rPr>
                <w:sz w:val="20"/>
                <w:szCs w:val="20"/>
                <w:color w:val="auto"/>
              </w:rPr>
            </w:pPr>
            <w:r>
              <w:rPr>
                <w:rFonts w:ascii="Arial" w:cs="Arial" w:eastAsia="Arial" w:hAnsi="Arial"/>
                <w:sz w:val="18"/>
                <w:szCs w:val="18"/>
                <w:color w:val="auto"/>
              </w:rPr>
              <w:t>By-Laws</w:t>
            </w:r>
          </w:p>
        </w:tc>
        <w:tc>
          <w:tcPr>
            <w:tcW w:w="2520" w:type="dxa"/>
            <w:vAlign w:val="bottom"/>
          </w:tcPr>
          <w:p>
            <w:pPr>
              <w:jc w:val="right"/>
              <w:spacing w:after="0"/>
              <w:rPr>
                <w:sz w:val="20"/>
                <w:szCs w:val="20"/>
                <w:color w:val="auto"/>
              </w:rPr>
            </w:pPr>
            <w:r>
              <w:rPr>
                <w:rFonts w:ascii="Arial" w:cs="Arial" w:eastAsia="Arial" w:hAnsi="Arial"/>
                <w:sz w:val="18"/>
                <w:szCs w:val="18"/>
                <w:color w:val="auto"/>
              </w:rPr>
              <w:t>Page i</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1" w:name="page382"/>
    <w:bookmarkEnd w:id="381"/>
    <w:tbl>
      <w:tblPr>
        <w:tblLayout w:type="fixed"/>
        <w:tblInd w:w="0" w:type="dxa"/>
        <w:tblCellMar>
          <w:top w:w="0" w:type="dxa"/>
          <w:left w:w="0" w:type="dxa"/>
          <w:bottom w:w="0" w:type="dxa"/>
          <w:right w:w="0" w:type="dxa"/>
        </w:tblCellMar>
      </w:tblPr>
      <w:tr>
        <w:trPr>
          <w:trHeight w:val="207"/>
        </w:trPr>
        <w:tc>
          <w:tcPr>
            <w:tcW w:w="9160" w:type="dxa"/>
            <w:vAlign w:val="bottom"/>
            <w:gridSpan w:val="32"/>
          </w:tcPr>
          <w:p>
            <w:pPr>
              <w:spacing w:after="0"/>
              <w:rPr>
                <w:sz w:val="20"/>
                <w:szCs w:val="20"/>
                <w:color w:val="auto"/>
              </w:rPr>
            </w:pPr>
            <w:r>
              <w:rPr>
                <w:rFonts w:ascii="Arial" w:cs="Arial" w:eastAsia="Arial" w:hAnsi="Arial"/>
                <w:sz w:val="18"/>
                <w:szCs w:val="18"/>
                <w:b w:val="1"/>
                <w:bCs w:val="1"/>
                <w:color w:val="auto"/>
              </w:rPr>
              <w:t>ARTICLE V. DIVIDENDS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14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ECTION</w:t>
            </w:r>
            <w:r>
              <w:rPr>
                <w:rFonts w:ascii="Arial" w:cs="Arial" w:eastAsia="Arial" w:hAnsi="Arial"/>
                <w:sz w:val="18"/>
                <w:szCs w:val="18"/>
                <w:color w:val="auto"/>
                <w:w w:val="98"/>
              </w:rPr>
              <w:t xml:space="preserve"> 5.1. D</w:t>
            </w:r>
            <w:r>
              <w:rPr>
                <w:rFonts w:ascii="Arial" w:cs="Arial" w:eastAsia="Arial" w:hAnsi="Arial"/>
                <w:sz w:val="14"/>
                <w:szCs w:val="14"/>
                <w:color w:val="auto"/>
                <w:w w:val="98"/>
              </w:rPr>
              <w:t>ECLARATION OF</w:t>
            </w:r>
            <w:r>
              <w:rPr>
                <w:rFonts w:ascii="Arial" w:cs="Arial" w:eastAsia="Arial" w:hAnsi="Arial"/>
                <w:sz w:val="18"/>
                <w:szCs w:val="18"/>
                <w:color w:val="auto"/>
                <w:w w:val="98"/>
              </w:rPr>
              <w:t xml:space="preserve"> D</w:t>
            </w:r>
            <w:r>
              <w:rPr>
                <w:rFonts w:ascii="Arial" w:cs="Arial" w:eastAsia="Arial" w:hAnsi="Arial"/>
                <w:sz w:val="14"/>
                <w:szCs w:val="14"/>
                <w:color w:val="auto"/>
                <w:w w:val="98"/>
              </w:rPr>
              <w:t>IVIDENDS</w:t>
            </w:r>
          </w:p>
        </w:tc>
        <w:tc>
          <w:tcPr>
            <w:tcW w:w="5660" w:type="dxa"/>
            <w:vAlign w:val="bottom"/>
            <w:gridSpan w:val="17"/>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800" w:type="dxa"/>
            <w:vAlign w:val="bottom"/>
            <w:gridSpan w:val="3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 R</w:t>
            </w:r>
            <w:r>
              <w:rPr>
                <w:rFonts w:ascii="Arial" w:cs="Arial" w:eastAsia="Arial" w:hAnsi="Arial"/>
                <w:sz w:val="14"/>
                <w:szCs w:val="14"/>
                <w:color w:val="auto"/>
              </w:rPr>
              <w:t>ESERVES</w:t>
            </w: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940" w:type="dxa"/>
            <w:vAlign w:val="bottom"/>
            <w:tcBorders>
              <w:bottom w:val="single" w:sz="8" w:color="auto"/>
            </w:tcBorders>
            <w:gridSpan w:val="30"/>
          </w:tcPr>
          <w:p>
            <w:pPr>
              <w:spacing w:after="0"/>
              <w:rPr>
                <w:sz w:val="20"/>
                <w:szCs w:val="20"/>
                <w:color w:val="auto"/>
              </w:rPr>
            </w:pPr>
            <w:r>
              <w:rPr>
                <w:rFonts w:ascii="Arial" w:cs="Arial" w:eastAsia="Arial" w:hAnsi="Arial"/>
                <w:sz w:val="18"/>
                <w:szCs w:val="18"/>
                <w:b w:val="1"/>
                <w:bCs w:val="1"/>
                <w:color w:val="auto"/>
              </w:rPr>
              <w:t>ARTICLE VI. POWERS OF OFFICERS TO CONTRACT WITH THE CORPORATION</w:t>
            </w:r>
          </w:p>
        </w:tc>
        <w:tc>
          <w:tcPr>
            <w:tcW w:w="2220" w:type="dxa"/>
            <w:vAlign w:val="bottom"/>
            <w:gridSpan w:val="2"/>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80" w:type="dxa"/>
            <w:vAlign w:val="bottom"/>
            <w:tcBorders>
              <w:bottom w:val="single" w:sz="8" w:color="auto"/>
            </w:tcBorders>
            <w:gridSpan w:val="11"/>
          </w:tcPr>
          <w:p>
            <w:pPr>
              <w:spacing w:after="0"/>
              <w:rPr>
                <w:sz w:val="20"/>
                <w:szCs w:val="20"/>
                <w:color w:val="auto"/>
              </w:rPr>
            </w:pPr>
            <w:r>
              <w:rPr>
                <w:rFonts w:ascii="Arial" w:cs="Arial" w:eastAsia="Arial" w:hAnsi="Arial"/>
                <w:sz w:val="18"/>
                <w:szCs w:val="18"/>
                <w:b w:val="1"/>
                <w:bCs w:val="1"/>
                <w:color w:val="auto"/>
              </w:rPr>
              <w:t>ARTICLE VII INDEMNIFICATION</w:t>
            </w:r>
          </w:p>
        </w:tc>
        <w:tc>
          <w:tcPr>
            <w:tcW w:w="6280" w:type="dxa"/>
            <w:vAlign w:val="bottom"/>
            <w:gridSpan w:val="21"/>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8800" w:type="dxa"/>
            <w:vAlign w:val="bottom"/>
            <w:gridSpan w:val="31"/>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 D</w:t>
            </w:r>
            <w:r>
              <w:rPr>
                <w:rFonts w:ascii="Arial" w:cs="Arial" w:eastAsia="Arial" w:hAnsi="Arial"/>
                <w:sz w:val="14"/>
                <w:szCs w:val="14"/>
                <w:color w:val="auto"/>
              </w:rPr>
              <w:t>EFINITIONS</w:t>
            </w:r>
          </w:p>
        </w:tc>
        <w:tc>
          <w:tcPr>
            <w:tcW w:w="18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9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800" w:type="dxa"/>
            <w:vAlign w:val="bottom"/>
            <w:gridSpan w:val="3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7.2. R</w:t>
            </w:r>
            <w:r>
              <w:rPr>
                <w:rFonts w:ascii="Arial" w:cs="Arial" w:eastAsia="Arial" w:hAnsi="Arial"/>
                <w:sz w:val="14"/>
                <w:szCs w:val="14"/>
                <w:color w:val="auto"/>
              </w:rPr>
              <w:t>IGHT TO</w:t>
            </w:r>
            <w:r>
              <w:rPr>
                <w:rFonts w:ascii="Arial" w:cs="Arial" w:eastAsia="Arial" w:hAnsi="Arial"/>
                <w:sz w:val="18"/>
                <w:szCs w:val="18"/>
                <w:color w:val="auto"/>
              </w:rPr>
              <w:t xml:space="preserve"> I</w:t>
            </w:r>
            <w:r>
              <w:rPr>
                <w:rFonts w:ascii="Arial" w:cs="Arial" w:eastAsia="Arial" w:hAnsi="Arial"/>
                <w:sz w:val="14"/>
                <w:szCs w:val="14"/>
                <w:color w:val="auto"/>
              </w:rPr>
              <w:t>NDEMNIFICATION IN</w:t>
            </w:r>
            <w:r>
              <w:rPr>
                <w:rFonts w:ascii="Arial" w:cs="Arial" w:eastAsia="Arial" w:hAnsi="Arial"/>
                <w:sz w:val="18"/>
                <w:szCs w:val="18"/>
                <w:color w:val="auto"/>
              </w:rPr>
              <w:t xml:space="preserve"> G</w:t>
            </w:r>
            <w:r>
              <w:rPr>
                <w:rFonts w:ascii="Arial" w:cs="Arial" w:eastAsia="Arial" w:hAnsi="Arial"/>
                <w:sz w:val="14"/>
                <w:szCs w:val="14"/>
                <w:color w:val="auto"/>
              </w:rPr>
              <w:t>ENERAL</w:t>
            </w: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96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460" w:type="dxa"/>
            <w:vAlign w:val="bottom"/>
            <w:tcBorders>
              <w:bottom w:val="single" w:sz="8" w:color="auto"/>
            </w:tcBorders>
            <w:gridSpan w:val="30"/>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7.3. P</w:t>
            </w:r>
            <w:r>
              <w:rPr>
                <w:rFonts w:ascii="Arial" w:cs="Arial" w:eastAsia="Arial" w:hAnsi="Arial"/>
                <w:sz w:val="14"/>
                <w:szCs w:val="14"/>
                <w:color w:val="auto"/>
              </w:rPr>
              <w:t>ROCEEDINGS</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T</w:t>
            </w:r>
            <w:r>
              <w:rPr>
                <w:rFonts w:ascii="Arial" w:cs="Arial" w:eastAsia="Arial" w:hAnsi="Arial"/>
                <w:sz w:val="14"/>
                <w:szCs w:val="14"/>
                <w:color w:val="auto"/>
              </w:rPr>
              <w:t>HAN</w:t>
            </w:r>
            <w:r>
              <w:rPr>
                <w:rFonts w:ascii="Arial" w:cs="Arial" w:eastAsia="Arial" w:hAnsi="Arial"/>
                <w:sz w:val="18"/>
                <w:szCs w:val="18"/>
                <w:color w:val="auto"/>
              </w:rPr>
              <w:t xml:space="preserve"> P</w:t>
            </w:r>
            <w:r>
              <w:rPr>
                <w:rFonts w:ascii="Arial" w:cs="Arial" w:eastAsia="Arial" w:hAnsi="Arial"/>
                <w:sz w:val="14"/>
                <w:szCs w:val="14"/>
                <w:color w:val="auto"/>
              </w:rPr>
              <w:t>ROCEEDINGS BY OR IN THE</w:t>
            </w:r>
            <w:r>
              <w:rPr>
                <w:rFonts w:ascii="Arial" w:cs="Arial" w:eastAsia="Arial" w:hAnsi="Arial"/>
                <w:sz w:val="18"/>
                <w:szCs w:val="18"/>
                <w:color w:val="auto"/>
              </w:rPr>
              <w:t xml:space="preserve"> R</w:t>
            </w:r>
            <w:r>
              <w:rPr>
                <w:rFonts w:ascii="Arial" w:cs="Arial" w:eastAsia="Arial" w:hAnsi="Arial"/>
                <w:sz w:val="14"/>
                <w:szCs w:val="14"/>
                <w:color w:val="auto"/>
              </w:rPr>
              <w:t>IGHT OF THE</w:t>
            </w:r>
            <w:r>
              <w:rPr>
                <w:rFonts w:ascii="Arial" w:cs="Arial" w:eastAsia="Arial" w:hAnsi="Arial"/>
                <w:sz w:val="18"/>
                <w:szCs w:val="18"/>
                <w:color w:val="auto"/>
              </w:rPr>
              <w:t xml:space="preserve"> C</w:t>
            </w:r>
            <w:r>
              <w:rPr>
                <w:rFonts w:ascii="Arial" w:cs="Arial" w:eastAsia="Arial" w:hAnsi="Arial"/>
                <w:sz w:val="14"/>
                <w:szCs w:val="14"/>
                <w:color w:val="auto"/>
              </w:rPr>
              <w:t>ORPORATION</w:t>
            </w:r>
          </w:p>
        </w:tc>
        <w:tc>
          <w:tcPr>
            <w:tcW w:w="1340" w:type="dxa"/>
            <w:vAlign w:val="bottom"/>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34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7.4. P</w:t>
            </w:r>
            <w:r>
              <w:rPr>
                <w:rFonts w:ascii="Arial" w:cs="Arial" w:eastAsia="Arial" w:hAnsi="Arial"/>
                <w:sz w:val="14"/>
                <w:szCs w:val="14"/>
                <w:color w:val="auto"/>
              </w:rPr>
              <w:t>ROCEEDINGS BY OR IN THE</w:t>
            </w:r>
            <w:r>
              <w:rPr>
                <w:rFonts w:ascii="Arial" w:cs="Arial" w:eastAsia="Arial" w:hAnsi="Arial"/>
                <w:sz w:val="18"/>
                <w:szCs w:val="18"/>
                <w:color w:val="auto"/>
              </w:rPr>
              <w:t xml:space="preserve"> R</w:t>
            </w:r>
            <w:r>
              <w:rPr>
                <w:rFonts w:ascii="Arial" w:cs="Arial" w:eastAsia="Arial" w:hAnsi="Arial"/>
                <w:sz w:val="14"/>
                <w:szCs w:val="14"/>
                <w:color w:val="auto"/>
              </w:rPr>
              <w:t>IGHT OF</w:t>
            </w:r>
            <w:r>
              <w:rPr>
                <w:rFonts w:ascii="Arial" w:cs="Arial" w:eastAsia="Arial" w:hAnsi="Arial"/>
                <w:sz w:val="18"/>
                <w:szCs w:val="18"/>
                <w:color w:val="auto"/>
              </w:rPr>
              <w:t xml:space="preserve"> T</w:t>
            </w:r>
            <w:r>
              <w:rPr>
                <w:rFonts w:ascii="Arial" w:cs="Arial" w:eastAsia="Arial" w:hAnsi="Arial"/>
                <w:sz w:val="14"/>
                <w:szCs w:val="14"/>
                <w:color w:val="auto"/>
              </w:rPr>
              <w:t>HE</w:t>
            </w:r>
            <w:r>
              <w:rPr>
                <w:rFonts w:ascii="Arial" w:cs="Arial" w:eastAsia="Arial" w:hAnsi="Arial"/>
                <w:sz w:val="18"/>
                <w:szCs w:val="18"/>
                <w:color w:val="auto"/>
              </w:rPr>
              <w:t xml:space="preserve"> C</w:t>
            </w:r>
            <w:r>
              <w:rPr>
                <w:rFonts w:ascii="Arial" w:cs="Arial" w:eastAsia="Arial" w:hAnsi="Arial"/>
                <w:sz w:val="14"/>
                <w:szCs w:val="14"/>
                <w:color w:val="auto"/>
              </w:rPr>
              <w:t>ORPORATION</w:t>
            </w:r>
          </w:p>
        </w:tc>
        <w:tc>
          <w:tcPr>
            <w:tcW w:w="3460" w:type="dxa"/>
            <w:vAlign w:val="bottom"/>
            <w:gridSpan w:val="4"/>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800" w:type="dxa"/>
            <w:vAlign w:val="bottom"/>
            <w:gridSpan w:val="3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7.5. I</w:t>
            </w:r>
            <w:r>
              <w:rPr>
                <w:rFonts w:ascii="Arial" w:cs="Arial" w:eastAsia="Arial" w:hAnsi="Arial"/>
                <w:sz w:val="14"/>
                <w:szCs w:val="14"/>
                <w:color w:val="auto"/>
              </w:rPr>
              <w:t>NDEMNIFICATION OF A</w:t>
            </w:r>
            <w:r>
              <w:rPr>
                <w:rFonts w:ascii="Arial" w:cs="Arial" w:eastAsia="Arial" w:hAnsi="Arial"/>
                <w:sz w:val="18"/>
                <w:szCs w:val="18"/>
                <w:color w:val="auto"/>
              </w:rPr>
              <w:t xml:space="preserve"> P</w:t>
            </w:r>
            <w:r>
              <w:rPr>
                <w:rFonts w:ascii="Arial" w:cs="Arial" w:eastAsia="Arial" w:hAnsi="Arial"/>
                <w:sz w:val="14"/>
                <w:szCs w:val="14"/>
                <w:color w:val="auto"/>
              </w:rPr>
              <w:t>ARTY</w:t>
            </w:r>
            <w:r>
              <w:rPr>
                <w:rFonts w:ascii="Arial" w:cs="Arial" w:eastAsia="Arial" w:hAnsi="Arial"/>
                <w:sz w:val="18"/>
                <w:szCs w:val="18"/>
                <w:color w:val="auto"/>
              </w:rPr>
              <w:t xml:space="preserve"> W</w:t>
            </w:r>
            <w:r>
              <w:rPr>
                <w:rFonts w:ascii="Arial" w:cs="Arial" w:eastAsia="Arial" w:hAnsi="Arial"/>
                <w:sz w:val="14"/>
                <w:szCs w:val="14"/>
                <w:color w:val="auto"/>
              </w:rPr>
              <w:t>HO IS</w:t>
            </w:r>
            <w:r>
              <w:rPr>
                <w:rFonts w:ascii="Arial" w:cs="Arial" w:eastAsia="Arial" w:hAnsi="Arial"/>
                <w:sz w:val="18"/>
                <w:szCs w:val="18"/>
                <w:color w:val="auto"/>
              </w:rPr>
              <w:t xml:space="preserve"> W</w:t>
            </w:r>
            <w:r>
              <w:rPr>
                <w:rFonts w:ascii="Arial" w:cs="Arial" w:eastAsia="Arial" w:hAnsi="Arial"/>
                <w:sz w:val="14"/>
                <w:szCs w:val="14"/>
                <w:color w:val="auto"/>
              </w:rPr>
              <w:t>HOLLY OR</w:t>
            </w:r>
            <w:r>
              <w:rPr>
                <w:rFonts w:ascii="Arial" w:cs="Arial" w:eastAsia="Arial" w:hAnsi="Arial"/>
                <w:sz w:val="18"/>
                <w:szCs w:val="18"/>
                <w:color w:val="auto"/>
              </w:rPr>
              <w:t xml:space="preserve"> P</w:t>
            </w:r>
            <w:r>
              <w:rPr>
                <w:rFonts w:ascii="Arial" w:cs="Arial" w:eastAsia="Arial" w:hAnsi="Arial"/>
                <w:sz w:val="14"/>
                <w:szCs w:val="14"/>
                <w:color w:val="auto"/>
              </w:rPr>
              <w:t>ARTLY</w:t>
            </w:r>
            <w:r>
              <w:rPr>
                <w:rFonts w:ascii="Arial" w:cs="Arial" w:eastAsia="Arial" w:hAnsi="Arial"/>
                <w:sz w:val="18"/>
                <w:szCs w:val="18"/>
                <w:color w:val="auto"/>
              </w:rPr>
              <w:t xml:space="preserve"> S</w:t>
            </w:r>
            <w:r>
              <w:rPr>
                <w:rFonts w:ascii="Arial" w:cs="Arial" w:eastAsia="Arial" w:hAnsi="Arial"/>
                <w:sz w:val="14"/>
                <w:szCs w:val="14"/>
                <w:color w:val="auto"/>
              </w:rPr>
              <w:t>UCCESSFUL</w:t>
            </w: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620" w:type="dxa"/>
            <w:vAlign w:val="bottom"/>
            <w:tcBorders>
              <w:top w:val="single" w:sz="8" w:color="auto"/>
              <w:bottom w:val="single" w:sz="8" w:color="auto"/>
            </w:tcBorders>
            <w:gridSpan w:val="2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7.6. I</w:t>
            </w:r>
            <w:r>
              <w:rPr>
                <w:rFonts w:ascii="Arial" w:cs="Arial" w:eastAsia="Arial" w:hAnsi="Arial"/>
                <w:sz w:val="14"/>
                <w:szCs w:val="14"/>
                <w:color w:val="auto"/>
              </w:rPr>
              <w:t>NDEMNIFICATION</w:t>
            </w:r>
            <w:r>
              <w:rPr>
                <w:rFonts w:ascii="Arial" w:cs="Arial" w:eastAsia="Arial" w:hAnsi="Arial"/>
                <w:sz w:val="18"/>
                <w:szCs w:val="18"/>
                <w:color w:val="auto"/>
              </w:rPr>
              <w:t xml:space="preserve"> F</w:t>
            </w:r>
            <w:r>
              <w:rPr>
                <w:rFonts w:ascii="Arial" w:cs="Arial" w:eastAsia="Arial" w:hAnsi="Arial"/>
                <w:sz w:val="14"/>
                <w:szCs w:val="14"/>
                <w:color w:val="auto"/>
              </w:rPr>
              <w:t>OR</w:t>
            </w:r>
            <w:r>
              <w:rPr>
                <w:rFonts w:ascii="Arial" w:cs="Arial" w:eastAsia="Arial" w:hAnsi="Arial"/>
                <w:sz w:val="18"/>
                <w:szCs w:val="18"/>
                <w:color w:val="auto"/>
              </w:rPr>
              <w:t xml:space="preserve"> E</w:t>
            </w:r>
            <w:r>
              <w:rPr>
                <w:rFonts w:ascii="Arial" w:cs="Arial" w:eastAsia="Arial" w:hAnsi="Arial"/>
                <w:sz w:val="14"/>
                <w:szCs w:val="14"/>
                <w:color w:val="auto"/>
              </w:rPr>
              <w:t>XPENSES OF A</w:t>
            </w:r>
            <w:r>
              <w:rPr>
                <w:rFonts w:ascii="Arial" w:cs="Arial" w:eastAsia="Arial" w:hAnsi="Arial"/>
                <w:sz w:val="18"/>
                <w:szCs w:val="18"/>
                <w:color w:val="auto"/>
              </w:rPr>
              <w:t xml:space="preserve"> W</w:t>
            </w:r>
            <w:r>
              <w:rPr>
                <w:rFonts w:ascii="Arial" w:cs="Arial" w:eastAsia="Arial" w:hAnsi="Arial"/>
                <w:sz w:val="14"/>
                <w:szCs w:val="14"/>
                <w:color w:val="auto"/>
              </w:rPr>
              <w:t>ITNESS</w:t>
            </w:r>
          </w:p>
        </w:tc>
        <w:tc>
          <w:tcPr>
            <w:tcW w:w="1840" w:type="dxa"/>
            <w:vAlign w:val="bottom"/>
            <w:tcBorders>
              <w:top w:val="single" w:sz="8" w:color="auto"/>
            </w:tcBorders>
            <w:gridSpan w:val="2"/>
          </w:tcPr>
          <w:p>
            <w:pPr>
              <w:spacing w:after="0"/>
              <w:rPr>
                <w:sz w:val="17"/>
                <w:szCs w:val="17"/>
                <w:color w:val="auto"/>
              </w:rPr>
            </w:pPr>
          </w:p>
        </w:tc>
        <w:tc>
          <w:tcPr>
            <w:tcW w:w="2340" w:type="dxa"/>
            <w:vAlign w:val="bottom"/>
            <w:gridSpan w:val="3"/>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800" w:type="dxa"/>
            <w:vAlign w:val="bottom"/>
            <w:gridSpan w:val="3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7.7. A</w:t>
            </w:r>
            <w:r>
              <w:rPr>
                <w:rFonts w:ascii="Arial" w:cs="Arial" w:eastAsia="Arial" w:hAnsi="Arial"/>
                <w:sz w:val="14"/>
                <w:szCs w:val="14"/>
                <w:color w:val="auto"/>
              </w:rPr>
              <w:t>DVANCEMENT OF</w:t>
            </w:r>
            <w:r>
              <w:rPr>
                <w:rFonts w:ascii="Arial" w:cs="Arial" w:eastAsia="Arial" w:hAnsi="Arial"/>
                <w:sz w:val="18"/>
                <w:szCs w:val="18"/>
                <w:color w:val="auto"/>
              </w:rPr>
              <w:t xml:space="preserve"> E</w:t>
            </w:r>
            <w:r>
              <w:rPr>
                <w:rFonts w:ascii="Arial" w:cs="Arial" w:eastAsia="Arial" w:hAnsi="Arial"/>
                <w:sz w:val="14"/>
                <w:szCs w:val="14"/>
                <w:color w:val="auto"/>
              </w:rPr>
              <w:t>XPENSES</w:t>
            </w: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96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800" w:type="dxa"/>
            <w:vAlign w:val="bottom"/>
            <w:gridSpan w:val="3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7.8. N</w:t>
            </w:r>
            <w:r>
              <w:rPr>
                <w:rFonts w:ascii="Arial" w:cs="Arial" w:eastAsia="Arial" w:hAnsi="Arial"/>
                <w:sz w:val="14"/>
                <w:szCs w:val="14"/>
                <w:color w:val="auto"/>
              </w:rPr>
              <w:t>OTIFICATION AND</w:t>
            </w:r>
            <w:r>
              <w:rPr>
                <w:rFonts w:ascii="Arial" w:cs="Arial" w:eastAsia="Arial" w:hAnsi="Arial"/>
                <w:sz w:val="18"/>
                <w:szCs w:val="18"/>
                <w:color w:val="auto"/>
              </w:rPr>
              <w:t xml:space="preserve"> D</w:t>
            </w:r>
            <w:r>
              <w:rPr>
                <w:rFonts w:ascii="Arial" w:cs="Arial" w:eastAsia="Arial" w:hAnsi="Arial"/>
                <w:sz w:val="14"/>
                <w:szCs w:val="14"/>
                <w:color w:val="auto"/>
              </w:rPr>
              <w:t>EFENSE OF</w:t>
            </w:r>
            <w:r>
              <w:rPr>
                <w:rFonts w:ascii="Arial" w:cs="Arial" w:eastAsia="Arial" w:hAnsi="Arial"/>
                <w:sz w:val="18"/>
                <w:szCs w:val="18"/>
                <w:color w:val="auto"/>
              </w:rPr>
              <w:t xml:space="preserve"> C</w:t>
            </w:r>
            <w:r>
              <w:rPr>
                <w:rFonts w:ascii="Arial" w:cs="Arial" w:eastAsia="Arial" w:hAnsi="Arial"/>
                <w:sz w:val="14"/>
                <w:szCs w:val="14"/>
                <w:color w:val="auto"/>
              </w:rPr>
              <w:t>LAIM</w:t>
            </w: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0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7.9. P</w:t>
            </w:r>
            <w:r>
              <w:rPr>
                <w:rFonts w:ascii="Arial" w:cs="Arial" w:eastAsia="Arial" w:hAnsi="Arial"/>
                <w:sz w:val="14"/>
                <w:szCs w:val="14"/>
                <w:color w:val="auto"/>
                <w:w w:val="95"/>
              </w:rPr>
              <w:t>ROCEDURES</w:t>
            </w:r>
          </w:p>
        </w:tc>
        <w:tc>
          <w:tcPr>
            <w:tcW w:w="1940" w:type="dxa"/>
            <w:vAlign w:val="bottom"/>
            <w:tcBorders>
              <w:top w:val="single" w:sz="8" w:color="auto"/>
            </w:tcBorders>
            <w:gridSpan w:val="19"/>
          </w:tcPr>
          <w:p>
            <w:pPr>
              <w:spacing w:after="0"/>
              <w:rPr>
                <w:sz w:val="17"/>
                <w:szCs w:val="17"/>
                <w:color w:val="auto"/>
              </w:rPr>
            </w:pPr>
          </w:p>
        </w:tc>
        <w:tc>
          <w:tcPr>
            <w:tcW w:w="4860" w:type="dxa"/>
            <w:vAlign w:val="bottom"/>
            <w:gridSpan w:val="8"/>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800" w:type="dxa"/>
            <w:vAlign w:val="bottom"/>
            <w:gridSpan w:val="3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7.10. A</w:t>
            </w:r>
            <w:r>
              <w:rPr>
                <w:rFonts w:ascii="Arial" w:cs="Arial" w:eastAsia="Arial" w:hAnsi="Arial"/>
                <w:sz w:val="14"/>
                <w:szCs w:val="14"/>
                <w:color w:val="auto"/>
              </w:rPr>
              <w:t>CTION BY THE</w:t>
            </w:r>
            <w:r>
              <w:rPr>
                <w:rFonts w:ascii="Arial" w:cs="Arial" w:eastAsia="Arial" w:hAnsi="Arial"/>
                <w:sz w:val="18"/>
                <w:szCs w:val="18"/>
                <w:color w:val="auto"/>
              </w:rPr>
              <w:t xml:space="preserve"> C</w:t>
            </w:r>
            <w:r>
              <w:rPr>
                <w:rFonts w:ascii="Arial" w:cs="Arial" w:eastAsia="Arial" w:hAnsi="Arial"/>
                <w:sz w:val="14"/>
                <w:szCs w:val="14"/>
                <w:color w:val="auto"/>
              </w:rPr>
              <w:t>ORPORATION</w:t>
            </w: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380" w:type="dxa"/>
            <w:vAlign w:val="bottom"/>
            <w:tcBorders>
              <w:top w:val="single" w:sz="8" w:color="auto"/>
            </w:tcBorders>
            <w:gridSpan w:val="19"/>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7.11. N</w:t>
            </w:r>
            <w:r>
              <w:rPr>
                <w:rFonts w:ascii="Arial" w:cs="Arial" w:eastAsia="Arial" w:hAnsi="Arial"/>
                <w:sz w:val="14"/>
                <w:szCs w:val="14"/>
                <w:color w:val="auto"/>
              </w:rPr>
              <w:t>ON</w:t>
            </w:r>
            <w:r>
              <w:rPr>
                <w:rFonts w:ascii="Arial" w:cs="Arial" w:eastAsia="Arial" w:hAnsi="Arial"/>
                <w:sz w:val="18"/>
                <w:szCs w:val="18"/>
                <w:color w:val="auto"/>
              </w:rPr>
              <w:t>-E</w:t>
            </w:r>
            <w:r>
              <w:rPr>
                <w:rFonts w:ascii="Arial" w:cs="Arial" w:eastAsia="Arial" w:hAnsi="Arial"/>
                <w:sz w:val="14"/>
                <w:szCs w:val="14"/>
                <w:color w:val="auto"/>
              </w:rPr>
              <w:t>XCLUSIVITY</w:t>
            </w:r>
          </w:p>
        </w:tc>
        <w:tc>
          <w:tcPr>
            <w:tcW w:w="5420" w:type="dxa"/>
            <w:vAlign w:val="bottom"/>
            <w:gridSpan w:val="12"/>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500" w:type="dxa"/>
            <w:vAlign w:val="bottom"/>
            <w:tcBorders>
              <w:top w:val="single" w:sz="8" w:color="auto"/>
            </w:tcBorders>
            <w:gridSpan w:val="9"/>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7.12. I</w:t>
            </w:r>
            <w:r>
              <w:rPr>
                <w:rFonts w:ascii="Arial" w:cs="Arial" w:eastAsia="Arial" w:hAnsi="Arial"/>
                <w:sz w:val="14"/>
                <w:szCs w:val="14"/>
                <w:color w:val="auto"/>
              </w:rPr>
              <w:t>NSURANCE</w:t>
            </w:r>
          </w:p>
        </w:tc>
        <w:tc>
          <w:tcPr>
            <w:tcW w:w="6300" w:type="dxa"/>
            <w:vAlign w:val="bottom"/>
            <w:gridSpan w:val="22"/>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96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800" w:type="dxa"/>
            <w:vAlign w:val="bottom"/>
            <w:gridSpan w:val="3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7.13. N</w:t>
            </w:r>
            <w:r>
              <w:rPr>
                <w:rFonts w:ascii="Arial" w:cs="Arial" w:eastAsia="Arial" w:hAnsi="Arial"/>
                <w:sz w:val="14"/>
                <w:szCs w:val="14"/>
                <w:color w:val="auto"/>
              </w:rPr>
              <w:t>O</w:t>
            </w:r>
            <w:r>
              <w:rPr>
                <w:rFonts w:ascii="Arial" w:cs="Arial" w:eastAsia="Arial" w:hAnsi="Arial"/>
                <w:sz w:val="18"/>
                <w:szCs w:val="18"/>
                <w:color w:val="auto"/>
              </w:rPr>
              <w:t xml:space="preserve"> D</w:t>
            </w:r>
            <w:r>
              <w:rPr>
                <w:rFonts w:ascii="Arial" w:cs="Arial" w:eastAsia="Arial" w:hAnsi="Arial"/>
                <w:sz w:val="14"/>
                <w:szCs w:val="14"/>
                <w:color w:val="auto"/>
              </w:rPr>
              <w:t>UPLICATIVE</w:t>
            </w:r>
            <w:r>
              <w:rPr>
                <w:rFonts w:ascii="Arial" w:cs="Arial" w:eastAsia="Arial" w:hAnsi="Arial"/>
                <w:sz w:val="18"/>
                <w:szCs w:val="18"/>
                <w:color w:val="auto"/>
              </w:rPr>
              <w:t xml:space="preserve"> P</w:t>
            </w:r>
            <w:r>
              <w:rPr>
                <w:rFonts w:ascii="Arial" w:cs="Arial" w:eastAsia="Arial" w:hAnsi="Arial"/>
                <w:sz w:val="14"/>
                <w:szCs w:val="14"/>
                <w:color w:val="auto"/>
              </w:rPr>
              <w:t>AYMENT</w:t>
            </w: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20" w:type="dxa"/>
            <w:vAlign w:val="bottom"/>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26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ECTION</w:t>
            </w:r>
            <w:r>
              <w:rPr>
                <w:rFonts w:ascii="Arial" w:cs="Arial" w:eastAsia="Arial" w:hAnsi="Arial"/>
                <w:sz w:val="18"/>
                <w:szCs w:val="18"/>
                <w:color w:val="auto"/>
                <w:w w:val="98"/>
              </w:rPr>
              <w:t xml:space="preserve"> 7.14. E</w:t>
            </w:r>
            <w:r>
              <w:rPr>
                <w:rFonts w:ascii="Arial" w:cs="Arial" w:eastAsia="Arial" w:hAnsi="Arial"/>
                <w:sz w:val="14"/>
                <w:szCs w:val="14"/>
                <w:color w:val="auto"/>
                <w:w w:val="98"/>
              </w:rPr>
              <w:t>XPENSES OF</w:t>
            </w:r>
            <w:r>
              <w:rPr>
                <w:rFonts w:ascii="Arial" w:cs="Arial" w:eastAsia="Arial" w:hAnsi="Arial"/>
                <w:sz w:val="18"/>
                <w:szCs w:val="18"/>
                <w:color w:val="auto"/>
                <w:w w:val="98"/>
              </w:rPr>
              <w:t xml:space="preserve"> A</w:t>
            </w:r>
            <w:r>
              <w:rPr>
                <w:rFonts w:ascii="Arial" w:cs="Arial" w:eastAsia="Arial" w:hAnsi="Arial"/>
                <w:sz w:val="14"/>
                <w:szCs w:val="14"/>
                <w:color w:val="auto"/>
                <w:w w:val="98"/>
              </w:rPr>
              <w:t>DJUDICATION</w:t>
            </w:r>
          </w:p>
        </w:tc>
        <w:tc>
          <w:tcPr>
            <w:tcW w:w="5540" w:type="dxa"/>
            <w:vAlign w:val="bottom"/>
            <w:gridSpan w:val="14"/>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800" w:type="dxa"/>
            <w:vAlign w:val="bottom"/>
            <w:gridSpan w:val="3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7.15. S</w:t>
            </w:r>
            <w:r>
              <w:rPr>
                <w:rFonts w:ascii="Arial" w:cs="Arial" w:eastAsia="Arial" w:hAnsi="Arial"/>
                <w:sz w:val="14"/>
                <w:szCs w:val="14"/>
                <w:color w:val="auto"/>
              </w:rPr>
              <w:t>EVERABILITY</w:t>
            </w: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20" w:type="dxa"/>
            <w:vAlign w:val="bottom"/>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160" w:type="dxa"/>
            <w:vAlign w:val="bottom"/>
            <w:gridSpan w:val="32"/>
          </w:tcPr>
          <w:p>
            <w:pPr>
              <w:spacing w:after="0"/>
              <w:rPr>
                <w:sz w:val="20"/>
                <w:szCs w:val="20"/>
                <w:color w:val="auto"/>
              </w:rPr>
            </w:pPr>
            <w:r>
              <w:rPr>
                <w:rFonts w:ascii="Arial" w:cs="Arial" w:eastAsia="Arial" w:hAnsi="Arial"/>
                <w:sz w:val="18"/>
                <w:szCs w:val="18"/>
                <w:b w:val="1"/>
                <w:bCs w:val="1"/>
                <w:color w:val="auto"/>
              </w:rPr>
              <w:t>ARTICLE VIII. MISCELLANEOUS PROVISIONS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Borders>
              <w:top w:val="single" w:sz="8" w:color="auto"/>
            </w:tcBorders>
          </w:tcPr>
          <w:p>
            <w:pPr>
              <w:spacing w:after="0"/>
              <w:rPr>
                <w:sz w:val="24"/>
                <w:szCs w:val="24"/>
                <w:color w:val="auto"/>
              </w:rPr>
            </w:pPr>
          </w:p>
        </w:tc>
        <w:tc>
          <w:tcPr>
            <w:tcW w:w="3460" w:type="dxa"/>
            <w:vAlign w:val="bottom"/>
            <w:tcBorders>
              <w:top w:val="single" w:sz="8" w:color="auto"/>
              <w:bottom w:val="single" w:sz="8" w:color="auto"/>
            </w:tcBorders>
            <w:gridSpan w:val="20"/>
          </w:tcPr>
          <w:p>
            <w:pPr>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ECTION</w:t>
            </w:r>
            <w:r>
              <w:rPr>
                <w:rFonts w:ascii="Arial" w:cs="Arial" w:eastAsia="Arial" w:hAnsi="Arial"/>
                <w:sz w:val="18"/>
                <w:szCs w:val="18"/>
                <w:color w:val="auto"/>
                <w:w w:val="99"/>
              </w:rPr>
              <w:t xml:space="preserve"> 8.1. C</w:t>
            </w:r>
            <w:r>
              <w:rPr>
                <w:rFonts w:ascii="Arial" w:cs="Arial" w:eastAsia="Arial" w:hAnsi="Arial"/>
                <w:sz w:val="14"/>
                <w:szCs w:val="14"/>
                <w:color w:val="auto"/>
                <w:w w:val="99"/>
              </w:rPr>
              <w:t>ERTIFICATE OF</w:t>
            </w:r>
            <w:r>
              <w:rPr>
                <w:rFonts w:ascii="Arial" w:cs="Arial" w:eastAsia="Arial" w:hAnsi="Arial"/>
                <w:sz w:val="18"/>
                <w:szCs w:val="18"/>
                <w:color w:val="auto"/>
                <w:w w:val="99"/>
              </w:rPr>
              <w:t xml:space="preserve"> I</w:t>
            </w:r>
            <w:r>
              <w:rPr>
                <w:rFonts w:ascii="Arial" w:cs="Arial" w:eastAsia="Arial" w:hAnsi="Arial"/>
                <w:sz w:val="14"/>
                <w:szCs w:val="14"/>
                <w:color w:val="auto"/>
                <w:w w:val="99"/>
              </w:rPr>
              <w:t>NCORPORATION</w:t>
            </w:r>
          </w:p>
        </w:tc>
        <w:tc>
          <w:tcPr>
            <w:tcW w:w="200" w:type="dxa"/>
            <w:vAlign w:val="bottom"/>
            <w:tcBorders>
              <w:top w:val="single" w:sz="8" w:color="auto"/>
            </w:tcBorders>
            <w:gridSpan w:val="2"/>
          </w:tcPr>
          <w:p>
            <w:pPr>
              <w:spacing w:after="0"/>
              <w:rPr>
                <w:sz w:val="24"/>
                <w:szCs w:val="24"/>
                <w:color w:val="auto"/>
              </w:rPr>
            </w:pPr>
          </w:p>
        </w:tc>
        <w:tc>
          <w:tcPr>
            <w:tcW w:w="5140" w:type="dxa"/>
            <w:vAlign w:val="bottom"/>
            <w:gridSpan w:val="9"/>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2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ECTION</w:t>
            </w:r>
            <w:r>
              <w:rPr>
                <w:rFonts w:ascii="Arial" w:cs="Arial" w:eastAsia="Arial" w:hAnsi="Arial"/>
                <w:sz w:val="18"/>
                <w:szCs w:val="18"/>
                <w:color w:val="auto"/>
                <w:w w:val="98"/>
              </w:rPr>
              <w:t xml:space="preserve"> 8.2. F</w:t>
            </w:r>
            <w:r>
              <w:rPr>
                <w:rFonts w:ascii="Arial" w:cs="Arial" w:eastAsia="Arial" w:hAnsi="Arial"/>
                <w:sz w:val="14"/>
                <w:szCs w:val="14"/>
                <w:color w:val="auto"/>
                <w:w w:val="98"/>
              </w:rPr>
              <w:t>ISCAL</w:t>
            </w:r>
            <w:r>
              <w:rPr>
                <w:rFonts w:ascii="Arial" w:cs="Arial" w:eastAsia="Arial" w:hAnsi="Arial"/>
                <w:sz w:val="18"/>
                <w:szCs w:val="18"/>
                <w:color w:val="auto"/>
                <w:w w:val="98"/>
              </w:rPr>
              <w:t xml:space="preserve"> Y</w:t>
            </w:r>
            <w:r>
              <w:rPr>
                <w:rFonts w:ascii="Arial" w:cs="Arial" w:eastAsia="Arial" w:hAnsi="Arial"/>
                <w:sz w:val="14"/>
                <w:szCs w:val="14"/>
                <w:color w:val="auto"/>
                <w:w w:val="98"/>
              </w:rPr>
              <w:t>EAR</w:t>
            </w:r>
          </w:p>
        </w:tc>
        <w:tc>
          <w:tcPr>
            <w:tcW w:w="6780" w:type="dxa"/>
            <w:vAlign w:val="bottom"/>
            <w:gridSpan w:val="26"/>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4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ECTION</w:t>
            </w:r>
            <w:r>
              <w:rPr>
                <w:rFonts w:ascii="Arial" w:cs="Arial" w:eastAsia="Arial" w:hAnsi="Arial"/>
                <w:sz w:val="18"/>
                <w:szCs w:val="18"/>
                <w:color w:val="auto"/>
                <w:w w:val="96"/>
              </w:rPr>
              <w:t xml:space="preserve"> 8.3. C</w:t>
            </w:r>
            <w:r>
              <w:rPr>
                <w:rFonts w:ascii="Arial" w:cs="Arial" w:eastAsia="Arial" w:hAnsi="Arial"/>
                <w:sz w:val="14"/>
                <w:szCs w:val="14"/>
                <w:color w:val="auto"/>
                <w:w w:val="96"/>
              </w:rPr>
              <w:t>ORPORATE</w:t>
            </w:r>
            <w:r>
              <w:rPr>
                <w:rFonts w:ascii="Arial" w:cs="Arial" w:eastAsia="Arial" w:hAnsi="Arial"/>
                <w:sz w:val="18"/>
                <w:szCs w:val="18"/>
                <w:color w:val="auto"/>
                <w:w w:val="96"/>
              </w:rPr>
              <w:t xml:space="preserve"> S</w:t>
            </w:r>
            <w:r>
              <w:rPr>
                <w:rFonts w:ascii="Arial" w:cs="Arial" w:eastAsia="Arial" w:hAnsi="Arial"/>
                <w:sz w:val="14"/>
                <w:szCs w:val="14"/>
                <w:color w:val="auto"/>
                <w:w w:val="96"/>
              </w:rPr>
              <w:t>EAL</w:t>
            </w:r>
          </w:p>
        </w:tc>
        <w:tc>
          <w:tcPr>
            <w:tcW w:w="6460" w:type="dxa"/>
            <w:vAlign w:val="bottom"/>
            <w:gridSpan w:val="23"/>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800" w:type="dxa"/>
            <w:vAlign w:val="bottom"/>
            <w:gridSpan w:val="3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8.4. E</w:t>
            </w:r>
            <w:r>
              <w:rPr>
                <w:rFonts w:ascii="Arial" w:cs="Arial" w:eastAsia="Arial" w:hAnsi="Arial"/>
                <w:sz w:val="14"/>
                <w:szCs w:val="14"/>
                <w:color w:val="auto"/>
              </w:rPr>
              <w:t>XECUTION OF</w:t>
            </w:r>
            <w:r>
              <w:rPr>
                <w:rFonts w:ascii="Arial" w:cs="Arial" w:eastAsia="Arial" w:hAnsi="Arial"/>
                <w:sz w:val="18"/>
                <w:szCs w:val="18"/>
                <w:color w:val="auto"/>
              </w:rPr>
              <w:t xml:space="preserve"> I</w:t>
            </w:r>
            <w:r>
              <w:rPr>
                <w:rFonts w:ascii="Arial" w:cs="Arial" w:eastAsia="Arial" w:hAnsi="Arial"/>
                <w:sz w:val="14"/>
                <w:szCs w:val="14"/>
                <w:color w:val="auto"/>
              </w:rPr>
              <w:t>NSTRUMENTS</w:t>
            </w: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220" w:type="dxa"/>
            <w:vAlign w:val="bottom"/>
            <w:tcBorders>
              <w:top w:val="single" w:sz="8" w:color="auto"/>
            </w:tcBorders>
            <w:gridSpan w:val="15"/>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8.5. V</w:t>
            </w:r>
            <w:r>
              <w:rPr>
                <w:rFonts w:ascii="Arial" w:cs="Arial" w:eastAsia="Arial" w:hAnsi="Arial"/>
                <w:sz w:val="14"/>
                <w:szCs w:val="14"/>
                <w:color w:val="auto"/>
              </w:rPr>
              <w:t>OTING OF</w:t>
            </w:r>
            <w:r>
              <w:rPr>
                <w:rFonts w:ascii="Arial" w:cs="Arial" w:eastAsia="Arial" w:hAnsi="Arial"/>
                <w:sz w:val="18"/>
                <w:szCs w:val="18"/>
                <w:color w:val="auto"/>
              </w:rPr>
              <w:t xml:space="preserve"> S</w:t>
            </w:r>
            <w:r>
              <w:rPr>
                <w:rFonts w:ascii="Arial" w:cs="Arial" w:eastAsia="Arial" w:hAnsi="Arial"/>
                <w:sz w:val="14"/>
                <w:szCs w:val="14"/>
                <w:color w:val="auto"/>
              </w:rPr>
              <w:t>ECURITIES</w:t>
            </w:r>
          </w:p>
        </w:tc>
        <w:tc>
          <w:tcPr>
            <w:tcW w:w="5580" w:type="dxa"/>
            <w:vAlign w:val="bottom"/>
            <w:gridSpan w:val="16"/>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00" w:type="dxa"/>
            <w:vAlign w:val="bottom"/>
            <w:gridSpan w:val="6"/>
            <w:shd w:val="clear" w:color="auto" w:fill="000000"/>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96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8.6. E</w:t>
            </w:r>
            <w:r>
              <w:rPr>
                <w:rFonts w:ascii="Arial" w:cs="Arial" w:eastAsia="Arial" w:hAnsi="Arial"/>
                <w:sz w:val="14"/>
                <w:szCs w:val="14"/>
                <w:color w:val="auto"/>
              </w:rPr>
              <w:t>VIDENCE OF</w:t>
            </w:r>
            <w:r>
              <w:rPr>
                <w:rFonts w:ascii="Arial" w:cs="Arial" w:eastAsia="Arial" w:hAnsi="Arial"/>
                <w:sz w:val="18"/>
                <w:szCs w:val="18"/>
                <w:color w:val="auto"/>
              </w:rPr>
              <w:t xml:space="preserve"> A</w:t>
            </w:r>
            <w:r>
              <w:rPr>
                <w:rFonts w:ascii="Arial" w:cs="Arial" w:eastAsia="Arial" w:hAnsi="Arial"/>
                <w:sz w:val="14"/>
                <w:szCs w:val="14"/>
                <w:color w:val="auto"/>
              </w:rPr>
              <w:t>UTHORITY</w:t>
            </w:r>
          </w:p>
        </w:tc>
        <w:tc>
          <w:tcPr>
            <w:tcW w:w="5840" w:type="dxa"/>
            <w:vAlign w:val="bottom"/>
            <w:gridSpan w:val="18"/>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66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ECTION</w:t>
            </w:r>
            <w:r>
              <w:rPr>
                <w:rFonts w:ascii="Arial" w:cs="Arial" w:eastAsia="Arial" w:hAnsi="Arial"/>
                <w:sz w:val="18"/>
                <w:szCs w:val="18"/>
                <w:color w:val="auto"/>
                <w:w w:val="96"/>
              </w:rPr>
              <w:t xml:space="preserve"> 8.7. C</w:t>
            </w:r>
            <w:r>
              <w:rPr>
                <w:rFonts w:ascii="Arial" w:cs="Arial" w:eastAsia="Arial" w:hAnsi="Arial"/>
                <w:sz w:val="14"/>
                <w:szCs w:val="14"/>
                <w:color w:val="auto"/>
                <w:w w:val="96"/>
              </w:rPr>
              <w:t>ORPORATE</w:t>
            </w:r>
            <w:r>
              <w:rPr>
                <w:rFonts w:ascii="Arial" w:cs="Arial" w:eastAsia="Arial" w:hAnsi="Arial"/>
                <w:sz w:val="18"/>
                <w:szCs w:val="18"/>
                <w:color w:val="auto"/>
                <w:w w:val="96"/>
              </w:rPr>
              <w:t xml:space="preserve"> R</w:t>
            </w:r>
            <w:r>
              <w:rPr>
                <w:rFonts w:ascii="Arial" w:cs="Arial" w:eastAsia="Arial" w:hAnsi="Arial"/>
                <w:sz w:val="14"/>
                <w:szCs w:val="14"/>
                <w:color w:val="auto"/>
                <w:w w:val="96"/>
              </w:rPr>
              <w:t>ECORDS</w:t>
            </w:r>
          </w:p>
        </w:tc>
        <w:tc>
          <w:tcPr>
            <w:tcW w:w="6140" w:type="dxa"/>
            <w:vAlign w:val="bottom"/>
            <w:gridSpan w:val="20"/>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24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8.8. C</w:t>
            </w:r>
            <w:r>
              <w:rPr>
                <w:rFonts w:ascii="Arial" w:cs="Arial" w:eastAsia="Arial" w:hAnsi="Arial"/>
                <w:sz w:val="14"/>
                <w:szCs w:val="14"/>
                <w:color w:val="auto"/>
              </w:rPr>
              <w:t>HARITABLE</w:t>
            </w:r>
            <w:r>
              <w:rPr>
                <w:rFonts w:ascii="Arial" w:cs="Arial" w:eastAsia="Arial" w:hAnsi="Arial"/>
                <w:sz w:val="18"/>
                <w:szCs w:val="18"/>
                <w:color w:val="auto"/>
              </w:rPr>
              <w:t xml:space="preserve"> C</w:t>
            </w:r>
            <w:r>
              <w:rPr>
                <w:rFonts w:ascii="Arial" w:cs="Arial" w:eastAsia="Arial" w:hAnsi="Arial"/>
                <w:sz w:val="14"/>
                <w:szCs w:val="14"/>
                <w:color w:val="auto"/>
              </w:rPr>
              <w:t>ONTRIBUTIONS</w:t>
            </w:r>
          </w:p>
        </w:tc>
        <w:tc>
          <w:tcPr>
            <w:tcW w:w="5560" w:type="dxa"/>
            <w:vAlign w:val="bottom"/>
            <w:gridSpan w:val="15"/>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26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8.9. C</w:t>
            </w:r>
            <w:r>
              <w:rPr>
                <w:rFonts w:ascii="Arial" w:cs="Arial" w:eastAsia="Arial" w:hAnsi="Arial"/>
                <w:sz w:val="14"/>
                <w:szCs w:val="14"/>
                <w:color w:val="auto"/>
              </w:rPr>
              <w:t>OMMUNICATION OF</w:t>
            </w:r>
            <w:r>
              <w:rPr>
                <w:rFonts w:ascii="Arial" w:cs="Arial" w:eastAsia="Arial" w:hAnsi="Arial"/>
                <w:sz w:val="18"/>
                <w:szCs w:val="18"/>
                <w:color w:val="auto"/>
              </w:rPr>
              <w:t xml:space="preserve"> N</w:t>
            </w:r>
            <w:r>
              <w:rPr>
                <w:rFonts w:ascii="Arial" w:cs="Arial" w:eastAsia="Arial" w:hAnsi="Arial"/>
                <w:sz w:val="14"/>
                <w:szCs w:val="14"/>
                <w:color w:val="auto"/>
              </w:rPr>
              <w:t>OTICES</w:t>
            </w:r>
          </w:p>
        </w:tc>
        <w:tc>
          <w:tcPr>
            <w:tcW w:w="5540" w:type="dxa"/>
            <w:vAlign w:val="bottom"/>
            <w:gridSpan w:val="14"/>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800" w:type="dxa"/>
            <w:vAlign w:val="bottom"/>
            <w:gridSpan w:val="3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8.10. E</w:t>
            </w:r>
            <w:r>
              <w:rPr>
                <w:rFonts w:ascii="Arial" w:cs="Arial" w:eastAsia="Arial" w:hAnsi="Arial"/>
                <w:sz w:val="14"/>
                <w:szCs w:val="14"/>
                <w:color w:val="auto"/>
              </w:rPr>
              <w:t>LECTRONIC</w:t>
            </w:r>
            <w:r>
              <w:rPr>
                <w:rFonts w:ascii="Arial" w:cs="Arial" w:eastAsia="Arial" w:hAnsi="Arial"/>
                <w:sz w:val="18"/>
                <w:szCs w:val="18"/>
                <w:color w:val="auto"/>
              </w:rPr>
              <w:t xml:space="preserve"> T</w:t>
            </w:r>
            <w:r>
              <w:rPr>
                <w:rFonts w:ascii="Arial" w:cs="Arial" w:eastAsia="Arial" w:hAnsi="Arial"/>
                <w:sz w:val="14"/>
                <w:szCs w:val="14"/>
                <w:color w:val="auto"/>
              </w:rPr>
              <w:t>RANSMISSIONS</w:t>
            </w: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00" w:type="dxa"/>
            <w:vAlign w:val="bottom"/>
            <w:gridSpan w:val="6"/>
            <w:shd w:val="clear" w:color="auto" w:fill="000000"/>
          </w:tcPr>
          <w:p>
            <w:pPr>
              <w:spacing w:after="0" w:line="20" w:lineRule="exact"/>
              <w:rPr>
                <w:sz w:val="1"/>
                <w:szCs w:val="1"/>
                <w:color w:val="auto"/>
              </w:rPr>
            </w:pPr>
          </w:p>
        </w:tc>
        <w:tc>
          <w:tcPr>
            <w:tcW w:w="1200" w:type="dxa"/>
            <w:vAlign w:val="bottom"/>
            <w:gridSpan w:val="12"/>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160" w:type="dxa"/>
            <w:vAlign w:val="bottom"/>
            <w:gridSpan w:val="32"/>
          </w:tcPr>
          <w:p>
            <w:pPr>
              <w:spacing w:after="0"/>
              <w:rPr>
                <w:sz w:val="20"/>
                <w:szCs w:val="20"/>
                <w:color w:val="auto"/>
              </w:rPr>
            </w:pPr>
            <w:r>
              <w:rPr>
                <w:rFonts w:ascii="Arial" w:cs="Arial" w:eastAsia="Arial" w:hAnsi="Arial"/>
                <w:sz w:val="18"/>
                <w:szCs w:val="18"/>
                <w:b w:val="1"/>
                <w:bCs w:val="1"/>
                <w:color w:val="auto"/>
              </w:rPr>
              <w:t>ARTICLE IX. AMENDMENTS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100" w:type="dxa"/>
            <w:vAlign w:val="bottom"/>
            <w:gridSpan w:val="6"/>
            <w:shd w:val="clear" w:color="auto" w:fill="000000"/>
          </w:tcPr>
          <w:p>
            <w:pPr>
              <w:spacing w:after="0" w:line="20" w:lineRule="exact"/>
              <w:rPr>
                <w:sz w:val="1"/>
                <w:szCs w:val="1"/>
                <w:color w:val="auto"/>
              </w:rPr>
            </w:pPr>
          </w:p>
        </w:tc>
        <w:tc>
          <w:tcPr>
            <w:tcW w:w="1400" w:type="dxa"/>
            <w:vAlign w:val="bottom"/>
            <w:gridSpan w:val="1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500" w:type="dxa"/>
            <w:vAlign w:val="bottom"/>
            <w:tcBorders>
              <w:bottom w:val="single" w:sz="8" w:color="auto"/>
            </w:tcBorders>
            <w:gridSpan w:val="21"/>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9.1. A</w:t>
            </w:r>
            <w:r>
              <w:rPr>
                <w:rFonts w:ascii="Arial" w:cs="Arial" w:eastAsia="Arial" w:hAnsi="Arial"/>
                <w:sz w:val="14"/>
                <w:szCs w:val="14"/>
                <w:color w:val="auto"/>
              </w:rPr>
              <w:t>MENDMENT BY</w:t>
            </w:r>
            <w:r>
              <w:rPr>
                <w:rFonts w:ascii="Arial" w:cs="Arial" w:eastAsia="Arial" w:hAnsi="Arial"/>
                <w:sz w:val="18"/>
                <w:szCs w:val="18"/>
                <w:color w:val="auto"/>
              </w:rPr>
              <w:t xml:space="preserve"> S</w:t>
            </w:r>
            <w:r>
              <w:rPr>
                <w:rFonts w:ascii="Arial" w:cs="Arial" w:eastAsia="Arial" w:hAnsi="Arial"/>
                <w:sz w:val="14"/>
                <w:szCs w:val="14"/>
                <w:color w:val="auto"/>
              </w:rPr>
              <w:t>TOCKHOLDERS</w:t>
            </w:r>
          </w:p>
        </w:tc>
        <w:tc>
          <w:tcPr>
            <w:tcW w:w="5300" w:type="dxa"/>
            <w:vAlign w:val="bottom"/>
            <w:gridSpan w:val="10"/>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50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9.1. A</w:t>
            </w:r>
            <w:r>
              <w:rPr>
                <w:rFonts w:ascii="Arial" w:cs="Arial" w:eastAsia="Arial" w:hAnsi="Arial"/>
                <w:sz w:val="14"/>
                <w:szCs w:val="14"/>
                <w:color w:val="auto"/>
              </w:rPr>
              <w:t>MENDMENT BY</w:t>
            </w:r>
            <w:r>
              <w:rPr>
                <w:rFonts w:ascii="Arial" w:cs="Arial" w:eastAsia="Arial" w:hAnsi="Arial"/>
                <w:sz w:val="18"/>
                <w:szCs w:val="18"/>
                <w:color w:val="auto"/>
              </w:rPr>
              <w:t xml:space="preserve"> S</w:t>
            </w:r>
            <w:r>
              <w:rPr>
                <w:rFonts w:ascii="Arial" w:cs="Arial" w:eastAsia="Arial" w:hAnsi="Arial"/>
                <w:sz w:val="14"/>
                <w:szCs w:val="14"/>
                <w:color w:val="auto"/>
              </w:rPr>
              <w:t>TOCKHOLDERS</w:t>
            </w:r>
          </w:p>
        </w:tc>
        <w:tc>
          <w:tcPr>
            <w:tcW w:w="5300" w:type="dxa"/>
            <w:vAlign w:val="bottom"/>
            <w:gridSpan w:val="10"/>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800" w:type="dxa"/>
            <w:vAlign w:val="bottom"/>
            <w:gridSpan w:val="31"/>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9.2. A</w:t>
            </w:r>
            <w:r>
              <w:rPr>
                <w:rFonts w:ascii="Arial" w:cs="Arial" w:eastAsia="Arial" w:hAnsi="Arial"/>
                <w:sz w:val="14"/>
                <w:szCs w:val="14"/>
                <w:color w:val="auto"/>
              </w:rPr>
              <w:t>MENDMENT BY</w:t>
            </w:r>
            <w:r>
              <w:rPr>
                <w:rFonts w:ascii="Arial" w:cs="Arial" w:eastAsia="Arial" w:hAnsi="Arial"/>
                <w:sz w:val="18"/>
                <w:szCs w:val="18"/>
                <w:color w:val="auto"/>
              </w:rPr>
              <w:t xml:space="preserve"> B</w:t>
            </w:r>
            <w:r>
              <w:rPr>
                <w:rFonts w:ascii="Arial" w:cs="Arial" w:eastAsia="Arial" w:hAnsi="Arial"/>
                <w:sz w:val="14"/>
                <w:szCs w:val="14"/>
                <w:color w:val="auto"/>
              </w:rPr>
              <w:t>OARD OF</w:t>
            </w:r>
            <w:r>
              <w:rPr>
                <w:rFonts w:ascii="Arial" w:cs="Arial" w:eastAsia="Arial" w:hAnsi="Arial"/>
                <w:sz w:val="18"/>
                <w:szCs w:val="18"/>
                <w:color w:val="auto"/>
              </w:rPr>
              <w:t xml:space="preserve"> D</w:t>
            </w:r>
            <w:r>
              <w:rPr>
                <w:rFonts w:ascii="Arial" w:cs="Arial" w:eastAsia="Arial" w:hAnsi="Arial"/>
                <w:sz w:val="14"/>
                <w:szCs w:val="14"/>
                <w:color w:val="auto"/>
              </w:rPr>
              <w:t>IRECTORS</w:t>
            </w: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0" w:type="dxa"/>
            <w:vAlign w:val="bottom"/>
            <w:tcBorders>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9160" w:type="dxa"/>
            <w:vAlign w:val="bottom"/>
            <w:gridSpan w:val="32"/>
          </w:tcPr>
          <w:p>
            <w:pPr>
              <w:spacing w:after="0"/>
              <w:rPr>
                <w:sz w:val="20"/>
                <w:szCs w:val="20"/>
                <w:color w:val="auto"/>
              </w:rPr>
            </w:pPr>
            <w:r>
              <w:rPr>
                <w:rFonts w:ascii="Arial" w:cs="Arial" w:eastAsia="Arial" w:hAnsi="Arial"/>
                <w:sz w:val="18"/>
                <w:szCs w:val="18"/>
                <w:color w:val="auto"/>
              </w:rPr>
              <w:t>By-Laws</w:t>
            </w:r>
          </w:p>
        </w:tc>
        <w:tc>
          <w:tcPr>
            <w:tcW w:w="1860" w:type="dxa"/>
            <w:vAlign w:val="bottom"/>
          </w:tcPr>
          <w:p>
            <w:pPr>
              <w:jc w:val="right"/>
              <w:spacing w:after="0"/>
              <w:rPr>
                <w:sz w:val="20"/>
                <w:szCs w:val="20"/>
                <w:color w:val="auto"/>
              </w:rPr>
            </w:pPr>
            <w:r>
              <w:rPr>
                <w:rFonts w:ascii="Arial" w:cs="Arial" w:eastAsia="Arial" w:hAnsi="Arial"/>
                <w:sz w:val="18"/>
                <w:szCs w:val="18"/>
                <w:color w:val="auto"/>
              </w:rPr>
              <w:t>Page ii</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36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2" w:name="page383"/>
    <w:bookmarkEnd w:id="382"/>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BY-LAWS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OF</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PEERTRANSFER CORPORATION</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ARTICLE 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Stockholders</w:t>
      </w:r>
    </w:p>
    <w:p>
      <w:pPr>
        <w:spacing w:after="0" w:line="225"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u w:val="single" w:color="auto"/>
          <w:color w:val="auto"/>
        </w:rPr>
        <w:t>Section 1.1. Annual Meeting.</w:t>
      </w:r>
      <w:r>
        <w:rPr>
          <w:rFonts w:ascii="Arial" w:cs="Arial" w:eastAsia="Arial" w:hAnsi="Arial"/>
          <w:sz w:val="18"/>
          <w:szCs w:val="18"/>
          <w:color w:val="auto"/>
        </w:rPr>
        <w:t xml:space="preserve"> The annual meeting of the stockholders of the corporation shall be held on such date as shall be fixed by the board of directors, at such time and place within or without the State of Delaware as may be designated in the notice of meeting. If the day fixed for the annual meeting shall fall on a legal holiday, the meeting shall be held on the next succeeding day not a legal holiday. If the annual meeting is omitted on the day herein provided, a special meeting may be held in place thereof, and any business transacted at such special meeting in lieu of annual meeting shall have the same effect as if transacted or held at the annual meeting.</w:t>
      </w:r>
    </w:p>
    <w:p>
      <w:pPr>
        <w:spacing w:after="0" w:line="188" w:lineRule="exact"/>
        <w:rPr>
          <w:sz w:val="20"/>
          <w:szCs w:val="20"/>
          <w:color w:val="auto"/>
        </w:rPr>
      </w:pPr>
    </w:p>
    <w:p>
      <w:pPr>
        <w:ind w:left="4" w:right="320" w:firstLine="440"/>
        <w:spacing w:after="0" w:line="263" w:lineRule="auto"/>
        <w:rPr>
          <w:sz w:val="20"/>
          <w:szCs w:val="20"/>
          <w:color w:val="auto"/>
        </w:rPr>
      </w:pPr>
      <w:r>
        <w:rPr>
          <w:rFonts w:ascii="Arial" w:cs="Arial" w:eastAsia="Arial" w:hAnsi="Arial"/>
          <w:sz w:val="18"/>
          <w:szCs w:val="18"/>
          <w:u w:val="single" w:color="auto"/>
          <w:color w:val="auto"/>
        </w:rPr>
        <w:t>Section 1.2. Special Meetings.</w:t>
      </w:r>
      <w:r>
        <w:rPr>
          <w:rFonts w:ascii="Arial" w:cs="Arial" w:eastAsia="Arial" w:hAnsi="Arial"/>
          <w:sz w:val="18"/>
          <w:szCs w:val="18"/>
          <w:color w:val="auto"/>
        </w:rPr>
        <w:t xml:space="preserve"> Special meetings of the stockholders may be called at any time by the president or by the board of directors. Special meetings of the stockholders shall be held at such time, date and place within or outside of the State of Delaware as may be designated in the notice of such meeting.</w:t>
      </w:r>
    </w:p>
    <w:p>
      <w:pPr>
        <w:spacing w:after="0" w:line="184" w:lineRule="exact"/>
        <w:rPr>
          <w:sz w:val="20"/>
          <w:szCs w:val="20"/>
          <w:color w:val="auto"/>
        </w:rPr>
      </w:pPr>
    </w:p>
    <w:p>
      <w:pPr>
        <w:ind w:left="4" w:right="60" w:firstLine="440"/>
        <w:spacing w:after="0" w:line="293" w:lineRule="auto"/>
        <w:rPr>
          <w:sz w:val="20"/>
          <w:szCs w:val="20"/>
          <w:color w:val="auto"/>
        </w:rPr>
      </w:pPr>
      <w:r>
        <w:rPr>
          <w:rFonts w:ascii="Arial" w:cs="Arial" w:eastAsia="Arial" w:hAnsi="Arial"/>
          <w:sz w:val="16"/>
          <w:szCs w:val="16"/>
          <w:u w:val="single" w:color="auto"/>
          <w:color w:val="auto"/>
        </w:rPr>
        <w:t>Section 1.3. Notice of Meeting.</w:t>
      </w:r>
      <w:r>
        <w:rPr>
          <w:rFonts w:ascii="Arial" w:cs="Arial" w:eastAsia="Arial" w:hAnsi="Arial"/>
          <w:sz w:val="16"/>
          <w:szCs w:val="16"/>
          <w:color w:val="auto"/>
        </w:rPr>
        <w:t xml:space="preserve"> A written notice stating the place, date, and hour of each meeting of the stockholders, and, in the case of a special meeting, the purposes for which the meeting is called, shall be given to each stockholder entitled to vote at such meeting, and to each stockholder who, under the Certificate of Incorporation or these By-laws, is entitled to such notice, by delivering such notice to such person or leaving it at their residence or usual place of business, or by mailing it, postage prepaid, and addressed to such stockholder at his address as it appears upon the books of the corporation, at least ten (10) days and not more than sixty (60) before the meeting. Such notice shall be given by the secretary, an assistant secretary, or any other officer or person designated either by the secretary or by the person or persons calling the meeting.</w:t>
      </w:r>
    </w:p>
    <w:p>
      <w:pPr>
        <w:spacing w:after="0" w:line="164"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The requirement of notice to any stockholder may be waived (i) by a written waiver of notice, executed before or after the meeting by the stockholder or his attorney thereunto duly authorized, and filed with the records of the meeting, (ii) if communication with such stockholder is unlawful,</w:t>
      </w:r>
    </w:p>
    <w:p>
      <w:pPr>
        <w:ind w:left="4" w:right="380" w:hanging="4"/>
        <w:spacing w:after="0" w:line="290" w:lineRule="auto"/>
        <w:tabs>
          <w:tab w:leader="none" w:pos="319" w:val="left"/>
        </w:tabs>
        <w:numPr>
          <w:ilvl w:val="0"/>
          <w:numId w:val="273"/>
        </w:numPr>
        <w:rPr>
          <w:rFonts w:ascii="Arial" w:cs="Arial" w:eastAsia="Arial" w:hAnsi="Arial"/>
          <w:sz w:val="17"/>
          <w:szCs w:val="17"/>
          <w:color w:val="auto"/>
        </w:rPr>
      </w:pPr>
      <w:r>
        <w:rPr>
          <w:rFonts w:ascii="Arial" w:cs="Arial" w:eastAsia="Arial" w:hAnsi="Arial"/>
          <w:sz w:val="17"/>
          <w:szCs w:val="17"/>
          <w:color w:val="auto"/>
        </w:rPr>
        <w:t>by attendance at the meeting without protesting prior thereto or at its commencement the lack of notice, or (iv) as otherwise excepted by law. A waiver of notice of any regular or special meeting of the stockholders need not specify the purposes of the meeting.</w:t>
      </w:r>
    </w:p>
    <w:p>
      <w:pPr>
        <w:spacing w:after="0" w:line="161" w:lineRule="exact"/>
        <w:rPr>
          <w:sz w:val="20"/>
          <w:szCs w:val="20"/>
          <w:color w:val="auto"/>
        </w:rPr>
      </w:pPr>
    </w:p>
    <w:p>
      <w:pPr>
        <w:jc w:val="both"/>
        <w:ind w:left="4" w:right="240" w:firstLine="440"/>
        <w:spacing w:after="0" w:line="311" w:lineRule="auto"/>
        <w:rPr>
          <w:sz w:val="20"/>
          <w:szCs w:val="20"/>
          <w:color w:val="auto"/>
        </w:rPr>
      </w:pPr>
      <w:r>
        <w:rPr>
          <w:rFonts w:ascii="Arial" w:cs="Arial" w:eastAsia="Arial" w:hAnsi="Arial"/>
          <w:sz w:val="16"/>
          <w:szCs w:val="16"/>
          <w:color w:val="auto"/>
        </w:rPr>
        <w:t>If a meeting is adjourned to another time or place, notice need not be given of the adjourned meeting if the time and place are announced at the meeting at which the adjournment is taken, except that if the adjournment is for more than thirty days, or if after the adjournment a new record date is fixed for the adjourned meeting, notice of the adjourned meeting shall be given to each stockholder of record entitled to vote at the meeting.</w:t>
      </w:r>
    </w:p>
    <w:p>
      <w:pPr>
        <w:spacing w:after="0" w:line="149" w:lineRule="exact"/>
        <w:rPr>
          <w:sz w:val="20"/>
          <w:szCs w:val="20"/>
          <w:color w:val="auto"/>
        </w:rPr>
      </w:pPr>
    </w:p>
    <w:p>
      <w:pPr>
        <w:jc w:val="both"/>
        <w:ind w:left="4" w:right="520" w:firstLine="440"/>
        <w:spacing w:after="0" w:line="263" w:lineRule="auto"/>
        <w:rPr>
          <w:sz w:val="20"/>
          <w:szCs w:val="20"/>
          <w:color w:val="auto"/>
        </w:rPr>
      </w:pPr>
      <w:r>
        <w:rPr>
          <w:rFonts w:ascii="Arial" w:cs="Arial" w:eastAsia="Arial" w:hAnsi="Arial"/>
          <w:sz w:val="18"/>
          <w:szCs w:val="18"/>
          <w:u w:val="single" w:color="auto"/>
          <w:color w:val="auto"/>
        </w:rPr>
        <w:t>Section 1.4. Quorum.</w:t>
      </w:r>
      <w:r>
        <w:rPr>
          <w:rFonts w:ascii="Arial" w:cs="Arial" w:eastAsia="Arial" w:hAnsi="Arial"/>
          <w:sz w:val="18"/>
          <w:szCs w:val="18"/>
          <w:color w:val="auto"/>
        </w:rPr>
        <w:t xml:space="preserve"> The holders of a majority in interest of all stock issued, outstanding and entitled to vote at a meeting shall constitute a quorum. Any meeting may be adjourned from time to time by a majority of the votes properly cast upon the question, whether or not a quorum is present.</w:t>
      </w:r>
    </w:p>
    <w:p>
      <w:pPr>
        <w:spacing w:after="0" w:line="130" w:lineRule="exact"/>
        <w:rPr>
          <w:sz w:val="20"/>
          <w:szCs w:val="20"/>
          <w:color w:val="auto"/>
        </w:rPr>
      </w:pPr>
    </w:p>
    <w:p>
      <w:pPr>
        <w:ind w:left="4"/>
        <w:spacing w:after="0"/>
        <w:tabs>
          <w:tab w:leader="none" w:pos="10504"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bookmarkStart w:id="383" w:name="page384"/>
    <w:bookmarkEnd w:id="383"/>
    <w:p>
      <w:pPr>
        <w:ind w:right="40" w:firstLine="440"/>
        <w:spacing w:after="0" w:line="271"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1.5. Voting and Proxies.</w:t>
      </w:r>
      <w:r>
        <w:rPr>
          <w:rFonts w:ascii="Arial" w:cs="Arial" w:eastAsia="Arial" w:hAnsi="Arial"/>
          <w:sz w:val="17"/>
          <w:szCs w:val="17"/>
          <w:color w:val="auto"/>
        </w:rPr>
        <w:t xml:space="preserve"> Stockholders shall have one vote for each share of stock entitled to vote owned by them of record according to the books of the corporation, unless otherwise provided by law or by the Certificate of Incorporation. Stockholders may vote either in person or by written proxy, but no proxy shall be voted or acted upon after three years from its date, unless the proxy provides for a longer period. Proxies shall be filed with the secretary of the meeting, or of any adjournment thereof. Except as otherwise limited therein, proxies shall entitle the persons authorized thereby to vote at any adjournment of such meeting. A proxy purporting to be executed by or on behalf of a stockholder shall be deemed valid unless challenged at or prior to its exercise and the burden of proving invalidity shall rest on the challenger. A proxy with respect to stock held in the name of two or more persons shall be valid if executed by one of them unless at or prior to exercise of the proxy the corporation receives a specific written notice to the contrary from any one of them.</w:t>
      </w:r>
    </w:p>
    <w:p>
      <w:pPr>
        <w:spacing w:after="0" w:line="17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u w:val="single" w:color="auto"/>
          <w:color w:val="auto"/>
        </w:rPr>
        <w:t>Section 1.6. Action at Meeting.</w:t>
      </w:r>
      <w:r>
        <w:rPr>
          <w:rFonts w:ascii="Arial" w:cs="Arial" w:eastAsia="Arial" w:hAnsi="Arial"/>
          <w:sz w:val="18"/>
          <w:szCs w:val="18"/>
          <w:color w:val="auto"/>
        </w:rPr>
        <w:t xml:space="preserve"> When a quorum is present at any meeting, a plurality of the votes properly cast for election to any office shall elect to such office, and a majority of the votes properly cast upon any question other than election to an office shall decide such question, except where a larger vote is required by law, the Certificate of Incorporation or these by-laws. No ballot shall be required for any election unless requested by a stockholder present or represented at the meeting and entitled to vote in the election.</w:t>
      </w:r>
    </w:p>
    <w:p>
      <w:pPr>
        <w:spacing w:after="0" w:line="18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u w:val="single" w:color="auto"/>
          <w:color w:val="auto"/>
        </w:rPr>
        <w:t>Section 1.7. Action Without Meeting.</w:t>
      </w:r>
      <w:r>
        <w:rPr>
          <w:rFonts w:ascii="Arial" w:cs="Arial" w:eastAsia="Arial" w:hAnsi="Arial"/>
          <w:sz w:val="18"/>
          <w:szCs w:val="18"/>
          <w:color w:val="auto"/>
        </w:rPr>
        <w:t xml:space="preserve"> Any action required or permitted to be taken at any meeting of the stockholders may be taken without a meeting without prior notice and without a vote, if a consent or consents in writing, setting forth the action so taken, shall be signed by the holders of the minimum number of votes necessary to authorize or take such action at a meeting at which shares entitled to vote thereon were present and voted and copies are delivered to the corporation in the manner prescribed by law.</w:t>
      </w:r>
    </w:p>
    <w:p>
      <w:pPr>
        <w:spacing w:after="0" w:line="187"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u w:val="single" w:color="auto"/>
          <w:color w:val="auto"/>
        </w:rPr>
        <w:t>Section 1.8. Voting of Shares of Certain Holders.</w:t>
      </w:r>
      <w:r>
        <w:rPr>
          <w:rFonts w:ascii="Arial" w:cs="Arial" w:eastAsia="Arial" w:hAnsi="Arial"/>
          <w:sz w:val="18"/>
          <w:szCs w:val="18"/>
          <w:color w:val="auto"/>
        </w:rPr>
        <w:t xml:space="preserve"> Shares of stock of the corporation standing in the name of another corporation, domestic or foreign, may be voted by such officer, agent, or proxy as the by-laws of such corporation may prescribe, or, in the absence of such provision, as the board of directors of such corporation may determine.</w:t>
      </w:r>
    </w:p>
    <w:p>
      <w:pPr>
        <w:spacing w:after="0" w:line="18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Shares of stock of the corporation standing in the name of a deceased person, a minor ward or an incompetent person, may be voted by his administrator, executor, court-appointed guardian or conservator without a transfer of such shares into the name of such administrator, executor, court appointed guardian or conservator. Shares of capital stock of the corporation standing in the name of a trustee or fiduciary may be voted by such trustee or fiduciary.</w:t>
      </w:r>
    </w:p>
    <w:p>
      <w:pPr>
        <w:spacing w:after="0" w:line="187"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Shares of stock of the corporation standing in the name of a receiver may be voted by such receiver, and shares held by or under the control of a receiver may be voted by such receiver without the transfer thereof into his name if authority so to do be contained in an appropriate order of the court by which such receiver was appointed.</w:t>
      </w:r>
    </w:p>
    <w:p>
      <w:pPr>
        <w:spacing w:after="0" w:line="184"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A stockholder whose shares are pledged shall be entitled to vote such shares unless in the transfer by the pledgor on the books of the corporation he expressly empowered the pledgee to vote thereon, in which case only the pledgee or its proxy shall be entitled to vote the shares so transferred.</w:t>
      </w:r>
    </w:p>
    <w:p>
      <w:pPr>
        <w:spacing w:after="0" w:line="12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Shares of its own stock belonging to this corporation shall not be voted, directly or indirectly, at any meeting and shall not be counted in determining the total number of outstanding shares at any given time, but shares of its own stock held by the corporation in a fiduciary capacity may be voted and shall be counted in determining the total number of outstanding shares.</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u w:val="single" w:color="auto"/>
          <w:color w:val="auto"/>
        </w:rPr>
        <w:t>Section 1.9. Stockholder Lists.</w:t>
      </w:r>
      <w:r>
        <w:rPr>
          <w:rFonts w:ascii="Arial" w:cs="Arial" w:eastAsia="Arial" w:hAnsi="Arial"/>
          <w:sz w:val="18"/>
          <w:szCs w:val="18"/>
          <w:color w:val="auto"/>
        </w:rPr>
        <w:t xml:space="preserve"> The secretary (or the corporation’s transfer agent or other person authorized by these By-laws or by law) shall prepare and make, at least ten days before every meeting of stockholders, a complete list of the stockholders entitled to vote at the meeting, arranged in alphabetical</w:t>
      </w:r>
    </w:p>
    <w:p>
      <w:pPr>
        <w:spacing w:after="0" w:line="130"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84" w:name="page385"/>
    <w:bookmarkEnd w:id="384"/>
    <w:p>
      <w:pPr>
        <w:ind w:right="2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Board of Directors</w:t>
      </w:r>
    </w:p>
    <w:p>
      <w:pPr>
        <w:spacing w:after="0" w:line="225"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u w:val="single" w:color="auto"/>
          <w:color w:val="auto"/>
        </w:rPr>
        <w:t>Section 2.1. Powers.</w:t>
      </w:r>
      <w:r>
        <w:rPr>
          <w:rFonts w:ascii="Arial" w:cs="Arial" w:eastAsia="Arial" w:hAnsi="Arial"/>
          <w:sz w:val="16"/>
          <w:szCs w:val="16"/>
          <w:color w:val="auto"/>
        </w:rPr>
        <w:t xml:space="preserve"> Except as reserved to the stockholders by law, by the Certificate of Incorporation or by these By-laws, the business of the corporation shall be managed under the direction of the board of directors, who shall have and may exercise all of the powers of the corporation. In particular, and without limiting the foregoing, the board of directors shall have the power to issue or reserve for issuance from time to time the whole or any part of the capital stock of the corporation which may be authorized from time to time to such person, for such consideration and upon such terms and conditions as they shall determine, including the granting of options, warrants or conversion or other rights to stock.</w:t>
      </w:r>
    </w:p>
    <w:p>
      <w:pPr>
        <w:spacing w:after="0" w:line="16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u w:val="single" w:color="auto"/>
          <w:color w:val="auto"/>
        </w:rPr>
        <w:t>Section 2.2. Number of Directors; Qualifications.</w:t>
      </w:r>
      <w:r>
        <w:rPr>
          <w:rFonts w:ascii="Arial" w:cs="Arial" w:eastAsia="Arial" w:hAnsi="Arial"/>
          <w:sz w:val="18"/>
          <w:szCs w:val="18"/>
          <w:color w:val="auto"/>
        </w:rPr>
        <w:t xml:space="preserve"> The board of directors shall consist of such number of directors, not less than one (1) nor more than twelve (12), as shall be fixed by the board of directors. No director need be a stockholder.</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2.3. Nomination of Directors.</w:t>
      </w:r>
    </w:p>
    <w:p>
      <w:pPr>
        <w:spacing w:after="0" w:line="117" w:lineRule="exact"/>
        <w:rPr>
          <w:sz w:val="20"/>
          <w:szCs w:val="20"/>
          <w:color w:val="auto"/>
        </w:rPr>
      </w:pPr>
    </w:p>
    <w:p>
      <w:pPr>
        <w:ind w:right="160" w:firstLine="436"/>
        <w:spacing w:after="0" w:line="255" w:lineRule="auto"/>
        <w:tabs>
          <w:tab w:leader="none" w:pos="8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Nominations for the election of directors may be made by the board of directors or by any stockholder entitled to vote for the election of directors. Nominations by stockholders shall be made by notice in writing, delivered or mailed by first class United States mail, postage prepaid, to the secretary of the corporation not less than 14 days nor more than 60 days prior to any meeting of the stockholders called for the election of directors; provided, however, that if less than 21 written days’ notice of the meeting is given to stockholders, such notice of nomination by a stockholder shall be delivered or mailed, in the manner prescribed above, to the secretary of the corporation not later than the close of the fifth day following the day on which notice of the meeting was mailed to stockholders.</w:t>
      </w:r>
    </w:p>
    <w:p>
      <w:pPr>
        <w:spacing w:after="0" w:line="192" w:lineRule="exact"/>
        <w:rPr>
          <w:rFonts w:ascii="Arial" w:cs="Arial" w:eastAsia="Arial" w:hAnsi="Arial"/>
          <w:sz w:val="18"/>
          <w:szCs w:val="18"/>
          <w:color w:val="auto"/>
        </w:rPr>
      </w:pPr>
    </w:p>
    <w:p>
      <w:pPr>
        <w:ind w:right="320" w:firstLine="436"/>
        <w:spacing w:after="0" w:line="263" w:lineRule="auto"/>
        <w:tabs>
          <w:tab w:leader="none" w:pos="83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Each notice under subsection (a) shall set forth (i) the name, age, business address and, if known, residence address of each nominee proposed in such notice, (ii) the principal occupation or employment of each such nominee, and (iii) the number of shares of stock of the corporation which are beneficially owned by each such nominee.</w:t>
      </w:r>
    </w:p>
    <w:p>
      <w:pPr>
        <w:spacing w:after="0" w:line="183" w:lineRule="exact"/>
        <w:rPr>
          <w:rFonts w:ascii="Arial" w:cs="Arial" w:eastAsia="Arial" w:hAnsi="Arial"/>
          <w:sz w:val="18"/>
          <w:szCs w:val="18"/>
          <w:color w:val="auto"/>
        </w:rPr>
      </w:pPr>
    </w:p>
    <w:p>
      <w:pPr>
        <w:ind w:right="280" w:firstLine="436"/>
        <w:spacing w:after="0" w:line="342" w:lineRule="auto"/>
        <w:tabs>
          <w:tab w:leader="none" w:pos="817"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chairman of the meeting of stockholders shall determine whether or not a nomination was made in accordance with the procedures of this Section 2.3, and if he shall determine that it was not, he shall so declare to the meeting and the defective nomination shall be disregarded.</w:t>
      </w:r>
    </w:p>
    <w:p>
      <w:pPr>
        <w:spacing w:after="0" w:line="124" w:lineRule="exact"/>
        <w:rPr>
          <w:sz w:val="20"/>
          <w:szCs w:val="20"/>
          <w:color w:val="auto"/>
        </w:rPr>
      </w:pPr>
    </w:p>
    <w:p>
      <w:pPr>
        <w:jc w:val="both"/>
        <w:ind w:right="420" w:firstLine="440"/>
        <w:spacing w:after="0" w:line="286" w:lineRule="auto"/>
        <w:rPr>
          <w:sz w:val="20"/>
          <w:szCs w:val="20"/>
          <w:color w:val="auto"/>
        </w:rPr>
      </w:pPr>
      <w:r>
        <w:rPr>
          <w:rFonts w:ascii="Arial" w:cs="Arial" w:eastAsia="Arial" w:hAnsi="Arial"/>
          <w:sz w:val="17"/>
          <w:szCs w:val="17"/>
          <w:u w:val="single" w:color="auto"/>
          <w:color w:val="auto"/>
        </w:rPr>
        <w:t>Section 2.4. Election of Directors.</w:t>
      </w:r>
      <w:r>
        <w:rPr>
          <w:rFonts w:ascii="Arial" w:cs="Arial" w:eastAsia="Arial" w:hAnsi="Arial"/>
          <w:sz w:val="17"/>
          <w:szCs w:val="17"/>
          <w:color w:val="auto"/>
        </w:rPr>
        <w:t xml:space="preserve"> The initial board of directors shall be designated in the certificate of incorporation, or if not so designated, elected by the incorporator(s) at the first meeting thereof. Thereafter, directors shall be elected by the stockholders at their annual meeting or at any special meeting the notice of which specifies the election of directors as an item of business for such meeting.</w:t>
      </w:r>
    </w:p>
    <w:p>
      <w:pPr>
        <w:spacing w:after="0" w:line="165"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u w:val="single" w:color="auto"/>
          <w:color w:val="auto"/>
        </w:rPr>
        <w:t>Section 2.5. Vacancies; Reduction of the Board.</w:t>
      </w:r>
      <w:r>
        <w:rPr>
          <w:rFonts w:ascii="Arial" w:cs="Arial" w:eastAsia="Arial" w:hAnsi="Arial"/>
          <w:sz w:val="17"/>
          <w:szCs w:val="17"/>
          <w:color w:val="auto"/>
        </w:rPr>
        <w:t xml:space="preserve"> Any vacancy in the board of directors, however occurring, including a vacancy resulting from the enlargement of the board of directors, may be filled by the stockholders or by the directors then in office or by a sole remaining director. In lieu of filling any such vacancy the stockholders or board of directors may reduce the number of directors, but not to a</w:t>
      </w:r>
    </w:p>
    <w:p>
      <w:pPr>
        <w:spacing w:after="0" w:line="111"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85" w:name="page386"/>
    <w:bookmarkEnd w:id="385"/>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number less than one (1).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u w:val="single" w:color="auto"/>
          <w:color w:val="auto"/>
        </w:rPr>
        <w:t>Section 2.6. Enlargement of the Board.</w:t>
      </w:r>
      <w:r>
        <w:rPr>
          <w:rFonts w:ascii="Arial" w:cs="Arial" w:eastAsia="Arial" w:hAnsi="Arial"/>
          <w:sz w:val="18"/>
          <w:szCs w:val="18"/>
          <w:color w:val="auto"/>
        </w:rPr>
        <w:t xml:space="preserve"> The board of directors may be enlarged by the stockholders at any meeting or by vote of a majority of the directors then in office.</w:t>
      </w:r>
    </w:p>
    <w:p>
      <w:pPr>
        <w:spacing w:after="0" w:line="170"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u w:val="single" w:color="auto"/>
          <w:color w:val="auto"/>
        </w:rPr>
        <w:t>Section 2.7. Tenure and Resignation.</w:t>
      </w:r>
      <w:r>
        <w:rPr>
          <w:rFonts w:ascii="Arial" w:cs="Arial" w:eastAsia="Arial" w:hAnsi="Arial"/>
          <w:sz w:val="16"/>
          <w:szCs w:val="16"/>
          <w:color w:val="auto"/>
        </w:rPr>
        <w:t xml:space="preserve"> Except as otherwise provided by law, by the Certificate of Incorporation or by these By-laws, directors shall hold office until the next annual meeting of stockholders and thereafter until their successors are chosen and qualified. Any director may resign by delivering or mailing postage prepaid a written resignation to the corporation at its principal office or to the president, secretary or assistant secretary, if any. Such resignation shall be effective upon receipt unless it is specified to be effective at some other time or upon the happening of some other event.</w:t>
      </w:r>
    </w:p>
    <w:p>
      <w:pPr>
        <w:spacing w:after="0" w:line="157"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u w:val="single" w:color="auto"/>
          <w:color w:val="auto"/>
        </w:rPr>
        <w:t>Section 2.8. Removal.</w:t>
      </w:r>
      <w:r>
        <w:rPr>
          <w:rFonts w:ascii="Arial" w:cs="Arial" w:eastAsia="Arial" w:hAnsi="Arial"/>
          <w:sz w:val="17"/>
          <w:szCs w:val="17"/>
          <w:color w:val="auto"/>
        </w:rPr>
        <w:t xml:space="preserve"> A director, whether elected by the stockholders or directors, may be removed from office with or without cause at any annual or special meeting of stockholders by vote of a majority of the stockholders entitled to vote in the election of such directors; provided, however, that a director may be removed for cause only after reasonable notice and opportunity to be heard before the stockholders.</w:t>
      </w:r>
    </w:p>
    <w:p>
      <w:pPr>
        <w:spacing w:after="0" w:line="165" w:lineRule="exact"/>
        <w:rPr>
          <w:sz w:val="20"/>
          <w:szCs w:val="20"/>
          <w:color w:val="auto"/>
        </w:rPr>
      </w:pPr>
    </w:p>
    <w:p>
      <w:pPr>
        <w:ind w:right="80" w:firstLine="440"/>
        <w:spacing w:after="0" w:line="253" w:lineRule="auto"/>
        <w:rPr>
          <w:sz w:val="20"/>
          <w:szCs w:val="20"/>
          <w:color w:val="auto"/>
        </w:rPr>
      </w:pPr>
      <w:r>
        <w:rPr>
          <w:rFonts w:ascii="Arial" w:cs="Arial" w:eastAsia="Arial" w:hAnsi="Arial"/>
          <w:sz w:val="18"/>
          <w:szCs w:val="18"/>
          <w:u w:val="single" w:color="auto"/>
          <w:color w:val="auto"/>
        </w:rPr>
        <w:t>Section 2.9. Meetings.</w:t>
      </w:r>
      <w:r>
        <w:rPr>
          <w:rFonts w:ascii="Arial" w:cs="Arial" w:eastAsia="Arial" w:hAnsi="Arial"/>
          <w:sz w:val="18"/>
          <w:szCs w:val="18"/>
          <w:color w:val="auto"/>
        </w:rPr>
        <w:t xml:space="preserve"> Regular meetings of the board of directors may be held without call or notice at such times and such places within or without the State of Delaware as the board may, from time to time, determine, provided that notice of the first regular meeting following any such determination shall be given to directors absent from such determination. A regular meeting of the board of directors shall be held without notice immediately after, and at the same place as, the annual meeting of the stockholders or the special meeting of the stockholders held in place of such annual meeting, unless a quorum of the directors is not then present. Special meetings of the board of directors may be held at any time and at any place designated in the call of the meeting when called by the president, treasurer, or one or more directors. Members of the board of directors or any committee elected thereby may participate in a meeting of such board or committee by means of a conference telephone or similar communications equipment by means of which all persons participating in the meeting can hear each other at the same time, and participation by such means shall constitute presence in person at the meeting.</w:t>
      </w:r>
    </w:p>
    <w:p>
      <w:pPr>
        <w:spacing w:after="0" w:line="196"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u w:val="single" w:color="auto"/>
          <w:color w:val="auto"/>
        </w:rPr>
        <w:t>Section 2.10. Notice of Meeting.</w:t>
      </w:r>
      <w:r>
        <w:rPr>
          <w:rFonts w:ascii="Arial" w:cs="Arial" w:eastAsia="Arial" w:hAnsi="Arial"/>
          <w:sz w:val="18"/>
          <w:szCs w:val="18"/>
          <w:color w:val="auto"/>
        </w:rPr>
        <w:t xml:space="preserve"> It shall be sufficient notice to a director to send notice by mail at least seventy-two (72) hours before the meeting addressed to such person at his usual or last known business or residence address or to give notice to such person in person or by telephone at least twenty-four (24) hours before the meeting. Notice shall be given by the secretary, or in his absence or unavailability, may be given by an assistant secretary, if any, or by the officer or directors calling the meeting. The requirement of notice to any director may be waived by a written waiver of notice, executed by such person before or after the meeting or meetings, and filed with the records of the meeting, or by attendance at the meeting without protesting prior thereto or at its commencement the lack of notice. A notice or waiver of notice of a directors’ meeting need not specify the purposes of the meeting.</w:t>
      </w:r>
    </w:p>
    <w:p>
      <w:pPr>
        <w:spacing w:after="0" w:line="19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u w:val="single" w:color="auto"/>
          <w:color w:val="auto"/>
        </w:rPr>
        <w:t>Section 2.11. Agenda.</w:t>
      </w:r>
      <w:r>
        <w:rPr>
          <w:rFonts w:ascii="Arial" w:cs="Arial" w:eastAsia="Arial" w:hAnsi="Arial"/>
          <w:sz w:val="18"/>
          <w:szCs w:val="18"/>
          <w:color w:val="auto"/>
        </w:rPr>
        <w:t xml:space="preserve"> Any lawful business may be transacted at a meeting of the board of directors, notwithstanding the fact that the nature of the business may not have been specified in the notice or waiver of notice of the meeting.</w:t>
      </w:r>
    </w:p>
    <w:p>
      <w:pPr>
        <w:spacing w:after="0" w:line="170"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u w:val="single" w:color="auto"/>
          <w:color w:val="auto"/>
        </w:rPr>
        <w:t>Section 2.12. Quorum.</w:t>
      </w:r>
      <w:r>
        <w:rPr>
          <w:rFonts w:ascii="Arial" w:cs="Arial" w:eastAsia="Arial" w:hAnsi="Arial"/>
          <w:sz w:val="18"/>
          <w:szCs w:val="18"/>
          <w:color w:val="auto"/>
        </w:rPr>
        <w:t xml:space="preserve"> At any meeting of the board of directors, a majority of the directors then in office shall constitute a quorum for the transaction of business. Any meeting may be adjourned by a majority of the votes cast upon the question, whether or not a quorum is present, and the meeting may be held as adjourned without further notice.</w:t>
      </w:r>
    </w:p>
    <w:p>
      <w:pPr>
        <w:spacing w:after="0" w:line="130"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86" w:name="page387"/>
    <w:bookmarkEnd w:id="386"/>
    <w:p>
      <w:pPr>
        <w:ind w:right="120" w:firstLine="440"/>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2.13. Action at Meeting.</w:t>
      </w:r>
      <w:r>
        <w:rPr>
          <w:rFonts w:ascii="Arial" w:cs="Arial" w:eastAsia="Arial" w:hAnsi="Arial"/>
          <w:sz w:val="18"/>
          <w:szCs w:val="18"/>
          <w:color w:val="auto"/>
        </w:rPr>
        <w:t xml:space="preserve"> Any motion adopted by vote of the majority of the directors present at a meeting at which a quorum is present shall be the act of the board of directors, except where a different vote is required by law, by the Certificate of Incorporation or by these By-laws. The assent in writing of any director to any vote or action of the directors taken at any meeting, whether or not a quorum was present and whether or not the director had or waived notice of the meeting, shall have the same effect as if the director so assenting was present at such meeting and voted in favor of such vote or action.</w:t>
      </w:r>
    </w:p>
    <w:p>
      <w:pPr>
        <w:spacing w:after="0" w:line="18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u w:val="single" w:color="auto"/>
          <w:color w:val="auto"/>
        </w:rPr>
        <w:t>Section 2.14. Action Without Meeting.</w:t>
      </w:r>
      <w:r>
        <w:rPr>
          <w:rFonts w:ascii="Arial" w:cs="Arial" w:eastAsia="Arial" w:hAnsi="Arial"/>
          <w:sz w:val="18"/>
          <w:szCs w:val="18"/>
          <w:color w:val="auto"/>
        </w:rPr>
        <w:t xml:space="preserve"> Any action by the directors may be taken without a meeting if all of the directors consent to the action in writing and the consents are filed with the records of the directors’ meetings. Such consent shall be treated for all purposes as a vote of the directors at a meeting.</w:t>
      </w:r>
    </w:p>
    <w:p>
      <w:pPr>
        <w:spacing w:after="0" w:line="184" w:lineRule="exact"/>
        <w:rPr>
          <w:sz w:val="20"/>
          <w:szCs w:val="20"/>
          <w:color w:val="auto"/>
        </w:rPr>
      </w:pPr>
    </w:p>
    <w:p>
      <w:pPr>
        <w:ind w:right="180" w:firstLine="440"/>
        <w:spacing w:after="0" w:line="288" w:lineRule="auto"/>
        <w:rPr>
          <w:sz w:val="20"/>
          <w:szCs w:val="20"/>
          <w:color w:val="auto"/>
        </w:rPr>
      </w:pPr>
      <w:r>
        <w:rPr>
          <w:rFonts w:ascii="Arial" w:cs="Arial" w:eastAsia="Arial" w:hAnsi="Arial"/>
          <w:sz w:val="16"/>
          <w:szCs w:val="16"/>
          <w:u w:val="single" w:color="auto"/>
          <w:color w:val="auto"/>
        </w:rPr>
        <w:t>Section 2.15. Committees.</w:t>
      </w:r>
      <w:r>
        <w:rPr>
          <w:rFonts w:ascii="Arial" w:cs="Arial" w:eastAsia="Arial" w:hAnsi="Arial"/>
          <w:sz w:val="16"/>
          <w:szCs w:val="16"/>
          <w:color w:val="auto"/>
        </w:rPr>
        <w:t xml:space="preserve"> The board of directors may, by the affirmative vote of a majority of the directors then in office, appoint an executive committee or other committees consisting of one or more directors and may by vote delegate to any such committee some or all of their powers except those which by law, the Certificate of Incorporation or these By-laws they may not delegate. In the absence or disqualification of a member of a committee, the members of the committee present and not disqualified, whether or not they constitute a quorum, may by unanimous vote appoint another member of the board of directors to act at the meeting in place of the absence or disqualified member. Unless the board of directors shall otherwise provide, any such committee may make rules for the conduct of its business, but unless otherwise provided by the board of directors or such rules, its meetings shall be called, notice given or waived, its business conducted or its action taken as nearly as may be in the same manner as is provided in these By-laws with respect to meetings or for the conduct of business or the taking of actions by the board of directors. The board of directors shall have power at any time to fill vacancies in, change the membership of, or discharge any such committee at any time. The board of directors shall have power to rescind any action of any committee, but no such rescission shall have retroactive effect.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u w:val="single" w:color="auto"/>
          <w:color w:val="auto"/>
        </w:rPr>
        <w:t>Section 3.1. Enumeration.</w:t>
      </w:r>
      <w:r>
        <w:rPr>
          <w:rFonts w:ascii="Arial" w:cs="Arial" w:eastAsia="Arial" w:hAnsi="Arial"/>
          <w:sz w:val="16"/>
          <w:szCs w:val="16"/>
          <w:color w:val="auto"/>
        </w:rPr>
        <w:t xml:space="preserve"> The officers shall consist of a president, a treasurer, a secretary and such other officers and agents (including one or more vice-presidents, assistant treasurers and assistant secretaries), as the board of directors may, in their discretion, determine.</w:t>
      </w:r>
    </w:p>
    <w:p>
      <w:pPr>
        <w:spacing w:after="0" w:line="12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u w:val="single" w:color="auto"/>
          <w:color w:val="auto"/>
        </w:rPr>
        <w:t>Section 3.2. Election.</w:t>
      </w:r>
      <w:r>
        <w:rPr>
          <w:rFonts w:ascii="Arial" w:cs="Arial" w:eastAsia="Arial" w:hAnsi="Arial"/>
          <w:sz w:val="18"/>
          <w:szCs w:val="18"/>
          <w:color w:val="auto"/>
        </w:rPr>
        <w:t xml:space="preserve"> The president, treasurer and secretary shall be elected annually by the directors at their first meeting following the annual meeting of the stockholders or any special meeting held in lieu of the annual meeting. Other officers may be chosen by the directors at such meeting or at any other meeting.</w:t>
      </w:r>
    </w:p>
    <w:p>
      <w:pPr>
        <w:spacing w:after="0" w:line="184"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u w:val="single" w:color="auto"/>
          <w:color w:val="auto"/>
        </w:rPr>
        <w:t>Section 3.3. Qualification.</w:t>
      </w:r>
      <w:r>
        <w:rPr>
          <w:rFonts w:ascii="Arial" w:cs="Arial" w:eastAsia="Arial" w:hAnsi="Arial"/>
          <w:sz w:val="18"/>
          <w:szCs w:val="18"/>
          <w:color w:val="auto"/>
        </w:rPr>
        <w:t xml:space="preserve"> An officer may, but need not, be a director or stockholder. Any two or more offices may be held by the same person. Any officer may be required by the directors to give bond for the faithful performance of his duties to the corporation in such amount and with such sureties as the directors may determine. The premiums for such bonds may be paid by the corporation.</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u w:val="single" w:color="auto"/>
          <w:color w:val="auto"/>
        </w:rPr>
        <w:t>Section 3.4. Tenure.</w:t>
      </w:r>
      <w:r>
        <w:rPr>
          <w:rFonts w:ascii="Arial" w:cs="Arial" w:eastAsia="Arial" w:hAnsi="Arial"/>
          <w:sz w:val="18"/>
          <w:szCs w:val="18"/>
          <w:color w:val="auto"/>
        </w:rPr>
        <w:t xml:space="preserve"> Except as otherwise provided by the Certificate of Incorporation or these By-laws, the term of office of each officer shall be for one year or until his successor is elected and qualified or until his earlier resignation or removal.</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u w:val="single" w:color="auto"/>
          <w:color w:val="auto"/>
        </w:rPr>
        <w:t>Section 3.5. Removal.</w:t>
      </w:r>
      <w:r>
        <w:rPr>
          <w:rFonts w:ascii="Arial" w:cs="Arial" w:eastAsia="Arial" w:hAnsi="Arial"/>
          <w:sz w:val="18"/>
          <w:szCs w:val="18"/>
          <w:color w:val="auto"/>
        </w:rPr>
        <w:t xml:space="preserve"> Any officer may be removed from office, with or without cause, by the affirmative vote of a majority of the directors then in office; provided, however, that an officer may be removed for cause only after reasonable notice and opportunity to be heard by the board of directors prior to action thereon.</w:t>
      </w:r>
    </w:p>
    <w:p>
      <w:pPr>
        <w:spacing w:after="0" w:line="130"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87" w:name="page388"/>
    <w:bookmarkEnd w:id="387"/>
    <w:p>
      <w:pPr>
        <w:jc w:val="both"/>
        <w:ind w:right="120" w:firstLine="4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3.6. Resignation.</w:t>
      </w:r>
      <w:r>
        <w:rPr>
          <w:rFonts w:ascii="Arial" w:cs="Arial" w:eastAsia="Arial" w:hAnsi="Arial"/>
          <w:sz w:val="18"/>
          <w:szCs w:val="18"/>
          <w:color w:val="auto"/>
        </w:rPr>
        <w:t xml:space="preserve"> Any officer may resign by delivering or mailing postage prepaid a written resignation to the corporation at its principal office or to the president, secretary, or assistant secretary, if any, and such resignation shall be effective upon receipt unless it is specified to be effective at some other time or upon the happening of some event.</w:t>
      </w:r>
    </w:p>
    <w:p>
      <w:pPr>
        <w:spacing w:after="0" w:line="184"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u w:val="single" w:color="auto"/>
          <w:color w:val="auto"/>
        </w:rPr>
        <w:t>Section 3.7. Vacancies.</w:t>
      </w:r>
      <w:r>
        <w:rPr>
          <w:rFonts w:ascii="Arial" w:cs="Arial" w:eastAsia="Arial" w:hAnsi="Arial"/>
          <w:sz w:val="18"/>
          <w:szCs w:val="18"/>
          <w:color w:val="auto"/>
        </w:rPr>
        <w:t xml:space="preserve"> A vacancy in any office arising from any cause may be filled for the unexpired portion of the term by the board of directors.</w:t>
      </w:r>
    </w:p>
    <w:p>
      <w:pPr>
        <w:spacing w:after="0" w:line="170" w:lineRule="exact"/>
        <w:rPr>
          <w:sz w:val="20"/>
          <w:szCs w:val="20"/>
          <w:color w:val="auto"/>
        </w:rPr>
      </w:pPr>
    </w:p>
    <w:p>
      <w:pPr>
        <w:jc w:val="both"/>
        <w:ind w:right="240" w:firstLine="440"/>
        <w:spacing w:after="0" w:line="311" w:lineRule="auto"/>
        <w:rPr>
          <w:sz w:val="20"/>
          <w:szCs w:val="20"/>
          <w:color w:val="auto"/>
        </w:rPr>
      </w:pPr>
      <w:r>
        <w:rPr>
          <w:rFonts w:ascii="Arial" w:cs="Arial" w:eastAsia="Arial" w:hAnsi="Arial"/>
          <w:sz w:val="16"/>
          <w:szCs w:val="16"/>
          <w:u w:val="single" w:color="auto"/>
          <w:color w:val="auto"/>
        </w:rPr>
        <w:t>Section 3.8. President.</w:t>
      </w:r>
      <w:r>
        <w:rPr>
          <w:rFonts w:ascii="Arial" w:cs="Arial" w:eastAsia="Arial" w:hAnsi="Arial"/>
          <w:sz w:val="16"/>
          <w:szCs w:val="16"/>
          <w:color w:val="auto"/>
        </w:rPr>
        <w:t xml:space="preserve"> The president shall be the chief executive officer of the corporation. Except as otherwise voted by the board of directors, the president shall preside at all meetings of the stockholders and of the board of directors at which present. The president shall have such duties and powers as are commonly incident to the office and such duties and powers as the board of directors shall from time to time designate.</w:t>
      </w:r>
    </w:p>
    <w:p>
      <w:pPr>
        <w:spacing w:after="0" w:line="149" w:lineRule="exact"/>
        <w:rPr>
          <w:sz w:val="20"/>
          <w:szCs w:val="20"/>
          <w:color w:val="auto"/>
        </w:rPr>
      </w:pPr>
    </w:p>
    <w:p>
      <w:pPr>
        <w:jc w:val="both"/>
        <w:ind w:right="260" w:firstLine="440"/>
        <w:spacing w:after="0" w:line="277" w:lineRule="auto"/>
        <w:rPr>
          <w:sz w:val="20"/>
          <w:szCs w:val="20"/>
          <w:color w:val="auto"/>
        </w:rPr>
      </w:pPr>
      <w:r>
        <w:rPr>
          <w:rFonts w:ascii="Arial" w:cs="Arial" w:eastAsia="Arial" w:hAnsi="Arial"/>
          <w:sz w:val="18"/>
          <w:szCs w:val="18"/>
          <w:u w:val="single" w:color="auto"/>
          <w:color w:val="auto"/>
        </w:rPr>
        <w:t>Section 3.9. Vice-President(s).</w:t>
      </w:r>
      <w:r>
        <w:rPr>
          <w:rFonts w:ascii="Arial" w:cs="Arial" w:eastAsia="Arial" w:hAnsi="Arial"/>
          <w:sz w:val="18"/>
          <w:szCs w:val="18"/>
          <w:color w:val="auto"/>
        </w:rPr>
        <w:t xml:space="preserve"> The vice-president(s), if any, shall have such powers and perform such duties as the board of directors may from time to time determine.</w:t>
      </w:r>
    </w:p>
    <w:p>
      <w:pPr>
        <w:spacing w:after="0" w:line="170"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u w:val="single" w:color="auto"/>
          <w:color w:val="auto"/>
        </w:rPr>
        <w:t>Section 3.10. Treasurer and Assistant Treasurers.</w:t>
      </w:r>
      <w:r>
        <w:rPr>
          <w:rFonts w:ascii="Arial" w:cs="Arial" w:eastAsia="Arial" w:hAnsi="Arial"/>
          <w:sz w:val="18"/>
          <w:szCs w:val="18"/>
          <w:color w:val="auto"/>
        </w:rPr>
        <w:t xml:space="preserve"> The treasurer, subject to the direction and under the supervision and control of the board of directors, shall have general charge of the financial affairs of the corporation. The treasurer shall have custody of all funds, securities and valuable papers of the corporation, except as the board of directors may otherwise provide. The treasurer shall keep or cause to be kept full and accurate records of account which shall be the property of the corporation, and which shall be always open to the inspection of each elected officer and director of the corporation. The treasurer shall deposit or cause to be deposited all funds of the corporation in such depository or depositories as may be authorized by the board of directors. The treasurer shall have the power to endorse for deposit or collection all notes, checks, drafts, and other negotiable instruments payable to the corporation. The treasurer shall perform such other duties as are incidental to the office, and such other duties as may be assigned by the board of directors.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Assistant treasurers, if any, shall have such powers and perform such duties as the board of directors may from time to time determine.</w:t>
      </w:r>
    </w:p>
    <w:p>
      <w:pPr>
        <w:spacing w:after="0" w:line="237"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u w:val="single" w:color="auto"/>
          <w:color w:val="auto"/>
        </w:rPr>
        <w:t>Section 3.11. Secretary and Assistant Secretaries.</w:t>
      </w:r>
      <w:r>
        <w:rPr>
          <w:rFonts w:ascii="Arial" w:cs="Arial" w:eastAsia="Arial" w:hAnsi="Arial"/>
          <w:sz w:val="16"/>
          <w:szCs w:val="16"/>
          <w:color w:val="auto"/>
        </w:rPr>
        <w:t xml:space="preserve"> The secretary shall record, or cause to be recorded, all proceedings of the meetings of the stockholders and directors (including committees thereof) in the book of records of this corporation. The record books shall be open at reasonable times to the inspection of any stockholder, director, or officer. The secretary shall notify the stockholders and directors, when required by law or by these By-laws, of their respective meetings, and shall perform such other duties as the directors and stockholders may from time to time prescribe. The secretary shall have the custody and charge of the corporate seal, and shall affix the seal of the corporation to all instruments requiring such seal, and shall certify under the corporate seal the proceedings of the directors and of the stockholders, when required. In the absence of the secretary at any such meeting, a temporary secretary shall be chosen who shall record the proceedings of the meeting in the aforesaid books.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Assistant secretaries, if any, shall have such powers and perform such duties as the board of directors may from time to time designate.</w:t>
      </w:r>
    </w:p>
    <w:p>
      <w:pPr>
        <w:spacing w:after="0" w:line="23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u w:val="single" w:color="auto"/>
          <w:color w:val="auto"/>
        </w:rPr>
        <w:t>Section 3.12. Other Powers and Duties.</w:t>
      </w:r>
      <w:r>
        <w:rPr>
          <w:rFonts w:ascii="Arial" w:cs="Arial" w:eastAsia="Arial" w:hAnsi="Arial"/>
          <w:sz w:val="18"/>
          <w:szCs w:val="18"/>
          <w:color w:val="auto"/>
        </w:rPr>
        <w:t xml:space="preserve">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w:t>
      </w:r>
    </w:p>
    <w:p>
      <w:pPr>
        <w:spacing w:after="0" w:line="130"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88" w:name="page389"/>
    <w:bookmarkEnd w:id="38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u w:val="single" w:color="auto"/>
          <w:color w:val="auto"/>
        </w:rPr>
        <w:t>Section 4.1. Stock Certificates.</w:t>
      </w:r>
      <w:r>
        <w:rPr>
          <w:rFonts w:ascii="Arial" w:cs="Arial" w:eastAsia="Arial" w:hAnsi="Arial"/>
          <w:sz w:val="18"/>
          <w:szCs w:val="18"/>
          <w:color w:val="auto"/>
        </w:rPr>
        <w:t xml:space="preserve"> Each stockholder shall be entitled to a certificate representing the number of shares of the capital stock of the corporation owned by such person in such form as shall, in conformity to law, be prescribed from time to time by the board of directors. Each certificate shall be signed by the president or vice-president and treasurer or assistant treasurer or such other officers designated by the board of directors from time to time as permitted by law, shall bear the seal of the corporation, and shall express on its face its number, date of issue, class, the number of shares for which, and the name of the person to whom, it is issued. The corporate seal and any or all of the signatures of corporation officers may be facsimile if the stock certificate is manually counter-signed by an authorized person on behalf of a transfer agent or registrar other than the corporation or its employee.</w:t>
      </w:r>
    </w:p>
    <w:p>
      <w:pPr>
        <w:spacing w:after="0" w:line="19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If an officer, transfer agent or registrar who has signed, or whose facsimile signature has been placed on, a certificate shall have ceased to be such before the certificate is issued, it may be issued by the corporation with the same effect as if he were such officer, transfer agent or registrar at the time of its issue.</w:t>
      </w:r>
    </w:p>
    <w:p>
      <w:pPr>
        <w:spacing w:after="0" w:line="18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u w:val="single" w:color="auto"/>
          <w:color w:val="auto"/>
        </w:rPr>
        <w:t>Section 4.2. Record Holders.</w:t>
      </w:r>
      <w:r>
        <w:rPr>
          <w:rFonts w:ascii="Arial" w:cs="Arial" w:eastAsia="Arial" w:hAnsi="Arial"/>
          <w:sz w:val="18"/>
          <w:szCs w:val="18"/>
          <w:color w:val="auto"/>
        </w:rPr>
        <w:t xml:space="preserve"> Except as otherwise may be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 shall be the duty of each stockholder to notify the corporation of his post office address.</w:t>
      </w:r>
    </w:p>
    <w:p>
      <w:pPr>
        <w:spacing w:after="0" w:line="225"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u w:val="single" w:color="auto"/>
          <w:color w:val="auto"/>
        </w:rPr>
        <w:t>Section 4.3. Record Date.</w:t>
      </w:r>
      <w:r>
        <w:rPr>
          <w:rFonts w:ascii="Arial" w:cs="Arial" w:eastAsia="Arial" w:hAnsi="Arial"/>
          <w:sz w:val="18"/>
          <w:szCs w:val="18"/>
          <w:color w:val="auto"/>
        </w:rPr>
        <w:t xml:space="preserve"> In order that the corporation may determine the stockholders entitled to receive notice of or to vote at any meeting of stockholders or any adjournments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prior to any other action. In such case only stockholders of record on such record date shall be so entitled notwithstanding any transfer of stock on the books of the corporation after the record date.</w:t>
      </w:r>
    </w:p>
    <w:p>
      <w:pPr>
        <w:spacing w:after="0" w:line="192"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If no record date is fixed: (i) the record date for determining stockholders entitled to receive notice of or to vote at a meeting of stockholders shall be at the close of business on the day next preceding the day on which notice is given, or, if notice is waived, at the close of business on the day next preceding the day on which the meeting is held; (ii) the record date for determining stockholders entitled to express consent to corporate action in writing without a meeting, when no prior action by the board of directors is necessary, shall be the day on which the first written consent is expressed; and (iii) the record date for determining stockholders for any other purpose shall be at the close of business on the day on which the board of directors adopts the resolution relating thereto.</w:t>
      </w:r>
    </w:p>
    <w:p>
      <w:pPr>
        <w:spacing w:after="0" w:line="192"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u w:val="single" w:color="auto"/>
          <w:color w:val="auto"/>
        </w:rPr>
        <w:t>Section 4.4. Transfer Agent and Registrar for Shares of Corporation.</w:t>
      </w:r>
      <w:r>
        <w:rPr>
          <w:rFonts w:ascii="Arial" w:cs="Arial" w:eastAsia="Arial" w:hAnsi="Arial"/>
          <w:sz w:val="17"/>
          <w:szCs w:val="17"/>
          <w:color w:val="auto"/>
        </w:rPr>
        <w:t xml:space="preserve"> The board of directors may appoint a transfer agent and a registrar of the certificates of stock of the corporation. Any transfer agent so appointed shall maintain, among other records, a stockholders’ ledger, setting forth the names and addresses of the holders of all issued shares of stock of the corporation, the number of shares held by each, the certificate numbers representing such shares, and the date of issue of the certificates representing such shares. Any registrar so appointed shall maintain, among other records, a share register, setting forth the total number of shares of each class of shares which the corporation is authorized to issue and the total number of shares actually issued. The stockholders’ ledger and the share</w:t>
      </w:r>
    </w:p>
    <w:p>
      <w:pPr>
        <w:spacing w:after="0" w:line="124"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89" w:name="page390"/>
    <w:bookmarkEnd w:id="389"/>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register are hereby identified as the stock transfer books of the corporation; but as between the stockholders’ ledger and the share register, the names and addresses of stockholders, as they appear on the stockholders’ ledger maintained by the transfer agent shall be the official list of stockholders of record of the corporation. The name and address of each stockholder of record, as they appear upon the stockholders’ ledger, shall be conclusive evidence of who are the stockholders entitled to receive notice of the meetings of stockholders, to vote at such meetings, to examine a complete list of the stockholders entitled to vote at meetings, and to own, enjoy and exercise any other property or rights deriving from such shares against the corporation. Stockholders, but not the corporation, its directors, officers, agents or attorneys, shall be responsible for notifying the transfer agent, in writing, of any changes in their names or addresses from time to time, and failure to do so will relieve the corporation, its other stockholders, directors, officers, agents and attorneys, and its transfer agent and registrar, of liability for failure to direct notices or other documents, or pay over or transfer dividends or other property or rights, to a name or address other than the name and address appearing in the stockholders’ ledger maintained by the transfer agent.</w:t>
      </w:r>
    </w:p>
    <w:p>
      <w:pPr>
        <w:spacing w:after="0" w:line="166"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u w:val="single" w:color="auto"/>
          <w:color w:val="auto"/>
        </w:rPr>
        <w:t>Section 4.5. Loss of Certificates.</w:t>
      </w:r>
      <w:r>
        <w:rPr>
          <w:rFonts w:ascii="Arial" w:cs="Arial" w:eastAsia="Arial" w:hAnsi="Arial"/>
          <w:sz w:val="18"/>
          <w:szCs w:val="18"/>
          <w:color w:val="auto"/>
        </w:rPr>
        <w:t xml:space="preserve"> In case of the loss, destruction or mutilation of a certificate of stock, a replacement certificate may be issued in place thereof upon such terms as the board of directors may prescribe, including, in the discretion of the board of directors, a requirement of bond and indemnity to the corporation.</w:t>
      </w:r>
    </w:p>
    <w:p>
      <w:pPr>
        <w:spacing w:after="0" w:line="184" w:lineRule="exact"/>
        <w:rPr>
          <w:sz w:val="20"/>
          <w:szCs w:val="20"/>
          <w:color w:val="auto"/>
        </w:rPr>
      </w:pPr>
    </w:p>
    <w:p>
      <w:pPr>
        <w:jc w:val="both"/>
        <w:ind w:right="80" w:firstLine="440"/>
        <w:spacing w:after="0" w:line="259" w:lineRule="auto"/>
        <w:rPr>
          <w:sz w:val="20"/>
          <w:szCs w:val="20"/>
          <w:color w:val="auto"/>
        </w:rPr>
      </w:pPr>
      <w:r>
        <w:rPr>
          <w:rFonts w:ascii="Arial" w:cs="Arial" w:eastAsia="Arial" w:hAnsi="Arial"/>
          <w:sz w:val="18"/>
          <w:szCs w:val="18"/>
          <w:u w:val="single" w:color="auto"/>
          <w:color w:val="auto"/>
        </w:rPr>
        <w:t>Section 4.6. Restrictions on Transfer.</w:t>
      </w:r>
      <w:r>
        <w:rPr>
          <w:rFonts w:ascii="Arial" w:cs="Arial" w:eastAsia="Arial" w:hAnsi="Arial"/>
          <w:sz w:val="18"/>
          <w:szCs w:val="18"/>
          <w:color w:val="auto"/>
        </w:rPr>
        <w:t xml:space="preserve"> Every certificate for shares of stock which are subject to any restriction on transfer, whether pursuant to the Certificate of Incorporation, the By-laws or any agreement to which the corporation is a party, shall have the fact of the restriction noted conspicuously on the certificate and shall also set forth on the face or back either the full text of the restriction or a statement that the corporation will furnish a copy to the holder of such certificate upon written request and without charge.</w:t>
      </w:r>
    </w:p>
    <w:p>
      <w:pPr>
        <w:spacing w:after="0" w:line="187"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u w:val="single" w:color="auto"/>
          <w:color w:val="auto"/>
        </w:rPr>
        <w:t>Section 4.7. Multiple Classes of Stock.</w:t>
      </w:r>
      <w:r>
        <w:rPr>
          <w:rFonts w:ascii="Arial" w:cs="Arial" w:eastAsia="Arial" w:hAnsi="Arial"/>
          <w:sz w:val="17"/>
          <w:szCs w:val="17"/>
          <w:color w:val="auto"/>
        </w:rPr>
        <w:t xml:space="preserve"> The amount and classes of the capital stock and the par value, if any, of the shares, shall be as fixed in the Certificate of Incorporation. At all times when there are two or more classes of stock, the several classes of stock shall conform to the description and the terms and have the respective preferences, voting powers, restrictions and qualifications set forth in the Certificate of Incorporation and these By-laws. Every certificate issued when the corporation is authorized to issue more than one class or series of stock shall set forth on its face or back either (i) the full text of the preferences, voting powers, qualifications and special and relative rights of the shares of each class and series authorized to be issued, or (ii) a statement of the existence of such preferences, powers, qualifications and rights, and a statement that the corporation will furnish a copy thereof to the holder of such certificate upon written request and without charge.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u w:val="single" w:color="auto"/>
          <w:color w:val="auto"/>
        </w:rPr>
        <w:t>Section 5.1. Declaration of Dividends.</w:t>
      </w:r>
      <w:r>
        <w:rPr>
          <w:rFonts w:ascii="Arial" w:cs="Arial" w:eastAsia="Arial" w:hAnsi="Arial"/>
          <w:sz w:val="18"/>
          <w:szCs w:val="18"/>
          <w:color w:val="auto"/>
        </w:rPr>
        <w:t xml:space="preserve"> Except as otherwise required by law or by the Certificate of Incorporation, the board of directors may, in its discretion, declare what, if any, dividends shall be paid from the surplus or from the net profits of the corporation for the current or preceding fiscal year, or as otherwise permitted by law. Dividends may be paid in cash, in property, in shares of the corporation’s stock, or in any combination thereof. Dividends shall be payable upon such dates as the board of directors may designate.</w:t>
      </w:r>
    </w:p>
    <w:p>
      <w:pPr>
        <w:spacing w:after="0" w:line="187"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u w:val="single" w:color="auto"/>
          <w:color w:val="auto"/>
        </w:rPr>
        <w:t>Section 5.2. Reserves.</w:t>
      </w:r>
      <w:r>
        <w:rPr>
          <w:rFonts w:ascii="Arial" w:cs="Arial" w:eastAsia="Arial" w:hAnsi="Arial"/>
          <w:sz w:val="17"/>
          <w:szCs w:val="17"/>
          <w:color w:val="auto"/>
        </w:rPr>
        <w:t xml:space="preserve"> Before the payment of any dividend and before making any distribution of profits, the board of directors, from time to time and in its absolute discretion, shall have power to set aside out of the surplus or net profits of the corporation such sum or sums as the board of directors deems proper and sufficient as a reserve fund to meet contingencies or for such other purpose as the board of directors shall deem to be in the best interests of the corporation, and the board of directors may modify or abolish any such reserve.</w:t>
      </w:r>
    </w:p>
    <w:p>
      <w:pPr>
        <w:spacing w:after="0" w:line="117"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90" w:name="page391"/>
    <w:bookmarkEnd w:id="390"/>
    <w:p>
      <w:pPr>
        <w:jc w:val="center"/>
        <w:ind w:right="-3"/>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Powers of Officers to Contract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With the Corporation</w:t>
      </w:r>
    </w:p>
    <w:p>
      <w:pPr>
        <w:spacing w:after="0" w:line="225"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color w:val="auto"/>
        </w:rPr>
        <w:t>Any and all of the directors and officers of the corporation, notwithstanding their official relations to it, may enter into and perform any contract or agreement of any nature between the corporation and themselves, or any and all of the individuals from time to time constituting the board of directors of the corporation, or any firm or corporation in which any such director may be interested, directly or indirectly, whether such individual, firm or corporation thus contracting with the corporation shall thereby derive personal or corporate profits or benefits or otherwise; provided, that (i) the material facts of such interest are disclosed or are known to the board of directors or committee thereof which authorizes such contract or agreement;</w:t>
      </w:r>
    </w:p>
    <w:p>
      <w:pPr>
        <w:spacing w:after="0" w:line="2" w:lineRule="exact"/>
        <w:rPr>
          <w:sz w:val="20"/>
          <w:szCs w:val="20"/>
          <w:color w:val="auto"/>
        </w:rPr>
      </w:pPr>
    </w:p>
    <w:p>
      <w:pPr>
        <w:ind w:left="4" w:right="20" w:hanging="4"/>
        <w:spacing w:after="0" w:line="252" w:lineRule="auto"/>
        <w:tabs>
          <w:tab w:leader="none" w:pos="269"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the material facts as to such person’s relationship or interest are disclosed or are known to the stockholders entitled to vote thereon, and the contract is specifically approved in good faith by a vote of the stockholders; or (iii) the contract or agreement is fair as to the corporation as of the time it is authorized, approved or ratified by the board of directors, a committee thereof, or the stockholders. Any director of the corporation who is interested in any transaction as aforesaid may nevertheless be counted in determining the existence of a quorum at any meeting of the board of directors which shall authorize or ratify any such transaction. This Article shall not be construed to invalidate any contract or other transaction which would otherwise be valid under the common or statutory law applicable thereto.</w:t>
      </w:r>
    </w:p>
    <w:p>
      <w:pPr>
        <w:spacing w:after="0" w:line="200" w:lineRule="exact"/>
        <w:rPr>
          <w:sz w:val="20"/>
          <w:szCs w:val="20"/>
          <w:color w:val="auto"/>
        </w:rPr>
      </w:pPr>
    </w:p>
    <w:p>
      <w:pPr>
        <w:spacing w:after="0" w:line="210"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ARTICLE VII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Section 7.1. Definitions.</w:t>
      </w:r>
      <w:r>
        <w:rPr>
          <w:rFonts w:ascii="Arial" w:cs="Arial" w:eastAsia="Arial" w:hAnsi="Arial"/>
          <w:sz w:val="18"/>
          <w:szCs w:val="18"/>
          <w:color w:val="auto"/>
        </w:rPr>
        <w:t xml:space="preserve"> For purposes of this Article VII the following terms shall have the meanings indicated:</w:t>
      </w:r>
    </w:p>
    <w:p>
      <w:pPr>
        <w:spacing w:after="0" w:line="225"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“Corporate Status” describes the status of a person who is or was a director, Officer, employee, agent, trustee or fiduciary of the corporation or of any other corporation, partnership, joint venture, trust, employee benefit plan or other enterprise which such person is or was serving at the express written request of the corporation.</w:t>
      </w:r>
    </w:p>
    <w:p>
      <w:pPr>
        <w:spacing w:after="0" w:line="184" w:lineRule="exact"/>
        <w:rPr>
          <w:sz w:val="20"/>
          <w:szCs w:val="20"/>
          <w:color w:val="auto"/>
        </w:rPr>
      </w:pPr>
    </w:p>
    <w:p>
      <w:pPr>
        <w:ind w:left="4" w:right="40" w:firstLine="440"/>
        <w:spacing w:after="0" w:line="342" w:lineRule="auto"/>
        <w:rPr>
          <w:sz w:val="20"/>
          <w:szCs w:val="20"/>
          <w:color w:val="auto"/>
        </w:rPr>
      </w:pPr>
      <w:r>
        <w:rPr>
          <w:rFonts w:ascii="Arial" w:cs="Arial" w:eastAsia="Arial" w:hAnsi="Arial"/>
          <w:sz w:val="16"/>
          <w:szCs w:val="16"/>
          <w:color w:val="auto"/>
        </w:rPr>
        <w:t>“Court” means the Court of Chancery of the State of Delaware, the court in which the Proceeding in respect of which indemnification is sought by a Covered Person shall have been brought or is pending, or another court having subject matter jurisdiction and personal jurisdiction over the parties.</w:t>
      </w:r>
    </w:p>
    <w:p>
      <w:pPr>
        <w:spacing w:after="0" w:line="124" w:lineRule="exact"/>
        <w:rPr>
          <w:sz w:val="20"/>
          <w:szCs w:val="20"/>
          <w:color w:val="auto"/>
        </w:rPr>
      </w:pPr>
    </w:p>
    <w:p>
      <w:pPr>
        <w:ind w:left="4" w:right="820" w:firstLine="440"/>
        <w:spacing w:after="0" w:line="277" w:lineRule="auto"/>
        <w:rPr>
          <w:sz w:val="20"/>
          <w:szCs w:val="20"/>
          <w:color w:val="auto"/>
        </w:rPr>
      </w:pPr>
      <w:r>
        <w:rPr>
          <w:rFonts w:ascii="Arial" w:cs="Arial" w:eastAsia="Arial" w:hAnsi="Arial"/>
          <w:sz w:val="18"/>
          <w:szCs w:val="18"/>
          <w:color w:val="auto"/>
        </w:rPr>
        <w:t>“Covered Person” means a person who is a present or former director or Officer of the corporation and shall include such person’s legal representatives, heirs, executors and administrators.</w:t>
      </w:r>
    </w:p>
    <w:p>
      <w:pPr>
        <w:spacing w:after="0" w:line="170"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“Disinterested” describes any individual, whether or not that individual is a director, Officer, employee or agent of the corporation, who is not and was not and is not threatened to be made a party to the Proceeding in respect of which indemnification, advancement of Expenses or other action is sought by a Covered Person.</w:t>
      </w:r>
    </w:p>
    <w:p>
      <w:pPr>
        <w:spacing w:after="0" w:line="184"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“Expenses” shall include, without limitation,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or being or preparing to be a witness in a Proceeding.</w:t>
      </w:r>
    </w:p>
    <w:p>
      <w:pPr>
        <w:spacing w:after="0" w:line="133" w:lineRule="exact"/>
        <w:rPr>
          <w:sz w:val="20"/>
          <w:szCs w:val="20"/>
          <w:color w:val="auto"/>
        </w:rPr>
      </w:pPr>
    </w:p>
    <w:p>
      <w:pPr>
        <w:ind w:left="4"/>
        <w:spacing w:after="0"/>
        <w:tabs>
          <w:tab w:leader="none" w:pos="10504"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bookmarkStart w:id="391" w:name="page392"/>
    <w:bookmarkEnd w:id="391"/>
    <w:p>
      <w:pPr>
        <w:ind w:right="2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Faith” shall mean a Covered Person having acted in good faith and in a manner such Covered Person reasonably believed to be in or not opposed to the best interests of the corporation or, in the case of an employee benefit plan, the best interests of the participants or beneficiaries of said plan, as the case may be, and, with respect to any Proceeding which is criminal in nature, having had no reasonable cause to believe such Covered Person’s conduct was unlawful.</w:t>
      </w:r>
    </w:p>
    <w:p>
      <w:pPr>
        <w:spacing w:after="0" w:line="187"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auto"/>
        </w:rPr>
        <w:t>“Improper Personal Benefit” shall include, but not be limited to, the personal gain in fact by reason of a person’s Corporate Status of a financial profit, monies or other advantage not also accruing to the benefit of the corporation or to the stockholders generally and which is unrelated to his usual compensation including, but not limited to, (i) in exchange for the exercise of influence over the corporation’s affairs, (ii) as a result of the diversion of corporate opportunity, or (iii) pursuant to the use or communication of confidential or inside information for the purpose of generating a profit from trading in the corporation’s securities. Notwithstanding the foregoing, “Improper Personal Benefit” shall not include any benefit, directly or indirectly, related to actions taken in order to evaluate, discourage, resist, prevent or negotiate any transaction with or proposal from any person or entity seeking control of, or a controlling interest in, the corporation.</w:t>
      </w:r>
    </w:p>
    <w:p>
      <w:pPr>
        <w:spacing w:after="0" w:line="17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“Independent Counsel” means a law firm, or a member of a law firm, that is experienced in matters of corporation law and may include law firms or members thereof that are regularly retained by the corporation but not by any other party to the Proceeding giving rise to a claim for indemnification hereunder. Notwithstanding the foregoing, the term “Independent Counsel” shall not include any person who, under the standards of professional conduct then prevailing and applicable to such counsel, would have a conflict of interest in representing either the corporation or Covered Person in an action to determine the Covered Person’s rights under this Article.</w:t>
      </w:r>
    </w:p>
    <w:p>
      <w:pPr>
        <w:spacing w:after="0" w:line="188"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“Officer” means the president, vice presidents, treasurer, assistant treasurer(s), secretary, assistant secretary and such other executive officers as are appointed by the board of directors of the corporation and explicitly entitled to indemnification hereunder.</w:t>
      </w:r>
    </w:p>
    <w:p>
      <w:pPr>
        <w:spacing w:after="0" w:line="170"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“Proceeding” includes any actual, threatened or completed action, suit, arbitration, alternate dispute resolution mechanism, investigation (including any internal corporate investigation), administrative hearing or any other proceeding, whether civil, criminal, administrative or investigative, other than one initiated by the Covered Person, but including one initiated by a Covered Person for the purpose of enforcing such Covered Person’s rights under this Article to the extent provided in Section 7.14 of this Article. “Proceeding” shall not include any counterclaim brought by any Covered Person other than one arising out of the same transaction or occurrence that is the subject matter of the underlying claim.</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7.2. Right to Indemnification in General.</w:t>
      </w:r>
    </w:p>
    <w:p>
      <w:pPr>
        <w:spacing w:after="0" w:line="117" w:lineRule="exact"/>
        <w:rPr>
          <w:sz w:val="20"/>
          <w:szCs w:val="20"/>
          <w:color w:val="auto"/>
        </w:rPr>
      </w:pPr>
    </w:p>
    <w:p>
      <w:pPr>
        <w:jc w:val="both"/>
        <w:ind w:right="260" w:firstLine="436"/>
        <w:spacing w:after="0" w:line="263" w:lineRule="auto"/>
        <w:tabs>
          <w:tab w:leader="none" w:pos="82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Covered Persons.</w:t>
      </w:r>
      <w:r>
        <w:rPr>
          <w:rFonts w:ascii="Arial" w:cs="Arial" w:eastAsia="Arial" w:hAnsi="Arial"/>
          <w:sz w:val="18"/>
          <w:szCs w:val="18"/>
          <w:color w:val="auto"/>
        </w:rPr>
        <w:t xml:space="preserve"> The corporation may indemnify, and may advance Expenses, to each Covered Person who is, was or is threatened to be made a party or otherwise involved in any Proceeding, as provided in this Article and to the fullest extent permitted by applicable law in effect on the date hereof and to such greater extent as applicable law may hereafter from time to time permit.</w:t>
      </w:r>
    </w:p>
    <w:p>
      <w:pPr>
        <w:spacing w:after="0" w:line="184" w:lineRule="exact"/>
        <w:rPr>
          <w:sz w:val="20"/>
          <w:szCs w:val="20"/>
          <w:color w:val="auto"/>
        </w:rPr>
      </w:pPr>
    </w:p>
    <w:p>
      <w:pPr>
        <w:jc w:val="both"/>
        <w:ind w:right="240" w:firstLine="440"/>
        <w:spacing w:after="0" w:line="257" w:lineRule="auto"/>
        <w:rPr>
          <w:sz w:val="20"/>
          <w:szCs w:val="20"/>
          <w:color w:val="auto"/>
        </w:rPr>
      </w:pPr>
      <w:r>
        <w:rPr>
          <w:rFonts w:ascii="Arial" w:cs="Arial" w:eastAsia="Arial" w:hAnsi="Arial"/>
          <w:sz w:val="18"/>
          <w:szCs w:val="18"/>
          <w:color w:val="auto"/>
        </w:rPr>
        <w:t>The indemnification provisions in this Article shall be deemed to be a contract between the corporation and each Covered Person who serves in any Corporate Status at any time while these provisions as well as the relevant provisions of the Delaware General Corporation Law are in effect, and any repeal or modification thereof shall not affect any right or obligation then existing with respect to any state of facts then or previously existing or any Proceeding previously or thereafter brought or threatened based in whole or in part upon any such state of facts. Such a contract right may not be modified retroactively without the consent of such Covered Person.</w:t>
      </w:r>
    </w:p>
    <w:p>
      <w:pPr>
        <w:spacing w:after="0" w:line="134"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92" w:name="page393"/>
    <w:bookmarkEnd w:id="392"/>
    <w:p>
      <w:pPr>
        <w:ind w:right="100" w:firstLine="436"/>
        <w:spacing w:after="0" w:line="263" w:lineRule="auto"/>
        <w:tabs>
          <w:tab w:leader="none" w:pos="83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Employees and Agents.</w:t>
      </w:r>
      <w:r>
        <w:rPr>
          <w:rFonts w:ascii="Arial" w:cs="Arial" w:eastAsia="Arial" w:hAnsi="Arial"/>
          <w:sz w:val="18"/>
          <w:szCs w:val="18"/>
          <w:color w:val="auto"/>
        </w:rPr>
        <w:t xml:space="preserve"> The corporation may, to the extent authorized from time to time by the board of directors, grant indemnification and the advancement of Expenses to any employee or agent of the corporation to the fullest extent of the provisions of this Article with respect to the indemnification and advancement of Expenses of Covered Persons.</w:t>
      </w:r>
    </w:p>
    <w:p>
      <w:pPr>
        <w:spacing w:after="0" w:line="18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u w:val="single" w:color="auto"/>
          <w:color w:val="auto"/>
        </w:rPr>
        <w:t>Section 7.3. Proceedings Other Than Proceedings by or in the Right of the Corporation.</w:t>
      </w:r>
      <w:r>
        <w:rPr>
          <w:rFonts w:ascii="Arial" w:cs="Arial" w:eastAsia="Arial" w:hAnsi="Arial"/>
          <w:sz w:val="17"/>
          <w:szCs w:val="17"/>
          <w:color w:val="auto"/>
        </w:rPr>
        <w:t xml:space="preserve"> Each Covered Person may be entitled to the rights of indemnification provided in this Section 7.3 if, by reason of such Covered Person’s Corporate Status, such Covered Person is, was or is threatened to be made, a party to or is otherwise involved in any Proceeding, other than a Proceeding by or in the right of the corporation. Each Covered Person may be indemnified against Expenses, judgments, penalties, fines and amounts paid in settlements, actually and reasonably incurred by such Covered Person or on such Covered Person’s behalf in connection with such Proceeding or any claim, issue or matter therein, if such Covered Person acted in Good Faith and such Covered Person has not been adjudged during the course of such proceeding to have derived an Improper Personal Benefit from the transaction or occurrence forming the basis of such Proceeding.</w:t>
      </w:r>
    </w:p>
    <w:p>
      <w:pPr>
        <w:spacing w:after="0" w:line="177"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u w:val="single" w:color="auto"/>
          <w:color w:val="auto"/>
        </w:rPr>
        <w:t>Section 7.4. Proceedings by or in the Right of the Corporation.</w:t>
      </w:r>
      <w:r>
        <w:rPr>
          <w:rFonts w:ascii="Arial" w:cs="Arial" w:eastAsia="Arial" w:hAnsi="Arial"/>
          <w:sz w:val="17"/>
          <w:szCs w:val="17"/>
          <w:color w:val="auto"/>
        </w:rPr>
        <w:t xml:space="preserve"> Each Covered Person may be entitled to the rights of indemnification provided in this Section 7.4 if, by reason of such Covered Person’s Corporate Status, such Covered Person is, or is threatened to be made, a party to or is otherwise involved in any Proceeding brought by or in the right of the corporation to procure a judgment in its favor. Such Covered Person may be indemnified against Expenses, judgments, penalties, and amounts paid in settlement, actually and reasonably incurred by such Covered Person or on such Covered Person’s behalf in connection with such Proceeding if such Covered Person acted in Good Faith and such Covered Person has not been adjudged during the course of such proceeding to have derived an Improper Personal Benefit from the transaction or occurrence forming the basis of such Proceeding. Notwithstanding the foregoing, no such indemnification shall be made in respect of any claim, issue or matter in such Proceeding as to which such Covered Person shall have been adjudged to be liable to the corporation if applicable law prohibits such indemnification; provided, however, that, if applicable law so permits, indemnification shall nevertheless be made by the corporation in such event if and only to the extent that the Court which is considering the matter shall so determine.</w:t>
      </w:r>
    </w:p>
    <w:p>
      <w:pPr>
        <w:spacing w:after="0" w:line="185" w:lineRule="exact"/>
        <w:rPr>
          <w:sz w:val="20"/>
          <w:szCs w:val="20"/>
          <w:color w:val="auto"/>
        </w:rPr>
      </w:pPr>
    </w:p>
    <w:p>
      <w:pPr>
        <w:ind w:right="140" w:firstLine="440"/>
        <w:spacing w:after="0" w:line="269" w:lineRule="auto"/>
        <w:rPr>
          <w:sz w:val="20"/>
          <w:szCs w:val="20"/>
          <w:color w:val="auto"/>
        </w:rPr>
      </w:pPr>
      <w:r>
        <w:rPr>
          <w:rFonts w:ascii="Arial" w:cs="Arial" w:eastAsia="Arial" w:hAnsi="Arial"/>
          <w:sz w:val="17"/>
          <w:szCs w:val="17"/>
          <w:u w:val="single" w:color="auto"/>
          <w:color w:val="auto"/>
        </w:rPr>
        <w:t>Section 7.5. Indemnification of a Party Who is Wholly or Partly Successful.</w:t>
      </w:r>
      <w:r>
        <w:rPr>
          <w:rFonts w:ascii="Arial" w:cs="Arial" w:eastAsia="Arial" w:hAnsi="Arial"/>
          <w:sz w:val="17"/>
          <w:szCs w:val="17"/>
          <w:color w:val="auto"/>
        </w:rPr>
        <w:t xml:space="preserve"> Notwithstanding any provision of this Article to the contrary, to the extent that a Covered Person is, by reason of such Covered Person’s Corporate Status, a party to or is otherwise involved in and is successful, on the merits or otherwise, in any Proceeding, such Covered Person shall be indemnified to the maximum extent permitted by law, against all Expenses, judgments, penalties, fines, and amounts paid in settlement, actually and reasonably incurred by such Covered Person or on such Covered Person’s behalf in connection therewith. If such Covered Person is not wholly successful in such Proceeding but is successful, on the merits or otherwise, as to one or more but less than all claims, issues or matters in such Proceeding, the corporation shall indemnify such Covered Person to the maximum extent permitted by law, against all Expenses, judgments, penalties, fines, and amounts paid in settlement, actually and reasonably incurred by such Covered Person or on such Covered Person’s behalf in connection with each successfully resolved claim, issue or matter. For purposes of this Section 7.5 and without limitation, the termination of any claim, issue or matter in such a Proceeding by dismissal, with or without prejudice, shall be deemed to be a successful result as to such claim, issue or matter.</w:t>
      </w:r>
    </w:p>
    <w:p>
      <w:pPr>
        <w:spacing w:after="0" w:line="185"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u w:val="single" w:color="auto"/>
          <w:color w:val="auto"/>
        </w:rPr>
        <w:t>Section 7.6. Indemnification for Expenses of a Witness.</w:t>
      </w:r>
      <w:r>
        <w:rPr>
          <w:rFonts w:ascii="Arial" w:cs="Arial" w:eastAsia="Arial" w:hAnsi="Arial"/>
          <w:sz w:val="16"/>
          <w:szCs w:val="16"/>
          <w:color w:val="auto"/>
        </w:rPr>
        <w:t xml:space="preserve"> Notwithstanding any provision of this Article to the contrary, to the extent that a Covered Person is, by reason of such Covered Person’s Corporate Status, a witness in any Proceeding, such Covered Person shall be indemnified against all Expenses actually and reasonably incurred by such Covered Person or on such Covered Person’s behalf in connection therewith.</w:t>
      </w:r>
    </w:p>
    <w:p>
      <w:pPr>
        <w:spacing w:after="0" w:line="95"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93" w:name="page394"/>
    <w:bookmarkEnd w:id="393"/>
    <w:p>
      <w:pPr>
        <w:ind w:right="100" w:firstLine="440"/>
        <w:spacing w:after="0" w:line="269"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7.7. Advancement of Expenses.</w:t>
      </w:r>
      <w:r>
        <w:rPr>
          <w:rFonts w:ascii="Arial" w:cs="Arial" w:eastAsia="Arial" w:hAnsi="Arial"/>
          <w:sz w:val="17"/>
          <w:szCs w:val="17"/>
          <w:color w:val="auto"/>
        </w:rPr>
        <w:t xml:space="preserve"> Notwithstanding any provision of this Article to the contrary, the corporation may advance all reasonable Expenses which, by reason of a Covered Person’s Corporate Status, were incurred by or on behalf of such Covered Person in connection with any Proceeding, within thirty (30) days after the receipt by the corporation of a statement or statements from such Covered Person requesting such advance or advances, whether prior to or after final disposition of such Proceeding. Such statement or statements shall reasonably evidence the Expenses incurred by the Covered Person and shall include or be preceded or accompanied by an undertaking by or on behalf of the Covered Person to repay any Expenses if such Covered Person shall be adjudged to be not entitled to be indemnified against such Expenses. Any advance and undertaking to repay pursuant to this Section 7.7 may be unsecured interest-free, as the corporation sees fit. Advancement of Expenses pursuant to this Section 7.7 shall not require approval of the board of directors or the stockholders of the corporation, or of any other person or body. The secretary of the corporation shall promptly advise the Board in writing of the request for advancement of Expenses, of the amount and other details of the request and of the undertaking to make repayment provided pursuant to this Section 7.7.</w:t>
      </w:r>
    </w:p>
    <w:p>
      <w:pPr>
        <w:spacing w:after="0" w:line="185"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u w:val="single" w:color="auto"/>
          <w:color w:val="auto"/>
        </w:rPr>
        <w:t>Section 7.8. Notification and Defense of Claim.</w:t>
      </w:r>
      <w:r>
        <w:rPr>
          <w:rFonts w:ascii="Arial" w:cs="Arial" w:eastAsia="Arial" w:hAnsi="Arial"/>
          <w:sz w:val="17"/>
          <w:szCs w:val="17"/>
          <w:color w:val="auto"/>
        </w:rPr>
        <w:t xml:space="preserve"> Promptly after receipt by a Covered Person of notice of the commencement of any Proceeding, such Covered Person shall, if a claim is to be made against the corporation under this Article, notify the corporation of the commencement of the Proceeding. The failure to notify the corporation will not relieve the corporation from any liability which it may have to such Covered Person otherwise than under this Article. With respect to any such Proceedings to which such Covered Person notifies the corporation:</w:t>
      </w:r>
    </w:p>
    <w:p>
      <w:pPr>
        <w:spacing w:after="0" w:line="171" w:lineRule="exact"/>
        <w:rPr>
          <w:sz w:val="20"/>
          <w:szCs w:val="20"/>
          <w:color w:val="auto"/>
        </w:rPr>
      </w:pPr>
    </w:p>
    <w:p>
      <w:pPr>
        <w:ind w:left="820" w:hanging="384"/>
        <w:spacing w:after="0"/>
        <w:tabs>
          <w:tab w:leader="none" w:pos="8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corporation will be entitled to participate in the defense at its own expense.</w:t>
      </w:r>
    </w:p>
    <w:p>
      <w:pPr>
        <w:spacing w:after="0" w:line="225" w:lineRule="exact"/>
        <w:rPr>
          <w:rFonts w:ascii="Arial" w:cs="Arial" w:eastAsia="Arial" w:hAnsi="Arial"/>
          <w:sz w:val="18"/>
          <w:szCs w:val="18"/>
          <w:color w:val="auto"/>
        </w:rPr>
      </w:pPr>
    </w:p>
    <w:p>
      <w:pPr>
        <w:ind w:right="20" w:firstLine="436"/>
        <w:spacing w:after="0" w:line="286" w:lineRule="auto"/>
        <w:tabs>
          <w:tab w:leader="none" w:pos="82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Except as otherwise provided below in this subparagraph (b), the corporation (jointly with any other indemnifying party similarly notified) will be entitled to assume the defense with counsel reasonably satisfactory to the Covered Person. After notice from the corporation to the Covered Person of its election to assume the defense of a suit, the corporation will not be liable to the Covered Person under this Article for any legal or other expenses subsequently incurred by the Covered Person in connection with the defense of the Proceeding other than reasonable costs of investigation or as otherwise provided below in this subparagraph (b). The Covered Person shall have the right to employ his own counsel in such Proceeding but the fees and expenses of such counsel incurred after notice from the corporation of its assumption of the defense shall be at the expense of the Covered Person except as provided in this paragraph. The fees and expenses of counsel shall be at the expense of the corporation if (i) the employment of counsel by the Covered Person has been authorized by the corporation, (ii) the Covered Person shall have concluded reasonably that there may be a conflict of interest between the corporation and the Covered Person in the conduct of the defense of such action and such conclusion is confirmed in writing by the corporation’s outside counsel regularly employed by it in connection with corporate matters, or (iii) the corporation shall not in fact have employed counsel to assume the defense of such Proceeding. The corporation shall be entitled to participate in, but shall not be entitled to assume the defense of any Proceeding brought by or in the right of the corporation or as to which the Covered Person shall have made the conclusion provided for in (ii) above and such conclusion shall have been so confirmed by the corporation’s said outside counsel.</w:t>
      </w:r>
    </w:p>
    <w:p>
      <w:pPr>
        <w:spacing w:after="0" w:line="173" w:lineRule="exact"/>
        <w:rPr>
          <w:rFonts w:ascii="Arial" w:cs="Arial" w:eastAsia="Arial" w:hAnsi="Arial"/>
          <w:sz w:val="16"/>
          <w:szCs w:val="16"/>
          <w:color w:val="auto"/>
        </w:rPr>
      </w:pPr>
    </w:p>
    <w:p>
      <w:pPr>
        <w:ind w:right="60" w:firstLine="436"/>
        <w:spacing w:after="0" w:line="301" w:lineRule="auto"/>
        <w:tabs>
          <w:tab w:leader="none" w:pos="80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Notwithstanding any provision of this Article to the contrary, the corporation shall not be obligated to indemnify the Covered Person under this Article for any amounts paid in settlement of any Proceeding effected without its written consent. The corporation shall not settle any Proceeding or claim in any manner which would impose any penalty, limitation or disqualification of the Covered Person for any purpose without such Covered Person’s written consent. Neither the corporation nor the Covered Person will unreasonably withhold their consent to any proposed settlement.</w:t>
      </w:r>
    </w:p>
    <w:p>
      <w:pPr>
        <w:spacing w:after="0" w:line="10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94" w:name="page395"/>
    <w:bookmarkEnd w:id="394"/>
    <w:p>
      <w:pPr>
        <w:ind w:right="40" w:firstLine="436"/>
        <w:spacing w:after="0" w:line="308" w:lineRule="auto"/>
        <w:tabs>
          <w:tab w:leader="none" w:pos="830" w:val="left"/>
        </w:tabs>
        <w:numPr>
          <w:ilvl w:val="0"/>
          <w:numId w:val="2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it is determined that the Covered Person is entitled to indemnification other than as afforded under subparagraph (b) above, payment to the Covered Person of the additional amounts for which he is to be indemnified shall be made within ten (10) days after such determination.</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7.9. Procedures.</w:t>
      </w:r>
    </w:p>
    <w:p>
      <w:pPr>
        <w:spacing w:after="0" w:line="117" w:lineRule="exact"/>
        <w:rPr>
          <w:sz w:val="20"/>
          <w:szCs w:val="20"/>
          <w:color w:val="auto"/>
        </w:rPr>
      </w:pPr>
    </w:p>
    <w:p>
      <w:pPr>
        <w:ind w:right="120" w:firstLine="436"/>
        <w:spacing w:after="0" w:line="255" w:lineRule="auto"/>
        <w:tabs>
          <w:tab w:leader="none" w:pos="83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Method of Determination.</w:t>
      </w:r>
      <w:r>
        <w:rPr>
          <w:rFonts w:ascii="Arial" w:cs="Arial" w:eastAsia="Arial" w:hAnsi="Arial"/>
          <w:sz w:val="18"/>
          <w:szCs w:val="18"/>
          <w:color w:val="auto"/>
        </w:rPr>
        <w:t xml:space="preserve"> A determination (as provided for by this Article or if required by applicable law in the specific case) with respect to a Covered Person’s entitlement to indemnification shall be made either (a) by the board of directors by a majority vote of a quorum consisting of Disinterested directors, or (b) in the event that a quorum of the board of directors consisting of Disinterested directors is not obtainable or, even if obtainable, such quorum of Disinterested directors so directs, by Independent Counsel in a written determination to the board of directors, a copy of which shall be delivered to the Covered Person seeking indemnification, or (c) by the vote of the holders of a majority of the corporation’s capital stock outstanding at the time entitled to vote thereon.</w:t>
      </w:r>
    </w:p>
    <w:p>
      <w:pPr>
        <w:spacing w:after="0" w:line="192" w:lineRule="exact"/>
        <w:rPr>
          <w:rFonts w:ascii="Arial" w:cs="Arial" w:eastAsia="Arial" w:hAnsi="Arial"/>
          <w:sz w:val="18"/>
          <w:szCs w:val="18"/>
          <w:color w:val="auto"/>
        </w:rPr>
      </w:pPr>
    </w:p>
    <w:p>
      <w:pPr>
        <w:ind w:right="260" w:firstLine="436"/>
        <w:spacing w:after="0" w:line="263" w:lineRule="auto"/>
        <w:tabs>
          <w:tab w:leader="none" w:pos="83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Initiating Request.</w:t>
      </w:r>
      <w:r>
        <w:rPr>
          <w:rFonts w:ascii="Arial" w:cs="Arial" w:eastAsia="Arial" w:hAnsi="Arial"/>
          <w:sz w:val="18"/>
          <w:szCs w:val="18"/>
          <w:color w:val="auto"/>
        </w:rPr>
        <w:t xml:space="preserve"> A Covered Person who seeks indemnification under this Article shall submit a Request for Indemnification, including such documentation and information as is reasonably available to such Covered Person and is reasonably necessary to determine whether and to what extent such Covered Person is entitled to indemnification.</w:t>
      </w:r>
    </w:p>
    <w:p>
      <w:pPr>
        <w:spacing w:after="0" w:line="183" w:lineRule="exact"/>
        <w:rPr>
          <w:rFonts w:ascii="Arial" w:cs="Arial" w:eastAsia="Arial" w:hAnsi="Arial"/>
          <w:sz w:val="18"/>
          <w:szCs w:val="18"/>
          <w:color w:val="auto"/>
        </w:rPr>
      </w:pPr>
    </w:p>
    <w:p>
      <w:pPr>
        <w:ind w:right="320" w:firstLine="436"/>
        <w:spacing w:after="0" w:line="277" w:lineRule="auto"/>
        <w:tabs>
          <w:tab w:leader="none" w:pos="79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Presumptions.</w:t>
      </w:r>
      <w:r>
        <w:rPr>
          <w:rFonts w:ascii="Arial" w:cs="Arial" w:eastAsia="Arial" w:hAnsi="Arial"/>
          <w:sz w:val="18"/>
          <w:szCs w:val="18"/>
          <w:color w:val="auto"/>
        </w:rPr>
        <w:t xml:space="preserve"> In making a determination with respect to entitlement to indemnification hereunder, the person or persons or entity making such determination shall not presume that the Covered Person is or is not entitled to indemnification under this Article.</w:t>
      </w:r>
    </w:p>
    <w:p>
      <w:pPr>
        <w:spacing w:after="0" w:line="170" w:lineRule="exact"/>
        <w:rPr>
          <w:rFonts w:ascii="Arial" w:cs="Arial" w:eastAsia="Arial" w:hAnsi="Arial"/>
          <w:sz w:val="18"/>
          <w:szCs w:val="18"/>
          <w:color w:val="auto"/>
        </w:rPr>
      </w:pPr>
    </w:p>
    <w:p>
      <w:pPr>
        <w:jc w:val="both"/>
        <w:ind w:right="400" w:firstLine="436"/>
        <w:spacing w:after="0" w:line="263" w:lineRule="auto"/>
        <w:tabs>
          <w:tab w:leader="none" w:pos="79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Burden of Proof.</w:t>
      </w:r>
      <w:r>
        <w:rPr>
          <w:rFonts w:ascii="Arial" w:cs="Arial" w:eastAsia="Arial" w:hAnsi="Arial"/>
          <w:sz w:val="18"/>
          <w:szCs w:val="18"/>
          <w:color w:val="auto"/>
        </w:rPr>
        <w:t xml:space="preserve"> Each Covered Person shall bear the burden of going forward and demonstrating sufficient facts to support his claim for entitlement to indemnification under this Article. That burden shall be deemed satisfied by the submission of an initial Request for Indemnification pursuant to Section 7.9(b) above.</w:t>
      </w:r>
    </w:p>
    <w:p>
      <w:pPr>
        <w:spacing w:after="0" w:line="183" w:lineRule="exact"/>
        <w:rPr>
          <w:rFonts w:ascii="Arial" w:cs="Arial" w:eastAsia="Arial" w:hAnsi="Arial"/>
          <w:sz w:val="18"/>
          <w:szCs w:val="18"/>
          <w:color w:val="auto"/>
        </w:rPr>
      </w:pPr>
    </w:p>
    <w:p>
      <w:pPr>
        <w:ind w:right="280" w:firstLine="436"/>
        <w:spacing w:after="0" w:line="311" w:lineRule="auto"/>
        <w:tabs>
          <w:tab w:leader="none" w:pos="830"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Effect of Other Proceedings.</w:t>
      </w:r>
      <w:r>
        <w:rPr>
          <w:rFonts w:ascii="Arial" w:cs="Arial" w:eastAsia="Arial" w:hAnsi="Arial"/>
          <w:sz w:val="16"/>
          <w:szCs w:val="16"/>
          <w:color w:val="auto"/>
        </w:rPr>
        <w:t xml:space="preserve"> The termination of any Proceeding or of any claim, issue or matter therein, by judgment, order, settlement or conviction, or upon a plea of guilty or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(except as otherwise expressly provided in this Article) of itself adversely affect the right of a Covered Person to indemnification or create a presumption that a Covered Person did not act in Good Faith.</w:t>
      </w:r>
    </w:p>
    <w:p>
      <w:pPr>
        <w:spacing w:after="0" w:line="148" w:lineRule="exact"/>
        <w:rPr>
          <w:rFonts w:ascii="Arial" w:cs="Arial" w:eastAsia="Arial" w:hAnsi="Arial"/>
          <w:sz w:val="16"/>
          <w:szCs w:val="16"/>
          <w:color w:val="auto"/>
        </w:rPr>
      </w:pPr>
    </w:p>
    <w:p>
      <w:pPr>
        <w:jc w:val="both"/>
        <w:ind w:right="320" w:firstLine="436"/>
        <w:spacing w:after="0" w:line="263" w:lineRule="auto"/>
        <w:tabs>
          <w:tab w:leader="none" w:pos="79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Actions of Others.</w:t>
      </w:r>
      <w:r>
        <w:rPr>
          <w:rFonts w:ascii="Arial" w:cs="Arial" w:eastAsia="Arial" w:hAnsi="Arial"/>
          <w:sz w:val="18"/>
          <w:szCs w:val="18"/>
          <w:color w:val="auto"/>
        </w:rPr>
        <w:t xml:space="preserve"> The knowledge, actions, or failure to act, of any director, officer, employee, agent, trustee or fiduciary of the enterprise whose daily activities the Covered Person was actually responsible for may be imputed to a Covered Person for purposes of determining the right to indemnification under this Article.</w:t>
      </w:r>
    </w:p>
    <w:p>
      <w:pPr>
        <w:spacing w:after="0" w:line="18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u w:val="single" w:color="auto"/>
          <w:color w:val="auto"/>
        </w:rPr>
        <w:t>Section 7.10. Action by the Corporation.</w:t>
      </w:r>
      <w:r>
        <w:rPr>
          <w:rFonts w:ascii="Arial" w:cs="Arial" w:eastAsia="Arial" w:hAnsi="Arial"/>
          <w:sz w:val="18"/>
          <w:szCs w:val="18"/>
          <w:color w:val="auto"/>
        </w:rPr>
        <w:t xml:space="preserve"> Any action, payment, advance determination other than a determination made pursuant to Section 7.9(a) above, authorization, requirement, grant of indemnification or other action taken by the corporation pursuant to this Article shall be effected exclusively through any Disinterested person so authorized by the board of directors of the corporation, including the president or any vice president of the corporation.</w:t>
      </w:r>
    </w:p>
    <w:p>
      <w:pPr>
        <w:spacing w:after="0" w:line="18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u w:val="single" w:color="auto"/>
          <w:color w:val="auto"/>
        </w:rPr>
        <w:t>Section 7.11. Non-Exclusivity.</w:t>
      </w:r>
      <w:r>
        <w:rPr>
          <w:rFonts w:ascii="Arial" w:cs="Arial" w:eastAsia="Arial" w:hAnsi="Arial"/>
          <w:sz w:val="18"/>
          <w:szCs w:val="18"/>
          <w:color w:val="auto"/>
        </w:rPr>
        <w:t xml:space="preserve"> The rights of indemnification and to receive advancement of Expenses as provided by this Article shall not be deemed exclusive of any other rights to which a Covered Person may at any time be entitled under applicable law, the Certificate of Incorporation, these By-Laws, any agreement, a vote of stockholders or a resolution of the board of directors, or otherwise. No amendment, alteration, rescission or replacement of this Article or any provision hereof shall be effective as to an Covered Person with respect to any action taken or omitted by such Covered Person in such Covered Person’s Corporate Status or with respect to any state of facts then or previously existing or any Proceeding previously or thereafter brought or threatened based in whole or to the extent based in part upon any such state of facts existing prior to such amendment, alteration, rescission or replacement.</w:t>
      </w:r>
    </w:p>
    <w:p>
      <w:pPr>
        <w:spacing w:after="0" w:line="141"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95" w:name="page396"/>
    <w:bookmarkEnd w:id="395"/>
    <w:p>
      <w:pPr>
        <w:ind w:right="40" w:firstLine="440"/>
        <w:spacing w:after="0" w:line="286"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7.12. Insurance.</w:t>
      </w:r>
      <w:r>
        <w:rPr>
          <w:rFonts w:ascii="Arial" w:cs="Arial" w:eastAsia="Arial" w:hAnsi="Arial"/>
          <w:sz w:val="17"/>
          <w:szCs w:val="17"/>
          <w:color w:val="auto"/>
        </w:rPr>
        <w:t xml:space="preserve"> The corporation may maintain, at its expense, an insurance policy or policies to protect itself and any Covered Person, officer, employee or agent of the corporation or another enterprise against liability arising out of this Article or otherwise, whether or not the corporation would have the power to indemnify any such person against such liability under the Delaware General Corporation Law.</w:t>
      </w:r>
    </w:p>
    <w:p>
      <w:pPr>
        <w:spacing w:after="0" w:line="16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u w:val="single" w:color="auto"/>
          <w:color w:val="auto"/>
        </w:rPr>
        <w:t>Section 7.13. No Duplicative Payment.</w:t>
      </w:r>
      <w:r>
        <w:rPr>
          <w:rFonts w:ascii="Arial" w:cs="Arial" w:eastAsia="Arial" w:hAnsi="Arial"/>
          <w:sz w:val="18"/>
          <w:szCs w:val="18"/>
          <w:color w:val="auto"/>
        </w:rPr>
        <w:t xml:space="preserve"> The corporation shall not be liable under this Article to make any payment of amounts otherwise indemnifiable hereunder if and to the extent that a Covered Person has otherwise actually received such payment under any insurance policy, contract, agreement or otherwise.</w:t>
      </w:r>
    </w:p>
    <w:p>
      <w:pPr>
        <w:spacing w:after="0" w:line="184"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u w:val="single" w:color="auto"/>
          <w:color w:val="auto"/>
        </w:rPr>
        <w:t>Section 7.14. Expenses of Adjudication.</w:t>
      </w:r>
      <w:r>
        <w:rPr>
          <w:rFonts w:ascii="Arial" w:cs="Arial" w:eastAsia="Arial" w:hAnsi="Arial"/>
          <w:sz w:val="18"/>
          <w:szCs w:val="18"/>
          <w:color w:val="auto"/>
        </w:rPr>
        <w:t xml:space="preserve"> In the event that any Covered Person seeks a judicial adjudication, or an award in arbitration, to enforce such Covered Person’s rights under, or to recover damages for breach of, this Article, the Covered Person shall be entitled to recover from the corporation, and shall be indemnified by the corporation against, any and all expenses (of the types described in the definition of Expenses in Section 7.1 of this Article) actually and reasonably incurred by such Covered Person in seeking such adjudication or arbitration, but only if such Covered Person prevails therein. If it shall be determined in such adjudication or arbitration that the Covered Person is entitled to receive part but not all of the indemnification of expenses sought, the expenses incurred by such Covered Person in connection with such adjudication or arbitration shall be appropriately prorated.</w:t>
      </w:r>
    </w:p>
    <w:p>
      <w:pPr>
        <w:spacing w:after="0" w:line="195"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u w:val="single" w:color="auto"/>
          <w:color w:val="auto"/>
        </w:rPr>
        <w:t>Section 7.15. Severability.</w:t>
      </w:r>
      <w:r>
        <w:rPr>
          <w:rFonts w:ascii="Arial" w:cs="Arial" w:eastAsia="Arial" w:hAnsi="Arial"/>
          <w:sz w:val="18"/>
          <w:szCs w:val="18"/>
          <w:color w:val="auto"/>
        </w:rPr>
        <w:t xml:space="preserve"> If any provision or provisions of this Article shall be held to be invalid, illegal or unenforceable for any reason whatsoever:</w:t>
      </w:r>
    </w:p>
    <w:p>
      <w:pPr>
        <w:spacing w:after="0" w:line="170" w:lineRule="exact"/>
        <w:rPr>
          <w:sz w:val="20"/>
          <w:szCs w:val="20"/>
          <w:color w:val="auto"/>
        </w:rPr>
      </w:pPr>
    </w:p>
    <w:p>
      <w:pPr>
        <w:ind w:right="100" w:firstLine="436"/>
        <w:spacing w:after="0" w:line="263" w:lineRule="auto"/>
        <w:tabs>
          <w:tab w:leader="none" w:pos="8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validity, legality and enforceability of the remaining provisions of this Article (including without limitation, each portion of any Section of this Article containing any such provision held to be invalid, illegal or unenforceable, that is not itself invalid, illegal or unenforceable) shall not in any way be affected or impaired thereby; and</w:t>
      </w:r>
    </w:p>
    <w:p>
      <w:pPr>
        <w:spacing w:after="0" w:line="183" w:lineRule="exact"/>
        <w:rPr>
          <w:rFonts w:ascii="Arial" w:cs="Arial" w:eastAsia="Arial" w:hAnsi="Arial"/>
          <w:sz w:val="18"/>
          <w:szCs w:val="18"/>
          <w:color w:val="auto"/>
        </w:rPr>
      </w:pPr>
    </w:p>
    <w:p>
      <w:pPr>
        <w:ind w:right="220" w:firstLine="436"/>
        <w:spacing w:after="0" w:line="263" w:lineRule="auto"/>
        <w:tabs>
          <w:tab w:leader="none" w:pos="83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to the fullest extent possible, the provisions of this Article (including, without limitation, each portion of any Section of this Article containing any such provision held to be invalid, illegal or unenforceable, that is not itself invalid, illegal or unenforceable) shall be construed so as to give effect to the intent manifested by the provision held invalid, illegal or unenforceable.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u w:val="single" w:color="auto"/>
          <w:color w:val="auto"/>
        </w:rPr>
        <w:t>Section 8.1. Certificate of Incorporation.</w:t>
      </w:r>
      <w:r>
        <w:rPr>
          <w:rFonts w:ascii="Arial" w:cs="Arial" w:eastAsia="Arial" w:hAnsi="Arial"/>
          <w:sz w:val="18"/>
          <w:szCs w:val="18"/>
          <w:color w:val="auto"/>
        </w:rPr>
        <w:t xml:space="preserve"> All references in these By-laws to the Certificate of Incorporation shall be deemed to refer to the Certificate of Incorporation of the corporation, as amended and in effect from time to time.</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u w:val="single" w:color="auto"/>
          <w:color w:val="auto"/>
        </w:rPr>
        <w:t>Section 8.2. Fiscal Year.</w:t>
      </w:r>
      <w:r>
        <w:rPr>
          <w:rFonts w:ascii="Arial" w:cs="Arial" w:eastAsia="Arial" w:hAnsi="Arial"/>
          <w:sz w:val="18"/>
          <w:szCs w:val="18"/>
          <w:color w:val="auto"/>
        </w:rPr>
        <w:t xml:space="preserve"> Except as from time to time otherwise provided by the board of directors, the fiscal year of the corporation shall end on the 31</w:t>
      </w:r>
      <w:r>
        <w:rPr>
          <w:rFonts w:ascii="Arial" w:cs="Arial" w:eastAsia="Arial" w:hAnsi="Arial"/>
          <w:sz w:val="15"/>
          <w:szCs w:val="15"/>
          <w:color w:val="auto"/>
        </w:rPr>
        <w:t>st</w:t>
      </w:r>
      <w:r>
        <w:rPr>
          <w:rFonts w:ascii="Arial" w:cs="Arial" w:eastAsia="Arial" w:hAnsi="Arial"/>
          <w:sz w:val="18"/>
          <w:szCs w:val="18"/>
          <w:color w:val="auto"/>
        </w:rPr>
        <w:t xml:space="preserve"> of December of each year.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8.3. Corporate Seal.</w:t>
      </w:r>
      <w:r>
        <w:rPr>
          <w:rFonts w:ascii="Arial" w:cs="Arial" w:eastAsia="Arial" w:hAnsi="Arial"/>
          <w:sz w:val="18"/>
          <w:szCs w:val="18"/>
          <w:color w:val="auto"/>
        </w:rPr>
        <w:t xml:space="preserve"> The board of directors shall have the power to adopt and alter the seal of the corporation.</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u w:val="single" w:color="auto"/>
          <w:color w:val="auto"/>
        </w:rPr>
        <w:t>Section 8.4. Execution of Instruments.</w:t>
      </w:r>
      <w:r>
        <w:rPr>
          <w:rFonts w:ascii="Arial" w:cs="Arial" w:eastAsia="Arial" w:hAnsi="Arial"/>
          <w:sz w:val="18"/>
          <w:szCs w:val="18"/>
          <w:color w:val="auto"/>
        </w:rPr>
        <w:t xml:space="preserve"> All deeds, leases, transfers, contracts, bonds, notes, and other obligations authorized to be executed by an officer of the corporation on its behalf shall be signed by the president or the treasurer except as the board of directors may generally or in particular cases otherwise determine.</w:t>
      </w:r>
    </w:p>
    <w:p>
      <w:pPr>
        <w:spacing w:after="0" w:line="130"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96" w:name="page397"/>
    <w:bookmarkEnd w:id="396"/>
    <w:p>
      <w:pPr>
        <w:ind w:right="80" w:firstLine="44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8.5. Voting of Securities.</w:t>
      </w:r>
      <w:r>
        <w:rPr>
          <w:rFonts w:ascii="Arial" w:cs="Arial" w:eastAsia="Arial" w:hAnsi="Arial"/>
          <w:sz w:val="18"/>
          <w:szCs w:val="18"/>
          <w:color w:val="auto"/>
        </w:rPr>
        <w:t xml:space="preserve"> Unless the board of directors otherwise provides, the president or the treasurer may waive notice of and act on behalf of this corporation, or appoint another person or persons to act as proxy or attorney in fact for this corporation with or without discretionary power and/or power of substitution, at any meeting of stockholders or shareholders of any other corporation or organization, any of whose securities are held by this corporation.</w:t>
      </w:r>
    </w:p>
    <w:p>
      <w:pPr>
        <w:spacing w:after="0" w:line="187"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u w:val="single" w:color="auto"/>
          <w:color w:val="auto"/>
        </w:rPr>
        <w:t>Section 8.6. Evidence of Authority.</w:t>
      </w:r>
      <w:r>
        <w:rPr>
          <w:rFonts w:ascii="Arial" w:cs="Arial" w:eastAsia="Arial" w:hAnsi="Arial"/>
          <w:sz w:val="17"/>
          <w:szCs w:val="17"/>
          <w:color w:val="auto"/>
        </w:rPr>
        <w:t xml:space="preserve"> A certificate by the secretary or any assistant secretary as to any action taken by the stockholders, directors or any officer or representative of the corporation shall, as to all persons who rely thereon in good faith, be conclusive evidence of such action. The exercise of any power which by law, by the Certificate of Incorporation, or by these By-laws, or under any vote of the stockholders or the board of directors, may be exercised by an officer of the corporation only in the event of absence of another officer or any other contingency shall bind the corporation in favor of anyone relying thereon in good faith, whether or not such absence or contingency existed.</w:t>
      </w:r>
    </w:p>
    <w:p>
      <w:pPr>
        <w:spacing w:after="0" w:line="176"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u w:val="single" w:color="auto"/>
          <w:color w:val="auto"/>
        </w:rPr>
        <w:t>Section 8.7. Corporate Records.</w:t>
      </w:r>
      <w:r>
        <w:rPr>
          <w:rFonts w:ascii="Arial" w:cs="Arial" w:eastAsia="Arial" w:hAnsi="Arial"/>
          <w:sz w:val="16"/>
          <w:szCs w:val="16"/>
          <w:color w:val="auto"/>
        </w:rPr>
        <w:t xml:space="preserve"> The original, or attested copies, of the Certificate of Incorporation, By-laws, records of all meetings of the incorporators and stockholders, and the stock transfer books (which shall contain the names of all stockholders and the record address and the amount of stock held by each) shall be kept in Delaware at the principal office of the corporation, or at an office of the corporation, or at an office of its transfer agent or of the secretary or of the assistant secretary, if any. Said copies and records need not all be kept in the same office. They shall be available at all reasonable times to inspection of any stockholder for any purpose but not to secure a list of stockholders for the purpose of selling said list or copies thereof or for using the same for a purpose other than in the interest of the applicant, as a stockholder, relative to the affairs of the corporation.</w:t>
      </w:r>
    </w:p>
    <w:p>
      <w:pPr>
        <w:spacing w:after="0" w:line="164"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u w:val="single" w:color="auto"/>
          <w:color w:val="auto"/>
        </w:rPr>
        <w:t>Section 8.8. Charitable Contributions.</w:t>
      </w:r>
      <w:r>
        <w:rPr>
          <w:rFonts w:ascii="Arial" w:cs="Arial" w:eastAsia="Arial" w:hAnsi="Arial"/>
          <w:sz w:val="17"/>
          <w:szCs w:val="17"/>
          <w:color w:val="auto"/>
        </w:rPr>
        <w:t xml:space="preserve"> The board of directors from time to time may authorize contributions to be made by the corporation in such amounts as it may determine to be reasonable to corporations, trusts, funds or foundations organized and operated exclusively for charitable, scientific or educational purposes, no part of the net earning of which inures to the private benefit of any stockholder or individual.</w:t>
      </w:r>
    </w:p>
    <w:p>
      <w:pPr>
        <w:spacing w:after="0" w:line="16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u w:val="single" w:color="auto"/>
          <w:color w:val="auto"/>
        </w:rPr>
        <w:t>Section 8.9. Communication of Notices.</w:t>
      </w:r>
      <w:r>
        <w:rPr>
          <w:rFonts w:ascii="Arial" w:cs="Arial" w:eastAsia="Arial" w:hAnsi="Arial"/>
          <w:sz w:val="18"/>
          <w:szCs w:val="18"/>
          <w:color w:val="auto"/>
        </w:rPr>
        <w:t xml:space="preserve"> Any notices required to be given under these By-laws may be given (i) by delivery in person, (ii) by mailing it, postage prepaid, first class, (iii) by mailing it by nationally or internationally recognized second day or faster courier service, (iv) by facsimile transmission, or (v) by electronic transmission, in each case, to the addressee; provided, however that facsimile transmission or electronic transmission may only be used if the addressee has consented to such means.</w:t>
      </w:r>
    </w:p>
    <w:p>
      <w:pPr>
        <w:spacing w:after="0" w:line="18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u w:val="single" w:color="auto"/>
          <w:color w:val="auto"/>
        </w:rPr>
        <w:t>Section 8.10. Electronic Transmissions.</w:t>
      </w:r>
      <w:r>
        <w:rPr>
          <w:rFonts w:ascii="Arial" w:cs="Arial" w:eastAsia="Arial" w:hAnsi="Arial"/>
          <w:sz w:val="18"/>
          <w:szCs w:val="18"/>
          <w:color w:val="auto"/>
        </w:rPr>
        <w:t xml:space="preserve"> Notwithstanding any reference in these By-laws to written instruments, all notices, meetings, consents and other communications contemplated by these Bylaws may be conducted by means of an electronic transmission, to the extent permitted by law, if specifically authorized by the board of directors of the corporation.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u w:val="single" w:color="auto"/>
          <w:color w:val="auto"/>
        </w:rPr>
        <w:t>Section 9.1. Amended and Restated By-Laws.</w:t>
      </w:r>
      <w:r>
        <w:rPr>
          <w:rFonts w:ascii="Arial" w:cs="Arial" w:eastAsia="Arial" w:hAnsi="Arial"/>
          <w:sz w:val="18"/>
          <w:szCs w:val="18"/>
          <w:color w:val="auto"/>
        </w:rPr>
        <w:t xml:space="preserve"> These Amended and Restated By-Laws replace in their entirety the By-Laws of the corporation adopted on August 11, 2009.</w:t>
      </w:r>
    </w:p>
    <w:p>
      <w:pPr>
        <w:spacing w:after="0" w:line="116"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97" w:name="page398"/>
    <w:bookmarkEnd w:id="397"/>
    <w:p>
      <w:pPr>
        <w:ind w:right="180" w:firstLine="440"/>
        <w:spacing w:after="0" w:line="273"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9.2. Amendment by Stockholders.</w:t>
      </w:r>
      <w:r>
        <w:rPr>
          <w:rFonts w:ascii="Arial" w:cs="Arial" w:eastAsia="Arial" w:hAnsi="Arial"/>
          <w:sz w:val="17"/>
          <w:szCs w:val="17"/>
          <w:color w:val="auto"/>
        </w:rPr>
        <w:t xml:space="preserve"> Prior to the issuance of stock, these By-laws may be amended, altered or repealed by the incorporator(s) by majority vote. After stock has been issued, these By-laws may be amended altered or repealed by the stockholders at any annual or special meeting by vote or a majority of all shares outstanding and entitled to vote, except that where the effect of the amendment would be to reduce any voting requirement otherwise required by law, the Certificate of Incorporation or these By-laws, such amendment shall require the vote that would have been required by such other provision. Notice and a copy of any proposal to amend these By-laws must be included in the notice of meeting of stockholders at which action is taken upon such amendment.</w:t>
      </w:r>
    </w:p>
    <w:p>
      <w:pPr>
        <w:spacing w:after="0" w:line="178"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u w:val="single" w:color="auto"/>
          <w:color w:val="auto"/>
        </w:rPr>
        <w:t>Section 9.3. Amendment by Board of Directors.</w:t>
      </w:r>
      <w:r>
        <w:rPr>
          <w:rFonts w:ascii="Arial" w:cs="Arial" w:eastAsia="Arial" w:hAnsi="Arial"/>
          <w:sz w:val="17"/>
          <w:szCs w:val="17"/>
          <w:color w:val="auto"/>
        </w:rPr>
        <w:t xml:space="preserve"> These By-laws may be amended or altered by the board of directors at a meeting duly called for the purpose by majority vote of the directors then in office, except that directors shall not amend the By-laws in a manner which:</w:t>
      </w:r>
    </w:p>
    <w:p>
      <w:pPr>
        <w:spacing w:after="0" w:line="146" w:lineRule="exact"/>
        <w:rPr>
          <w:sz w:val="20"/>
          <w:szCs w:val="20"/>
          <w:color w:val="auto"/>
        </w:rPr>
      </w:pPr>
    </w:p>
    <w:p>
      <w:pPr>
        <w:ind w:left="820" w:hanging="384"/>
        <w:spacing w:after="0"/>
        <w:tabs>
          <w:tab w:leader="none" w:pos="8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changes the stockholder voting requirements for any action;</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alters or abolishes any preferential right or right of redemption applicable to a class or series of stock with shares already outstanding;</w:t>
      </w:r>
    </w:p>
    <w:p>
      <w:pPr>
        <w:spacing w:after="0" w:line="236" w:lineRule="exact"/>
        <w:rPr>
          <w:rFonts w:ascii="Arial" w:cs="Arial" w:eastAsia="Arial" w:hAnsi="Arial"/>
          <w:sz w:val="17"/>
          <w:szCs w:val="17"/>
          <w:color w:val="auto"/>
        </w:rPr>
      </w:pPr>
    </w:p>
    <w:p>
      <w:pPr>
        <w:ind w:left="820" w:hanging="384"/>
        <w:spacing w:after="0"/>
        <w:tabs>
          <w:tab w:leader="none" w:pos="8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alters the provisions of Article IX hereof; or</w:t>
      </w:r>
    </w:p>
    <w:p>
      <w:pPr>
        <w:spacing w:after="0" w:line="225" w:lineRule="exact"/>
        <w:rPr>
          <w:rFonts w:ascii="Arial" w:cs="Arial" w:eastAsia="Arial" w:hAnsi="Arial"/>
          <w:sz w:val="18"/>
          <w:szCs w:val="18"/>
          <w:color w:val="auto"/>
        </w:rPr>
      </w:pPr>
    </w:p>
    <w:p>
      <w:pPr>
        <w:ind w:right="40" w:firstLine="436"/>
        <w:spacing w:after="0" w:line="277" w:lineRule="auto"/>
        <w:tabs>
          <w:tab w:leader="none" w:pos="8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permits the board of directors to take any action which under law, the Certificate of Incorporation, or these By-laws is required to be taken by the stockholders.</w:t>
      </w:r>
    </w:p>
    <w:p>
      <w:pPr>
        <w:spacing w:after="0" w:line="17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Any amendment of these By-laws by the board of directors may be altered or repealed by the stockholders at any annual or special meeting of stockholders.</w:t>
      </w:r>
    </w:p>
    <w:p>
      <w:pPr>
        <w:spacing w:after="0" w:line="116"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98" w:name="page399"/>
    <w:bookmarkEnd w:id="398"/>
    <w:p>
      <w:pPr>
        <w:jc w:val="right"/>
        <w:spacing w:after="0"/>
        <w:rPr>
          <w:sz w:val="20"/>
          <w:szCs w:val="20"/>
          <w:color w:val="auto"/>
        </w:rPr>
      </w:pPr>
      <w:r>
        <w:rPr>
          <w:rFonts w:ascii="Arial" w:cs="Arial" w:eastAsia="Arial" w:hAnsi="Arial"/>
          <w:sz w:val="18"/>
          <w:szCs w:val="18"/>
          <w:b w:val="1"/>
          <w:bCs w:val="1"/>
          <w:color w:val="auto"/>
        </w:rPr>
        <w:t>Exhibit 3.4</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FLYWIRE CORPORATION</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 Delaware corporation)</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AMENDED AND RESTATED BYLAWS</w:t>
      </w:r>
    </w:p>
    <w:p>
      <w:pPr>
        <w:spacing w:after="0" w:line="24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As Adopted April 28, 2021 and</w:t>
      </w:r>
    </w:p>
    <w:p>
      <w:pPr>
        <w:spacing w:after="0" w:line="23" w:lineRule="exact"/>
        <w:rPr>
          <w:sz w:val="20"/>
          <w:szCs w:val="20"/>
          <w:color w:val="auto"/>
        </w:rPr>
      </w:pPr>
    </w:p>
    <w:tbl>
      <w:tblPr>
        <w:tblLayout w:type="fixed"/>
        <w:tblInd w:w="354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As Effective</w:t>
            </w:r>
          </w:p>
        </w:tc>
        <w:tc>
          <w:tcPr>
            <w:tcW w:w="760" w:type="dxa"/>
            <w:vAlign w:val="bottom"/>
          </w:tcPr>
          <w:p>
            <w:pPr>
              <w:jc w:val="right"/>
              <w:spacing w:after="0"/>
              <w:rPr>
                <w:sz w:val="20"/>
                <w:szCs w:val="20"/>
                <w:color w:val="auto"/>
              </w:rPr>
            </w:pPr>
            <w:r>
              <w:rPr>
                <w:rFonts w:ascii="Arial" w:cs="Arial" w:eastAsia="Arial" w:hAnsi="Arial"/>
                <w:sz w:val="18"/>
                <w:szCs w:val="18"/>
                <w:color w:val="auto"/>
              </w:rPr>
              <w:t>, 2021</w:t>
            </w:r>
          </w:p>
        </w:tc>
      </w:tr>
    </w:tbl>
    <w:p>
      <w:pPr>
        <w:sectPr>
          <w:pgSz w:w="11900" w:h="16838" w:orient="portrait"/>
          <w:cols w:equalWidth="0" w:num="1">
            <w:col w:w="10020"/>
          </w:cols>
          <w:pgMar w:left="1440" w:top="121" w:right="439" w:bottom="1440" w:gutter="0" w:footer="0" w:header="0"/>
        </w:sectPr>
      </w:pPr>
    </w:p>
    <w:bookmarkStart w:id="399" w:name="page400"/>
    <w:bookmarkEnd w:id="39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6960" w:type="dxa"/>
            <w:vAlign w:val="bottom"/>
          </w:tcPr>
          <w:p>
            <w:pPr>
              <w:ind w:left="294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377"/>
        </w:trPr>
        <w:tc>
          <w:tcPr>
            <w:tcW w:w="16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ARTICLE I STOCKHOLDERS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1.1</w:t>
            </w:r>
          </w:p>
        </w:tc>
        <w:tc>
          <w:tcPr>
            <w:tcW w:w="6960" w:type="dxa"/>
            <w:vAlign w:val="bottom"/>
          </w:tcPr>
          <w:p>
            <w:pPr>
              <w:ind w:left="160"/>
              <w:spacing w:after="0"/>
              <w:rPr>
                <w:sz w:val="20"/>
                <w:szCs w:val="20"/>
                <w:color w:val="auto"/>
              </w:rPr>
            </w:pPr>
            <w:r>
              <w:rPr>
                <w:rFonts w:ascii="Arial" w:cs="Arial" w:eastAsia="Arial" w:hAnsi="Arial"/>
                <w:sz w:val="18"/>
                <w:szCs w:val="18"/>
                <w:color w:val="auto"/>
              </w:rPr>
              <w:t>Annual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1.2</w:t>
            </w:r>
          </w:p>
        </w:tc>
        <w:tc>
          <w:tcPr>
            <w:tcW w:w="6960" w:type="dxa"/>
            <w:vAlign w:val="bottom"/>
          </w:tcPr>
          <w:p>
            <w:pPr>
              <w:ind w:left="160"/>
              <w:spacing w:after="0"/>
              <w:rPr>
                <w:sz w:val="20"/>
                <w:szCs w:val="20"/>
                <w:color w:val="auto"/>
              </w:rPr>
            </w:pPr>
            <w:r>
              <w:rPr>
                <w:rFonts w:ascii="Arial" w:cs="Arial" w:eastAsia="Arial" w:hAnsi="Arial"/>
                <w:sz w:val="18"/>
                <w:szCs w:val="18"/>
                <w:color w:val="auto"/>
              </w:rPr>
              <w:t>Special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1.3</w:t>
            </w:r>
          </w:p>
        </w:tc>
        <w:tc>
          <w:tcPr>
            <w:tcW w:w="6960" w:type="dxa"/>
            <w:vAlign w:val="bottom"/>
          </w:tcPr>
          <w:p>
            <w:pPr>
              <w:ind w:left="160"/>
              <w:spacing w:after="0"/>
              <w:rPr>
                <w:sz w:val="20"/>
                <w:szCs w:val="20"/>
                <w:color w:val="auto"/>
              </w:rPr>
            </w:pPr>
            <w:r>
              <w:rPr>
                <w:rFonts w:ascii="Arial" w:cs="Arial" w:eastAsia="Arial" w:hAnsi="Arial"/>
                <w:sz w:val="18"/>
                <w:szCs w:val="18"/>
                <w:color w:val="auto"/>
              </w:rPr>
              <w:t>Notice of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1.4</w:t>
            </w:r>
          </w:p>
        </w:tc>
        <w:tc>
          <w:tcPr>
            <w:tcW w:w="6960" w:type="dxa"/>
            <w:vAlign w:val="bottom"/>
          </w:tcPr>
          <w:p>
            <w:pPr>
              <w:ind w:left="160"/>
              <w:spacing w:after="0"/>
              <w:rPr>
                <w:sz w:val="20"/>
                <w:szCs w:val="20"/>
                <w:color w:val="auto"/>
              </w:rPr>
            </w:pPr>
            <w:r>
              <w:rPr>
                <w:rFonts w:ascii="Arial" w:cs="Arial" w:eastAsia="Arial" w:hAnsi="Arial"/>
                <w:sz w:val="18"/>
                <w:szCs w:val="18"/>
                <w:color w:val="auto"/>
              </w:rPr>
              <w:t>Adjournments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1.5</w:t>
            </w:r>
          </w:p>
        </w:tc>
        <w:tc>
          <w:tcPr>
            <w:tcW w:w="6960" w:type="dxa"/>
            <w:vAlign w:val="bottom"/>
          </w:tcPr>
          <w:p>
            <w:pPr>
              <w:ind w:left="160"/>
              <w:spacing w:after="0"/>
              <w:rPr>
                <w:sz w:val="20"/>
                <w:szCs w:val="20"/>
                <w:color w:val="auto"/>
              </w:rPr>
            </w:pPr>
            <w:r>
              <w:rPr>
                <w:rFonts w:ascii="Arial" w:cs="Arial" w:eastAsia="Arial" w:hAnsi="Arial"/>
                <w:sz w:val="18"/>
                <w:szCs w:val="18"/>
                <w:color w:val="auto"/>
              </w:rPr>
              <w:t>Quorum</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1.6</w:t>
            </w:r>
          </w:p>
        </w:tc>
        <w:tc>
          <w:tcPr>
            <w:tcW w:w="6960" w:type="dxa"/>
            <w:vAlign w:val="bottom"/>
          </w:tcPr>
          <w:p>
            <w:pPr>
              <w:ind w:left="160"/>
              <w:spacing w:after="0"/>
              <w:rPr>
                <w:sz w:val="20"/>
                <w:szCs w:val="20"/>
                <w:color w:val="auto"/>
              </w:rPr>
            </w:pPr>
            <w:r>
              <w:rPr>
                <w:rFonts w:ascii="Arial" w:cs="Arial" w:eastAsia="Arial" w:hAnsi="Arial"/>
                <w:sz w:val="18"/>
                <w:szCs w:val="18"/>
                <w:color w:val="auto"/>
              </w:rPr>
              <w:t>Organization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1.7</w:t>
            </w:r>
          </w:p>
        </w:tc>
        <w:tc>
          <w:tcPr>
            <w:tcW w:w="6960" w:type="dxa"/>
            <w:vAlign w:val="bottom"/>
          </w:tcPr>
          <w:p>
            <w:pPr>
              <w:ind w:left="160"/>
              <w:spacing w:after="0"/>
              <w:rPr>
                <w:sz w:val="20"/>
                <w:szCs w:val="20"/>
                <w:color w:val="auto"/>
              </w:rPr>
            </w:pPr>
            <w:r>
              <w:rPr>
                <w:rFonts w:ascii="Arial" w:cs="Arial" w:eastAsia="Arial" w:hAnsi="Arial"/>
                <w:sz w:val="18"/>
                <w:szCs w:val="18"/>
                <w:color w:val="auto"/>
              </w:rPr>
              <w:t>Voting; Proxies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1.8</w:t>
            </w:r>
          </w:p>
        </w:tc>
        <w:tc>
          <w:tcPr>
            <w:tcW w:w="6960" w:type="dxa"/>
            <w:vAlign w:val="bottom"/>
          </w:tcPr>
          <w:p>
            <w:pPr>
              <w:ind w:left="160"/>
              <w:spacing w:after="0"/>
              <w:rPr>
                <w:sz w:val="20"/>
                <w:szCs w:val="20"/>
                <w:color w:val="auto"/>
              </w:rPr>
            </w:pPr>
            <w:r>
              <w:rPr>
                <w:rFonts w:ascii="Arial" w:cs="Arial" w:eastAsia="Arial" w:hAnsi="Arial"/>
                <w:sz w:val="18"/>
                <w:szCs w:val="18"/>
                <w:color w:val="auto"/>
              </w:rPr>
              <w:t>Fixing Date for Determination of Stockholders of Record</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1.9</w:t>
            </w:r>
          </w:p>
        </w:tc>
        <w:tc>
          <w:tcPr>
            <w:tcW w:w="6960" w:type="dxa"/>
            <w:vAlign w:val="bottom"/>
          </w:tcPr>
          <w:p>
            <w:pPr>
              <w:ind w:left="160"/>
              <w:spacing w:after="0"/>
              <w:rPr>
                <w:sz w:val="20"/>
                <w:szCs w:val="20"/>
                <w:color w:val="auto"/>
              </w:rPr>
            </w:pPr>
            <w:r>
              <w:rPr>
                <w:rFonts w:ascii="Arial" w:cs="Arial" w:eastAsia="Arial" w:hAnsi="Arial"/>
                <w:sz w:val="18"/>
                <w:szCs w:val="18"/>
                <w:color w:val="auto"/>
              </w:rPr>
              <w:t>List of Stockholders Entitled to Vote</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1.10</w:t>
            </w:r>
          </w:p>
        </w:tc>
        <w:tc>
          <w:tcPr>
            <w:tcW w:w="6960" w:type="dxa"/>
            <w:vAlign w:val="bottom"/>
          </w:tcPr>
          <w:p>
            <w:pPr>
              <w:ind w:left="160"/>
              <w:spacing w:after="0"/>
              <w:rPr>
                <w:sz w:val="20"/>
                <w:szCs w:val="20"/>
                <w:color w:val="auto"/>
              </w:rPr>
            </w:pPr>
            <w:r>
              <w:rPr>
                <w:rFonts w:ascii="Arial" w:cs="Arial" w:eastAsia="Arial" w:hAnsi="Arial"/>
                <w:sz w:val="18"/>
                <w:szCs w:val="18"/>
                <w:color w:val="auto"/>
              </w:rPr>
              <w:t>Inspectors of Elections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1.11</w:t>
            </w:r>
          </w:p>
        </w:tc>
        <w:tc>
          <w:tcPr>
            <w:tcW w:w="6960" w:type="dxa"/>
            <w:vAlign w:val="bottom"/>
          </w:tcPr>
          <w:p>
            <w:pPr>
              <w:ind w:left="160"/>
              <w:spacing w:after="0"/>
              <w:rPr>
                <w:sz w:val="20"/>
                <w:szCs w:val="20"/>
                <w:color w:val="auto"/>
              </w:rPr>
            </w:pPr>
            <w:r>
              <w:rPr>
                <w:rFonts w:ascii="Arial" w:cs="Arial" w:eastAsia="Arial" w:hAnsi="Arial"/>
                <w:sz w:val="18"/>
                <w:szCs w:val="18"/>
                <w:color w:val="auto"/>
              </w:rPr>
              <w:t>Conduct of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1.12</w:t>
            </w:r>
          </w:p>
        </w:tc>
        <w:tc>
          <w:tcPr>
            <w:tcW w:w="6960" w:type="dxa"/>
            <w:vAlign w:val="bottom"/>
          </w:tcPr>
          <w:p>
            <w:pPr>
              <w:ind w:left="160"/>
              <w:spacing w:after="0"/>
              <w:rPr>
                <w:sz w:val="20"/>
                <w:szCs w:val="20"/>
                <w:color w:val="auto"/>
              </w:rPr>
            </w:pPr>
            <w:r>
              <w:rPr>
                <w:rFonts w:ascii="Arial" w:cs="Arial" w:eastAsia="Arial" w:hAnsi="Arial"/>
                <w:sz w:val="18"/>
                <w:szCs w:val="18"/>
                <w:color w:val="auto"/>
              </w:rPr>
              <w:t>Notice of Stockholder Business; Nominations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1.13</w:t>
            </w:r>
          </w:p>
        </w:tc>
        <w:tc>
          <w:tcPr>
            <w:tcW w:w="6960" w:type="dxa"/>
            <w:vAlign w:val="bottom"/>
          </w:tcPr>
          <w:p>
            <w:pPr>
              <w:ind w:left="160"/>
              <w:spacing w:after="0"/>
              <w:rPr>
                <w:sz w:val="20"/>
                <w:szCs w:val="20"/>
                <w:color w:val="auto"/>
              </w:rPr>
            </w:pPr>
            <w:r>
              <w:rPr>
                <w:rFonts w:ascii="Arial" w:cs="Arial" w:eastAsia="Arial" w:hAnsi="Arial"/>
                <w:sz w:val="18"/>
                <w:szCs w:val="18"/>
                <w:color w:val="auto"/>
              </w:rPr>
              <w:t>Action by Written Consent of Stockholders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600" w:type="dxa"/>
            <w:vAlign w:val="bottom"/>
          </w:tcPr>
          <w:p>
            <w:pPr>
              <w:ind w:left="540"/>
              <w:spacing w:after="0"/>
              <w:rPr>
                <w:sz w:val="20"/>
                <w:szCs w:val="20"/>
                <w:color w:val="auto"/>
              </w:rPr>
            </w:pPr>
            <w:r>
              <w:rPr>
                <w:rFonts w:ascii="Arial" w:cs="Arial" w:eastAsia="Arial" w:hAnsi="Arial"/>
                <w:sz w:val="18"/>
                <w:szCs w:val="18"/>
                <w:color w:val="auto"/>
              </w:rPr>
              <w:t>Section 1.14</w:t>
            </w:r>
          </w:p>
        </w:tc>
        <w:tc>
          <w:tcPr>
            <w:tcW w:w="6960" w:type="dxa"/>
            <w:vAlign w:val="bottom"/>
          </w:tcPr>
          <w:p>
            <w:pPr>
              <w:ind w:left="160"/>
              <w:spacing w:after="0"/>
              <w:rPr>
                <w:sz w:val="20"/>
                <w:szCs w:val="20"/>
                <w:color w:val="auto"/>
              </w:rPr>
            </w:pPr>
            <w:r>
              <w:rPr>
                <w:rFonts w:ascii="Arial" w:cs="Arial" w:eastAsia="Arial" w:hAnsi="Arial"/>
                <w:sz w:val="18"/>
                <w:szCs w:val="18"/>
                <w:color w:val="auto"/>
              </w:rPr>
              <w:t>Delivery to the Corporation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 BOARD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2.1</w:t>
            </w:r>
          </w:p>
        </w:tc>
        <w:tc>
          <w:tcPr>
            <w:tcW w:w="6960" w:type="dxa"/>
            <w:vAlign w:val="bottom"/>
          </w:tcPr>
          <w:p>
            <w:pPr>
              <w:ind w:left="160"/>
              <w:spacing w:after="0"/>
              <w:rPr>
                <w:sz w:val="20"/>
                <w:szCs w:val="20"/>
                <w:color w:val="auto"/>
              </w:rPr>
            </w:pPr>
            <w:r>
              <w:rPr>
                <w:rFonts w:ascii="Arial" w:cs="Arial" w:eastAsia="Arial" w:hAnsi="Arial"/>
                <w:sz w:val="18"/>
                <w:szCs w:val="18"/>
                <w:color w:val="auto"/>
              </w:rPr>
              <w:t>Number; Qualifications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2.2</w:t>
            </w:r>
          </w:p>
        </w:tc>
        <w:tc>
          <w:tcPr>
            <w:tcW w:w="6960" w:type="dxa"/>
            <w:vAlign w:val="bottom"/>
          </w:tcPr>
          <w:p>
            <w:pPr>
              <w:ind w:left="160"/>
              <w:spacing w:after="0"/>
              <w:rPr>
                <w:sz w:val="20"/>
                <w:szCs w:val="20"/>
                <w:color w:val="auto"/>
              </w:rPr>
            </w:pPr>
            <w:r>
              <w:rPr>
                <w:rFonts w:ascii="Arial" w:cs="Arial" w:eastAsia="Arial" w:hAnsi="Arial"/>
                <w:sz w:val="18"/>
                <w:szCs w:val="18"/>
                <w:color w:val="auto"/>
              </w:rPr>
              <w:t>Election; Resignation; Removal; Vacancies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2.3</w:t>
            </w:r>
          </w:p>
        </w:tc>
        <w:tc>
          <w:tcPr>
            <w:tcW w:w="6960" w:type="dxa"/>
            <w:vAlign w:val="bottom"/>
          </w:tcPr>
          <w:p>
            <w:pPr>
              <w:ind w:left="160"/>
              <w:spacing w:after="0"/>
              <w:rPr>
                <w:sz w:val="20"/>
                <w:szCs w:val="20"/>
                <w:color w:val="auto"/>
              </w:rPr>
            </w:pPr>
            <w:r>
              <w:rPr>
                <w:rFonts w:ascii="Arial" w:cs="Arial" w:eastAsia="Arial" w:hAnsi="Arial"/>
                <w:sz w:val="18"/>
                <w:szCs w:val="18"/>
                <w:color w:val="auto"/>
              </w:rPr>
              <w:t>Regular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2.4</w:t>
            </w:r>
          </w:p>
        </w:tc>
        <w:tc>
          <w:tcPr>
            <w:tcW w:w="6960" w:type="dxa"/>
            <w:vAlign w:val="bottom"/>
          </w:tcPr>
          <w:p>
            <w:pPr>
              <w:ind w:left="160"/>
              <w:spacing w:after="0"/>
              <w:rPr>
                <w:sz w:val="20"/>
                <w:szCs w:val="20"/>
                <w:color w:val="auto"/>
              </w:rPr>
            </w:pPr>
            <w:r>
              <w:rPr>
                <w:rFonts w:ascii="Arial" w:cs="Arial" w:eastAsia="Arial" w:hAnsi="Arial"/>
                <w:sz w:val="18"/>
                <w:szCs w:val="18"/>
                <w:color w:val="auto"/>
              </w:rPr>
              <w:t>Special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2.5</w:t>
            </w:r>
          </w:p>
        </w:tc>
        <w:tc>
          <w:tcPr>
            <w:tcW w:w="6960" w:type="dxa"/>
            <w:vAlign w:val="bottom"/>
          </w:tcPr>
          <w:p>
            <w:pPr>
              <w:ind w:left="160"/>
              <w:spacing w:after="0"/>
              <w:rPr>
                <w:sz w:val="20"/>
                <w:szCs w:val="20"/>
                <w:color w:val="auto"/>
              </w:rPr>
            </w:pPr>
            <w:r>
              <w:rPr>
                <w:rFonts w:ascii="Arial" w:cs="Arial" w:eastAsia="Arial" w:hAnsi="Arial"/>
                <w:sz w:val="18"/>
                <w:szCs w:val="18"/>
                <w:color w:val="auto"/>
              </w:rPr>
              <w:t>Remote Meetings Permitted</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2.6</w:t>
            </w:r>
          </w:p>
        </w:tc>
        <w:tc>
          <w:tcPr>
            <w:tcW w:w="6960" w:type="dxa"/>
            <w:vAlign w:val="bottom"/>
          </w:tcPr>
          <w:p>
            <w:pPr>
              <w:ind w:left="160"/>
              <w:spacing w:after="0"/>
              <w:rPr>
                <w:sz w:val="20"/>
                <w:szCs w:val="20"/>
                <w:color w:val="auto"/>
              </w:rPr>
            </w:pPr>
            <w:r>
              <w:rPr>
                <w:rFonts w:ascii="Arial" w:cs="Arial" w:eastAsia="Arial" w:hAnsi="Arial"/>
                <w:sz w:val="18"/>
                <w:szCs w:val="18"/>
                <w:color w:val="auto"/>
              </w:rPr>
              <w:t>Quorum; Vote Required for Action</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2.7</w:t>
            </w:r>
          </w:p>
        </w:tc>
        <w:tc>
          <w:tcPr>
            <w:tcW w:w="6960" w:type="dxa"/>
            <w:vAlign w:val="bottom"/>
          </w:tcPr>
          <w:p>
            <w:pPr>
              <w:ind w:left="160"/>
              <w:spacing w:after="0"/>
              <w:rPr>
                <w:sz w:val="20"/>
                <w:szCs w:val="20"/>
                <w:color w:val="auto"/>
              </w:rPr>
            </w:pPr>
            <w:r>
              <w:rPr>
                <w:rFonts w:ascii="Arial" w:cs="Arial" w:eastAsia="Arial" w:hAnsi="Arial"/>
                <w:sz w:val="18"/>
                <w:szCs w:val="18"/>
                <w:color w:val="auto"/>
              </w:rPr>
              <w:t>Organization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2.8</w:t>
            </w:r>
          </w:p>
        </w:tc>
        <w:tc>
          <w:tcPr>
            <w:tcW w:w="6960" w:type="dxa"/>
            <w:vAlign w:val="bottom"/>
          </w:tcPr>
          <w:p>
            <w:pPr>
              <w:ind w:left="160"/>
              <w:spacing w:after="0"/>
              <w:rPr>
                <w:sz w:val="20"/>
                <w:szCs w:val="20"/>
                <w:color w:val="auto"/>
              </w:rPr>
            </w:pPr>
            <w:r>
              <w:rPr>
                <w:rFonts w:ascii="Arial" w:cs="Arial" w:eastAsia="Arial" w:hAnsi="Arial"/>
                <w:sz w:val="18"/>
                <w:szCs w:val="18"/>
                <w:color w:val="auto"/>
              </w:rPr>
              <w:t>Unanimous Action by Directors in Lieu of a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2.9</w:t>
            </w:r>
          </w:p>
        </w:tc>
        <w:tc>
          <w:tcPr>
            <w:tcW w:w="6960" w:type="dxa"/>
            <w:vAlign w:val="bottom"/>
          </w:tcPr>
          <w:p>
            <w:pPr>
              <w:ind w:left="160"/>
              <w:spacing w:after="0"/>
              <w:rPr>
                <w:sz w:val="20"/>
                <w:szCs w:val="20"/>
                <w:color w:val="auto"/>
              </w:rPr>
            </w:pPr>
            <w:r>
              <w:rPr>
                <w:rFonts w:ascii="Arial" w:cs="Arial" w:eastAsia="Arial" w:hAnsi="Arial"/>
                <w:sz w:val="18"/>
                <w:szCs w:val="18"/>
                <w:color w:val="auto"/>
              </w:rPr>
              <w:t>Powers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2.10</w:t>
            </w:r>
          </w:p>
        </w:tc>
        <w:tc>
          <w:tcPr>
            <w:tcW w:w="6960" w:type="dxa"/>
            <w:vAlign w:val="bottom"/>
          </w:tcPr>
          <w:p>
            <w:pPr>
              <w:ind w:left="160"/>
              <w:spacing w:after="0"/>
              <w:rPr>
                <w:sz w:val="20"/>
                <w:szCs w:val="20"/>
                <w:color w:val="auto"/>
              </w:rPr>
            </w:pPr>
            <w:r>
              <w:rPr>
                <w:rFonts w:ascii="Arial" w:cs="Arial" w:eastAsia="Arial" w:hAnsi="Arial"/>
                <w:sz w:val="18"/>
                <w:szCs w:val="18"/>
                <w:color w:val="auto"/>
              </w:rPr>
              <w:t>Compensation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600" w:type="dxa"/>
            <w:vAlign w:val="bottom"/>
          </w:tcPr>
          <w:p>
            <w:pPr>
              <w:ind w:left="540"/>
              <w:spacing w:after="0"/>
              <w:rPr>
                <w:sz w:val="20"/>
                <w:szCs w:val="20"/>
                <w:color w:val="auto"/>
              </w:rPr>
            </w:pPr>
            <w:r>
              <w:rPr>
                <w:rFonts w:ascii="Arial" w:cs="Arial" w:eastAsia="Arial" w:hAnsi="Arial"/>
                <w:sz w:val="18"/>
                <w:szCs w:val="18"/>
                <w:color w:val="auto"/>
              </w:rPr>
              <w:t>Section 2.11</w:t>
            </w:r>
          </w:p>
        </w:tc>
        <w:tc>
          <w:tcPr>
            <w:tcW w:w="696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III COMMITTEES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3.1</w:t>
            </w:r>
          </w:p>
        </w:tc>
        <w:tc>
          <w:tcPr>
            <w:tcW w:w="6960" w:type="dxa"/>
            <w:vAlign w:val="bottom"/>
          </w:tcPr>
          <w:p>
            <w:pPr>
              <w:ind w:left="160"/>
              <w:spacing w:after="0"/>
              <w:rPr>
                <w:sz w:val="20"/>
                <w:szCs w:val="20"/>
                <w:color w:val="auto"/>
              </w:rPr>
            </w:pPr>
            <w:r>
              <w:rPr>
                <w:rFonts w:ascii="Arial" w:cs="Arial" w:eastAsia="Arial" w:hAnsi="Arial"/>
                <w:sz w:val="18"/>
                <w:szCs w:val="18"/>
                <w:color w:val="auto"/>
              </w:rPr>
              <w:t>Committees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600" w:type="dxa"/>
            <w:vAlign w:val="bottom"/>
          </w:tcPr>
          <w:p>
            <w:pPr>
              <w:ind w:left="540"/>
              <w:spacing w:after="0"/>
              <w:rPr>
                <w:sz w:val="20"/>
                <w:szCs w:val="20"/>
                <w:color w:val="auto"/>
              </w:rPr>
            </w:pPr>
            <w:r>
              <w:rPr>
                <w:rFonts w:ascii="Arial" w:cs="Arial" w:eastAsia="Arial" w:hAnsi="Arial"/>
                <w:sz w:val="18"/>
                <w:szCs w:val="18"/>
                <w:color w:val="auto"/>
              </w:rPr>
              <w:t>Section 3.2</w:t>
            </w:r>
          </w:p>
        </w:tc>
        <w:tc>
          <w:tcPr>
            <w:tcW w:w="6960" w:type="dxa"/>
            <w:vAlign w:val="bottom"/>
          </w:tcPr>
          <w:p>
            <w:pPr>
              <w:ind w:left="160"/>
              <w:spacing w:after="0"/>
              <w:rPr>
                <w:sz w:val="20"/>
                <w:szCs w:val="20"/>
                <w:color w:val="auto"/>
              </w:rPr>
            </w:pPr>
            <w:r>
              <w:rPr>
                <w:rFonts w:ascii="Arial" w:cs="Arial" w:eastAsia="Arial" w:hAnsi="Arial"/>
                <w:sz w:val="18"/>
                <w:szCs w:val="18"/>
                <w:color w:val="auto"/>
              </w:rPr>
              <w:t>Committee Rules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8560" w:type="dxa"/>
            <w:vAlign w:val="bottom"/>
            <w:gridSpan w:val="2"/>
          </w:tcPr>
          <w:p>
            <w:pPr>
              <w:spacing w:after="0"/>
              <w:rPr>
                <w:sz w:val="20"/>
                <w:szCs w:val="20"/>
                <w:color w:val="auto"/>
              </w:rPr>
            </w:pPr>
            <w:r>
              <w:rPr>
                <w:rFonts w:ascii="Arial" w:cs="Arial" w:eastAsia="Arial" w:hAnsi="Arial"/>
                <w:sz w:val="18"/>
                <w:szCs w:val="18"/>
                <w:color w:val="auto"/>
              </w:rPr>
              <w:t>ARTICLE IV OFFICERS; CHAIRPERSON; LEAD INDEPENDENT DIRECTOR</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4.1</w:t>
            </w:r>
          </w:p>
        </w:tc>
        <w:tc>
          <w:tcPr>
            <w:tcW w:w="6960" w:type="dxa"/>
            <w:vAlign w:val="bottom"/>
          </w:tcPr>
          <w:p>
            <w:pPr>
              <w:ind w:left="160"/>
              <w:spacing w:after="0"/>
              <w:rPr>
                <w:sz w:val="20"/>
                <w:szCs w:val="20"/>
                <w:color w:val="auto"/>
              </w:rPr>
            </w:pPr>
            <w:r>
              <w:rPr>
                <w:rFonts w:ascii="Arial" w:cs="Arial" w:eastAsia="Arial" w:hAnsi="Arial"/>
                <w:sz w:val="18"/>
                <w:szCs w:val="18"/>
                <w:color w:val="auto"/>
              </w:rPr>
              <w:t>Generally</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6960" w:type="dxa"/>
            <w:vAlign w:val="bottom"/>
          </w:tcPr>
          <w:p>
            <w:pPr>
              <w:ind w:left="160"/>
              <w:spacing w:after="0"/>
              <w:rPr>
                <w:sz w:val="20"/>
                <w:szCs w:val="20"/>
                <w:color w:val="auto"/>
              </w:rPr>
            </w:pPr>
            <w:r>
              <w:rPr>
                <w:rFonts w:ascii="Arial" w:cs="Arial" w:eastAsia="Arial" w:hAnsi="Arial"/>
                <w:sz w:val="18"/>
                <w:szCs w:val="18"/>
                <w:color w:val="auto"/>
              </w:rPr>
              <w:t>Chief Executive Officer</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4.3</w:t>
            </w:r>
          </w:p>
        </w:tc>
        <w:tc>
          <w:tcPr>
            <w:tcW w:w="6960" w:type="dxa"/>
            <w:vAlign w:val="bottom"/>
          </w:tcPr>
          <w:p>
            <w:pPr>
              <w:ind w:left="160"/>
              <w:spacing w:after="0"/>
              <w:rPr>
                <w:sz w:val="20"/>
                <w:szCs w:val="20"/>
                <w:color w:val="auto"/>
              </w:rPr>
            </w:pPr>
            <w:r>
              <w:rPr>
                <w:rFonts w:ascii="Arial" w:cs="Arial" w:eastAsia="Arial" w:hAnsi="Arial"/>
                <w:sz w:val="18"/>
                <w:szCs w:val="18"/>
                <w:color w:val="auto"/>
              </w:rPr>
              <w:t>Chairperson of the Board</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4.4</w:t>
            </w:r>
          </w:p>
        </w:tc>
        <w:tc>
          <w:tcPr>
            <w:tcW w:w="6960" w:type="dxa"/>
            <w:vAlign w:val="bottom"/>
          </w:tcPr>
          <w:p>
            <w:pPr>
              <w:ind w:left="160"/>
              <w:spacing w:after="0"/>
              <w:rPr>
                <w:sz w:val="20"/>
                <w:szCs w:val="20"/>
                <w:color w:val="auto"/>
              </w:rPr>
            </w:pPr>
            <w:r>
              <w:rPr>
                <w:rFonts w:ascii="Arial" w:cs="Arial" w:eastAsia="Arial" w:hAnsi="Arial"/>
                <w:sz w:val="18"/>
                <w:szCs w:val="18"/>
                <w:color w:val="auto"/>
              </w:rPr>
              <w:t>Lead Independent Director</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4.5</w:t>
            </w:r>
          </w:p>
        </w:tc>
        <w:tc>
          <w:tcPr>
            <w:tcW w:w="6960" w:type="dxa"/>
            <w:vAlign w:val="bottom"/>
          </w:tcPr>
          <w:p>
            <w:pPr>
              <w:ind w:left="160"/>
              <w:spacing w:after="0"/>
              <w:rPr>
                <w:sz w:val="20"/>
                <w:szCs w:val="20"/>
                <w:color w:val="auto"/>
              </w:rPr>
            </w:pPr>
            <w:r>
              <w:rPr>
                <w:rFonts w:ascii="Arial" w:cs="Arial" w:eastAsia="Arial" w:hAnsi="Arial"/>
                <w:sz w:val="18"/>
                <w:szCs w:val="18"/>
                <w:color w:val="auto"/>
              </w:rPr>
              <w:t>President</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4.6</w:t>
            </w:r>
          </w:p>
        </w:tc>
        <w:tc>
          <w:tcPr>
            <w:tcW w:w="696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4.7</w:t>
            </w:r>
          </w:p>
        </w:tc>
        <w:tc>
          <w:tcPr>
            <w:tcW w:w="6960" w:type="dxa"/>
            <w:vAlign w:val="bottom"/>
          </w:tcPr>
          <w:p>
            <w:pPr>
              <w:ind w:left="160"/>
              <w:spacing w:after="0"/>
              <w:rPr>
                <w:sz w:val="20"/>
                <w:szCs w:val="20"/>
                <w:color w:val="auto"/>
              </w:rPr>
            </w:pPr>
            <w:r>
              <w:rPr>
                <w:rFonts w:ascii="Arial" w:cs="Arial" w:eastAsia="Arial" w:hAnsi="Arial"/>
                <w:sz w:val="18"/>
                <w:szCs w:val="18"/>
                <w:color w:val="auto"/>
              </w:rPr>
              <w:t>Treasurer</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4.8</w:t>
            </w:r>
          </w:p>
        </w:tc>
        <w:tc>
          <w:tcPr>
            <w:tcW w:w="6960" w:type="dxa"/>
            <w:vAlign w:val="bottom"/>
          </w:tcPr>
          <w:p>
            <w:pPr>
              <w:ind w:left="160"/>
              <w:spacing w:after="0"/>
              <w:rPr>
                <w:sz w:val="20"/>
                <w:szCs w:val="20"/>
                <w:color w:val="auto"/>
              </w:rPr>
            </w:pPr>
            <w:r>
              <w:rPr>
                <w:rFonts w:ascii="Arial" w:cs="Arial" w:eastAsia="Arial" w:hAnsi="Arial"/>
                <w:sz w:val="18"/>
                <w:szCs w:val="18"/>
                <w:color w:val="auto"/>
              </w:rPr>
              <w:t>Vice President</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4.9</w:t>
            </w:r>
          </w:p>
        </w:tc>
        <w:tc>
          <w:tcPr>
            <w:tcW w:w="6960" w:type="dxa"/>
            <w:vAlign w:val="bottom"/>
          </w:tcPr>
          <w:p>
            <w:pPr>
              <w:ind w:left="160"/>
              <w:spacing w:after="0"/>
              <w:rPr>
                <w:sz w:val="20"/>
                <w:szCs w:val="20"/>
                <w:color w:val="auto"/>
              </w:rPr>
            </w:pPr>
            <w:r>
              <w:rPr>
                <w:rFonts w:ascii="Arial" w:cs="Arial" w:eastAsia="Arial" w:hAnsi="Arial"/>
                <w:sz w:val="18"/>
                <w:szCs w:val="18"/>
                <w:color w:val="auto"/>
              </w:rPr>
              <w:t>Secretary</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600" w:type="dxa"/>
            <w:vAlign w:val="bottom"/>
          </w:tcPr>
          <w:p>
            <w:pPr>
              <w:ind w:left="540"/>
              <w:spacing w:after="0"/>
              <w:rPr>
                <w:sz w:val="20"/>
                <w:szCs w:val="20"/>
                <w:color w:val="auto"/>
              </w:rPr>
            </w:pPr>
            <w:r>
              <w:rPr>
                <w:rFonts w:ascii="Arial" w:cs="Arial" w:eastAsia="Arial" w:hAnsi="Arial"/>
                <w:sz w:val="18"/>
                <w:szCs w:val="18"/>
                <w:color w:val="auto"/>
              </w:rPr>
              <w:t>Section 4.10</w:t>
            </w:r>
          </w:p>
        </w:tc>
        <w:tc>
          <w:tcPr>
            <w:tcW w:w="6960" w:type="dxa"/>
            <w:vAlign w:val="bottom"/>
          </w:tcPr>
          <w:p>
            <w:pPr>
              <w:ind w:left="160"/>
              <w:spacing w:after="0"/>
              <w:rPr>
                <w:sz w:val="20"/>
                <w:szCs w:val="20"/>
                <w:color w:val="auto"/>
              </w:rPr>
            </w:pPr>
            <w:r>
              <w:rPr>
                <w:rFonts w:ascii="Arial" w:cs="Arial" w:eastAsia="Arial" w:hAnsi="Arial"/>
                <w:sz w:val="18"/>
                <w:szCs w:val="18"/>
                <w:color w:val="auto"/>
              </w:rPr>
              <w:t>Delegation of Authority</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0960"/>
          </w:cols>
          <w:pgMar w:left="440" w:top="270" w:right="499" w:bottom="1440" w:gutter="0" w:footer="0" w:header="0"/>
        </w:sectPr>
      </w:pPr>
    </w:p>
    <w:bookmarkStart w:id="400" w:name="page401"/>
    <w:bookmarkEnd w:id="40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4.11</w:t>
            </w:r>
          </w:p>
        </w:tc>
        <w:tc>
          <w:tcPr>
            <w:tcW w:w="8120" w:type="dxa"/>
            <w:vAlign w:val="bottom"/>
          </w:tcPr>
          <w:p>
            <w:pPr>
              <w:ind w:left="100"/>
              <w:spacing w:after="0"/>
              <w:rPr>
                <w:sz w:val="20"/>
                <w:szCs w:val="20"/>
                <w:color w:val="auto"/>
              </w:rPr>
            </w:pPr>
            <w:r>
              <w:rPr>
                <w:rFonts w:ascii="Arial" w:cs="Arial" w:eastAsia="Arial" w:hAnsi="Arial"/>
                <w:sz w:val="18"/>
                <w:szCs w:val="18"/>
                <w:color w:val="auto"/>
              </w:rPr>
              <w:t>Removal</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4.12</w:t>
            </w:r>
          </w:p>
        </w:tc>
        <w:tc>
          <w:tcPr>
            <w:tcW w:w="8120" w:type="dxa"/>
            <w:vAlign w:val="bottom"/>
          </w:tcPr>
          <w:p>
            <w:pPr>
              <w:ind w:left="100"/>
              <w:spacing w:after="0"/>
              <w:rPr>
                <w:sz w:val="20"/>
                <w:szCs w:val="20"/>
                <w:color w:val="auto"/>
              </w:rPr>
            </w:pPr>
            <w:r>
              <w:rPr>
                <w:rFonts w:ascii="Arial" w:cs="Arial" w:eastAsia="Arial" w:hAnsi="Arial"/>
                <w:sz w:val="18"/>
                <w:szCs w:val="18"/>
                <w:color w:val="auto"/>
              </w:rPr>
              <w:t>Voting Shares in Other Business Entities</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rPr>
              <w:t>Section 4.13</w:t>
            </w:r>
          </w:p>
        </w:tc>
        <w:tc>
          <w:tcPr>
            <w:tcW w:w="8120" w:type="dxa"/>
            <w:vAlign w:val="bottom"/>
          </w:tcPr>
          <w:p>
            <w:pPr>
              <w:ind w:left="100"/>
              <w:spacing w:after="0"/>
              <w:rPr>
                <w:sz w:val="20"/>
                <w:szCs w:val="20"/>
                <w:color w:val="auto"/>
              </w:rPr>
            </w:pPr>
            <w:r>
              <w:rPr>
                <w:rFonts w:ascii="Arial" w:cs="Arial" w:eastAsia="Arial" w:hAnsi="Arial"/>
                <w:sz w:val="18"/>
                <w:szCs w:val="18"/>
                <w:color w:val="auto"/>
              </w:rPr>
              <w:t>Execution of Corporate Contracts and Instruments</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ARTICLE V STOCK</w:t>
            </w:r>
          </w:p>
        </w:tc>
        <w:tc>
          <w:tcPr>
            <w:tcW w:w="8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5.1</w:t>
            </w:r>
          </w:p>
        </w:tc>
        <w:tc>
          <w:tcPr>
            <w:tcW w:w="8120" w:type="dxa"/>
            <w:vAlign w:val="bottom"/>
          </w:tcPr>
          <w:p>
            <w:pPr>
              <w:ind w:left="100"/>
              <w:spacing w:after="0"/>
              <w:rPr>
                <w:sz w:val="20"/>
                <w:szCs w:val="20"/>
                <w:color w:val="auto"/>
              </w:rPr>
            </w:pPr>
            <w:r>
              <w:rPr>
                <w:rFonts w:ascii="Arial" w:cs="Arial" w:eastAsia="Arial" w:hAnsi="Arial"/>
                <w:sz w:val="18"/>
                <w:szCs w:val="18"/>
                <w:color w:val="auto"/>
              </w:rPr>
              <w:t>Certificates; Uncertificated Shares</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5.2</w:t>
            </w:r>
          </w:p>
        </w:tc>
        <w:tc>
          <w:tcPr>
            <w:tcW w:w="8120" w:type="dxa"/>
            <w:vAlign w:val="bottom"/>
          </w:tcPr>
          <w:p>
            <w:pPr>
              <w:ind w:left="100"/>
              <w:spacing w:after="0"/>
              <w:rPr>
                <w:sz w:val="20"/>
                <w:szCs w:val="20"/>
                <w:color w:val="auto"/>
              </w:rPr>
            </w:pPr>
            <w:r>
              <w:rPr>
                <w:rFonts w:ascii="Arial" w:cs="Arial" w:eastAsia="Arial" w:hAnsi="Arial"/>
                <w:sz w:val="18"/>
                <w:szCs w:val="18"/>
                <w:color w:val="auto"/>
              </w:rPr>
              <w:t>Lost, Stolen or Destroyed Stock Certificates; Issuance of New Certificates or Uncertificated Shares</w:t>
            </w: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rPr>
              <w:t>Section 5.3</w:t>
            </w:r>
          </w:p>
        </w:tc>
        <w:tc>
          <w:tcPr>
            <w:tcW w:w="8120" w:type="dxa"/>
            <w:vAlign w:val="bottom"/>
          </w:tcPr>
          <w:p>
            <w:pPr>
              <w:ind w:left="100"/>
              <w:spacing w:after="0"/>
              <w:rPr>
                <w:sz w:val="20"/>
                <w:szCs w:val="20"/>
                <w:color w:val="auto"/>
              </w:rPr>
            </w:pPr>
            <w:r>
              <w:rPr>
                <w:rFonts w:ascii="Arial" w:cs="Arial" w:eastAsia="Arial" w:hAnsi="Arial"/>
                <w:sz w:val="18"/>
                <w:szCs w:val="18"/>
                <w:color w:val="auto"/>
              </w:rPr>
              <w:t>Other Regulations</w:t>
            </w: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9780" w:type="dxa"/>
            <w:vAlign w:val="bottom"/>
            <w:gridSpan w:val="2"/>
          </w:tcPr>
          <w:p>
            <w:pPr>
              <w:spacing w:after="0"/>
              <w:rPr>
                <w:sz w:val="20"/>
                <w:szCs w:val="20"/>
                <w:color w:val="auto"/>
              </w:rPr>
            </w:pPr>
            <w:r>
              <w:rPr>
                <w:rFonts w:ascii="Arial" w:cs="Arial" w:eastAsia="Arial" w:hAnsi="Arial"/>
                <w:sz w:val="18"/>
                <w:szCs w:val="18"/>
                <w:color w:val="auto"/>
              </w:rPr>
              <w:t>ARTICLE VI INDEMNIFICATION</w:t>
            </w: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6.1</w:t>
            </w:r>
          </w:p>
        </w:tc>
        <w:tc>
          <w:tcPr>
            <w:tcW w:w="8120" w:type="dxa"/>
            <w:vAlign w:val="bottom"/>
          </w:tcPr>
          <w:p>
            <w:pPr>
              <w:ind w:left="100"/>
              <w:spacing w:after="0"/>
              <w:rPr>
                <w:sz w:val="20"/>
                <w:szCs w:val="20"/>
                <w:color w:val="auto"/>
              </w:rPr>
            </w:pPr>
            <w:r>
              <w:rPr>
                <w:rFonts w:ascii="Arial" w:cs="Arial" w:eastAsia="Arial" w:hAnsi="Arial"/>
                <w:sz w:val="18"/>
                <w:szCs w:val="18"/>
                <w:color w:val="auto"/>
              </w:rPr>
              <w:t>Indemnification of Officers and Directors</w:t>
            </w: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6.2</w:t>
            </w:r>
          </w:p>
        </w:tc>
        <w:tc>
          <w:tcPr>
            <w:tcW w:w="8120" w:type="dxa"/>
            <w:vAlign w:val="bottom"/>
          </w:tcPr>
          <w:p>
            <w:pPr>
              <w:ind w:left="100"/>
              <w:spacing w:after="0"/>
              <w:rPr>
                <w:sz w:val="20"/>
                <w:szCs w:val="20"/>
                <w:color w:val="auto"/>
              </w:rPr>
            </w:pPr>
            <w:r>
              <w:rPr>
                <w:rFonts w:ascii="Arial" w:cs="Arial" w:eastAsia="Arial" w:hAnsi="Arial"/>
                <w:sz w:val="18"/>
                <w:szCs w:val="18"/>
                <w:color w:val="auto"/>
              </w:rPr>
              <w:t>Advance of Expenses</w:t>
            </w: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6.3</w:t>
            </w:r>
          </w:p>
        </w:tc>
        <w:tc>
          <w:tcPr>
            <w:tcW w:w="8120" w:type="dxa"/>
            <w:vAlign w:val="bottom"/>
          </w:tcPr>
          <w:p>
            <w:pPr>
              <w:ind w:left="100"/>
              <w:spacing w:after="0"/>
              <w:rPr>
                <w:sz w:val="20"/>
                <w:szCs w:val="20"/>
                <w:color w:val="auto"/>
              </w:rPr>
            </w:pPr>
            <w:r>
              <w:rPr>
                <w:rFonts w:ascii="Arial" w:cs="Arial" w:eastAsia="Arial" w:hAnsi="Arial"/>
                <w:sz w:val="18"/>
                <w:szCs w:val="18"/>
                <w:color w:val="auto"/>
              </w:rPr>
              <w:t>Non-Exclusivity of Rights</w:t>
            </w: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6.4</w:t>
            </w:r>
          </w:p>
        </w:tc>
        <w:tc>
          <w:tcPr>
            <w:tcW w:w="8120" w:type="dxa"/>
            <w:vAlign w:val="bottom"/>
          </w:tcPr>
          <w:p>
            <w:pPr>
              <w:ind w:left="100"/>
              <w:spacing w:after="0"/>
              <w:rPr>
                <w:sz w:val="20"/>
                <w:szCs w:val="20"/>
                <w:color w:val="auto"/>
              </w:rPr>
            </w:pPr>
            <w:r>
              <w:rPr>
                <w:rFonts w:ascii="Arial" w:cs="Arial" w:eastAsia="Arial" w:hAnsi="Arial"/>
                <w:sz w:val="18"/>
                <w:szCs w:val="18"/>
                <w:color w:val="auto"/>
              </w:rPr>
              <w:t>Indemnification Contracts</w:t>
            </w: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6.5</w:t>
            </w:r>
          </w:p>
        </w:tc>
        <w:tc>
          <w:tcPr>
            <w:tcW w:w="8120" w:type="dxa"/>
            <w:vAlign w:val="bottom"/>
          </w:tcPr>
          <w:p>
            <w:pPr>
              <w:ind w:left="100"/>
              <w:spacing w:after="0"/>
              <w:rPr>
                <w:sz w:val="20"/>
                <w:szCs w:val="20"/>
                <w:color w:val="auto"/>
              </w:rPr>
            </w:pPr>
            <w:r>
              <w:rPr>
                <w:rFonts w:ascii="Arial" w:cs="Arial" w:eastAsia="Arial" w:hAnsi="Arial"/>
                <w:sz w:val="18"/>
                <w:szCs w:val="18"/>
                <w:color w:val="auto"/>
              </w:rPr>
              <w:t>Right of Indemnitee to Bring Suit</w:t>
            </w: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6.6</w:t>
            </w:r>
          </w:p>
        </w:tc>
        <w:tc>
          <w:tcPr>
            <w:tcW w:w="8120" w:type="dxa"/>
            <w:vAlign w:val="bottom"/>
          </w:tcPr>
          <w:p>
            <w:pPr>
              <w:ind w:left="100"/>
              <w:spacing w:after="0"/>
              <w:rPr>
                <w:sz w:val="20"/>
                <w:szCs w:val="20"/>
                <w:color w:val="auto"/>
              </w:rPr>
            </w:pPr>
            <w:r>
              <w:rPr>
                <w:rFonts w:ascii="Arial" w:cs="Arial" w:eastAsia="Arial" w:hAnsi="Arial"/>
                <w:sz w:val="18"/>
                <w:szCs w:val="18"/>
                <w:color w:val="auto"/>
              </w:rPr>
              <w:t>Nature of Rights</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rPr>
              <w:t>Section 6.7</w:t>
            </w:r>
          </w:p>
        </w:tc>
        <w:tc>
          <w:tcPr>
            <w:tcW w:w="812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9780" w:type="dxa"/>
            <w:vAlign w:val="bottom"/>
            <w:gridSpan w:val="2"/>
          </w:tcPr>
          <w:p>
            <w:pPr>
              <w:spacing w:after="0"/>
              <w:rPr>
                <w:sz w:val="20"/>
                <w:szCs w:val="20"/>
                <w:color w:val="auto"/>
              </w:rPr>
            </w:pPr>
            <w:r>
              <w:rPr>
                <w:rFonts w:ascii="Arial" w:cs="Arial" w:eastAsia="Arial" w:hAnsi="Arial"/>
                <w:sz w:val="18"/>
                <w:szCs w:val="18"/>
                <w:color w:val="auto"/>
              </w:rPr>
              <w:t>ARTICLE VII NOTICES</w:t>
            </w: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7.1</w:t>
            </w:r>
          </w:p>
        </w:tc>
        <w:tc>
          <w:tcPr>
            <w:tcW w:w="8120" w:type="dxa"/>
            <w:vAlign w:val="bottom"/>
          </w:tcPr>
          <w:p>
            <w:pPr>
              <w:ind w:left="100"/>
              <w:spacing w:after="0"/>
              <w:rPr>
                <w:sz w:val="20"/>
                <w:szCs w:val="20"/>
                <w:color w:val="auto"/>
              </w:rPr>
            </w:pPr>
            <w:r>
              <w:rPr>
                <w:rFonts w:ascii="Arial" w:cs="Arial" w:eastAsia="Arial" w:hAnsi="Arial"/>
                <w:sz w:val="18"/>
                <w:szCs w:val="18"/>
                <w:color w:val="auto"/>
              </w:rPr>
              <w:t>Notice</w:t>
            </w: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rPr>
              <w:t>Section 7.2</w:t>
            </w:r>
          </w:p>
        </w:tc>
        <w:tc>
          <w:tcPr>
            <w:tcW w:w="8120" w:type="dxa"/>
            <w:vAlign w:val="bottom"/>
          </w:tcPr>
          <w:p>
            <w:pPr>
              <w:ind w:left="100"/>
              <w:spacing w:after="0"/>
              <w:rPr>
                <w:sz w:val="20"/>
                <w:szCs w:val="20"/>
                <w:color w:val="auto"/>
              </w:rPr>
            </w:pPr>
            <w:r>
              <w:rPr>
                <w:rFonts w:ascii="Arial" w:cs="Arial" w:eastAsia="Arial" w:hAnsi="Arial"/>
                <w:sz w:val="18"/>
                <w:szCs w:val="18"/>
                <w:color w:val="auto"/>
              </w:rPr>
              <w:t>Waiver of Notice</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color w:val="auto"/>
              </w:rPr>
              <w:t>ARTICLE VIII INTERESTED DIRECTORS</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1660" w:type="dxa"/>
            <w:vAlign w:val="bottom"/>
          </w:tcPr>
          <w:p>
            <w:pPr>
              <w:ind w:left="540"/>
              <w:spacing w:after="0"/>
              <w:rPr>
                <w:sz w:val="20"/>
                <w:szCs w:val="20"/>
                <w:color w:val="auto"/>
              </w:rPr>
            </w:pPr>
            <w:r>
              <w:rPr>
                <w:rFonts w:ascii="Arial" w:cs="Arial" w:eastAsia="Arial" w:hAnsi="Arial"/>
                <w:sz w:val="18"/>
                <w:szCs w:val="18"/>
                <w:color w:val="auto"/>
              </w:rPr>
              <w:t>Section 8.1</w:t>
            </w:r>
          </w:p>
        </w:tc>
        <w:tc>
          <w:tcPr>
            <w:tcW w:w="8120" w:type="dxa"/>
            <w:vAlign w:val="bottom"/>
          </w:tcPr>
          <w:p>
            <w:pPr>
              <w:ind w:left="100"/>
              <w:spacing w:after="0"/>
              <w:rPr>
                <w:sz w:val="20"/>
                <w:szCs w:val="20"/>
                <w:color w:val="auto"/>
              </w:rPr>
            </w:pPr>
            <w:r>
              <w:rPr>
                <w:rFonts w:ascii="Arial" w:cs="Arial" w:eastAsia="Arial" w:hAnsi="Arial"/>
                <w:sz w:val="18"/>
                <w:szCs w:val="18"/>
                <w:color w:val="auto"/>
              </w:rPr>
              <w:t>Interested Directors</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rPr>
              <w:t>Section 8.2</w:t>
            </w:r>
          </w:p>
        </w:tc>
        <w:tc>
          <w:tcPr>
            <w:tcW w:w="8120" w:type="dxa"/>
            <w:vAlign w:val="bottom"/>
          </w:tcPr>
          <w:p>
            <w:pPr>
              <w:ind w:left="100"/>
              <w:spacing w:after="0"/>
              <w:rPr>
                <w:sz w:val="20"/>
                <w:szCs w:val="20"/>
                <w:color w:val="auto"/>
              </w:rPr>
            </w:pPr>
            <w:r>
              <w:rPr>
                <w:rFonts w:ascii="Arial" w:cs="Arial" w:eastAsia="Arial" w:hAnsi="Arial"/>
                <w:sz w:val="18"/>
                <w:szCs w:val="18"/>
                <w:color w:val="auto"/>
              </w:rPr>
              <w:t>Quorum</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978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9.1</w:t>
            </w:r>
          </w:p>
        </w:tc>
        <w:tc>
          <w:tcPr>
            <w:tcW w:w="8120" w:type="dxa"/>
            <w:vAlign w:val="bottom"/>
          </w:tcPr>
          <w:p>
            <w:pPr>
              <w:ind w:left="100"/>
              <w:spacing w:after="0"/>
              <w:rPr>
                <w:sz w:val="20"/>
                <w:szCs w:val="20"/>
                <w:color w:val="auto"/>
              </w:rPr>
            </w:pPr>
            <w:r>
              <w:rPr>
                <w:rFonts w:ascii="Arial" w:cs="Arial" w:eastAsia="Arial" w:hAnsi="Arial"/>
                <w:sz w:val="18"/>
                <w:szCs w:val="18"/>
                <w:color w:val="auto"/>
              </w:rPr>
              <w:t>Fiscal Year</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9.2</w:t>
            </w:r>
          </w:p>
        </w:tc>
        <w:tc>
          <w:tcPr>
            <w:tcW w:w="8120" w:type="dxa"/>
            <w:vAlign w:val="bottom"/>
          </w:tcPr>
          <w:p>
            <w:pPr>
              <w:ind w:left="100"/>
              <w:spacing w:after="0"/>
              <w:rPr>
                <w:sz w:val="20"/>
                <w:szCs w:val="20"/>
                <w:color w:val="auto"/>
              </w:rPr>
            </w:pPr>
            <w:r>
              <w:rPr>
                <w:rFonts w:ascii="Arial" w:cs="Arial" w:eastAsia="Arial" w:hAnsi="Arial"/>
                <w:sz w:val="18"/>
                <w:szCs w:val="18"/>
                <w:color w:val="auto"/>
              </w:rPr>
              <w:t>Seal</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9.3</w:t>
            </w:r>
          </w:p>
        </w:tc>
        <w:tc>
          <w:tcPr>
            <w:tcW w:w="8120" w:type="dxa"/>
            <w:vAlign w:val="bottom"/>
          </w:tcPr>
          <w:p>
            <w:pPr>
              <w:ind w:left="100"/>
              <w:spacing w:after="0"/>
              <w:rPr>
                <w:sz w:val="20"/>
                <w:szCs w:val="20"/>
                <w:color w:val="auto"/>
              </w:rPr>
            </w:pPr>
            <w:r>
              <w:rPr>
                <w:rFonts w:ascii="Arial" w:cs="Arial" w:eastAsia="Arial" w:hAnsi="Arial"/>
                <w:sz w:val="18"/>
                <w:szCs w:val="18"/>
                <w:color w:val="auto"/>
              </w:rPr>
              <w:t>Form of Records</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9.4</w:t>
            </w:r>
          </w:p>
        </w:tc>
        <w:tc>
          <w:tcPr>
            <w:tcW w:w="8120" w:type="dxa"/>
            <w:vAlign w:val="bottom"/>
          </w:tcPr>
          <w:p>
            <w:pPr>
              <w:ind w:left="100"/>
              <w:spacing w:after="0"/>
              <w:rPr>
                <w:sz w:val="20"/>
                <w:szCs w:val="20"/>
                <w:color w:val="auto"/>
              </w:rPr>
            </w:pPr>
            <w:r>
              <w:rPr>
                <w:rFonts w:ascii="Arial" w:cs="Arial" w:eastAsia="Arial" w:hAnsi="Arial"/>
                <w:sz w:val="18"/>
                <w:szCs w:val="18"/>
                <w:color w:val="auto"/>
              </w:rPr>
              <w:t>Reliance Upon Books and Records</w:t>
            </w: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9.5</w:t>
            </w:r>
          </w:p>
        </w:tc>
        <w:tc>
          <w:tcPr>
            <w:tcW w:w="8120" w:type="dxa"/>
            <w:vAlign w:val="bottom"/>
          </w:tcPr>
          <w:p>
            <w:pPr>
              <w:ind w:left="100"/>
              <w:spacing w:after="0"/>
              <w:rPr>
                <w:sz w:val="20"/>
                <w:szCs w:val="20"/>
                <w:color w:val="auto"/>
              </w:rPr>
            </w:pPr>
            <w:r>
              <w:rPr>
                <w:rFonts w:ascii="Arial" w:cs="Arial" w:eastAsia="Arial" w:hAnsi="Arial"/>
                <w:sz w:val="18"/>
                <w:szCs w:val="18"/>
                <w:color w:val="auto"/>
              </w:rPr>
              <w:t>Certificate of Incorporation Governs</w:t>
            </w: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9.6</w:t>
            </w:r>
          </w:p>
        </w:tc>
        <w:tc>
          <w:tcPr>
            <w:tcW w:w="81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rPr>
              <w:t>Section 9.7</w:t>
            </w:r>
          </w:p>
        </w:tc>
        <w:tc>
          <w:tcPr>
            <w:tcW w:w="8120" w:type="dxa"/>
            <w:vAlign w:val="bottom"/>
          </w:tcPr>
          <w:p>
            <w:pPr>
              <w:ind w:left="100"/>
              <w:spacing w:after="0"/>
              <w:rPr>
                <w:sz w:val="20"/>
                <w:szCs w:val="20"/>
                <w:color w:val="auto"/>
              </w:rPr>
            </w:pPr>
            <w:r>
              <w:rPr>
                <w:rFonts w:ascii="Arial" w:cs="Arial" w:eastAsia="Arial" w:hAnsi="Arial"/>
                <w:sz w:val="18"/>
                <w:szCs w:val="18"/>
                <w:color w:val="auto"/>
              </w:rPr>
              <w:t>Time Periods</w:t>
            </w: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color w:val="auto"/>
              </w:rPr>
              <w:t>ARTICLE X AMENDMENT</w:t>
            </w: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0960"/>
          </w:cols>
          <w:pgMar w:left="440" w:top="270" w:right="499" w:bottom="1440" w:gutter="0" w:footer="0" w:header="0"/>
        </w:sectPr>
      </w:pPr>
    </w:p>
    <w:bookmarkStart w:id="401" w:name="page402"/>
    <w:bookmarkEnd w:id="4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FLYWIRE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Delaware corporation)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BYLAWS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April 28, 2021 and</w:t>
      </w:r>
    </w:p>
    <w:p>
      <w:pPr>
        <w:spacing w:after="0" w:line="23"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As Effective</w:t>
            </w:r>
          </w:p>
        </w:tc>
        <w:tc>
          <w:tcPr>
            <w:tcW w:w="76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w:t>
      </w:r>
    </w:p>
    <w:p>
      <w:pPr>
        <w:spacing w:after="0" w:line="207"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b w:val="1"/>
          <w:bCs w:val="1"/>
          <w:u w:val="single" w:color="auto"/>
          <w:color w:val="auto"/>
        </w:rPr>
        <w:t>Annual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If required by applicable law, an annual meeting of stockholders shall be held for the election of directors at such</w:t>
      </w:r>
      <w:r>
        <w:rPr>
          <w:rFonts w:ascii="Arial" w:cs="Arial" w:eastAsia="Arial" w:hAnsi="Arial"/>
          <w:sz w:val="17"/>
          <w:szCs w:val="17"/>
          <w:b w:val="1"/>
          <w:bCs w:val="1"/>
          <w:color w:val="auto"/>
        </w:rPr>
        <w:t xml:space="preserve"> </w:t>
      </w:r>
      <w:r>
        <w:rPr>
          <w:rFonts w:ascii="Arial" w:cs="Arial" w:eastAsia="Arial" w:hAnsi="Arial"/>
          <w:sz w:val="17"/>
          <w:szCs w:val="17"/>
          <w:color w:val="auto"/>
        </w:rPr>
        <w:t>date and time as 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of Flywire Corporation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shall each year fix. The meeting may be held either at a place, within or without the State of Delaware as permitted by the Delaware General Corporation Law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or by means of remote communication as the Board in its sole discretion may determine. Any other proper business may be transacted at the annual meeting. The Corporation may postpone, reschedule or cancel any annual meeting of stockholders previously scheduled by the Board.</w:t>
      </w:r>
    </w:p>
    <w:p>
      <w:pPr>
        <w:spacing w:after="0" w:line="168" w:lineRule="exact"/>
        <w:rPr>
          <w:sz w:val="20"/>
          <w:szCs w:val="20"/>
          <w:color w:val="auto"/>
        </w:rPr>
      </w:pPr>
    </w:p>
    <w:p>
      <w:pPr>
        <w:ind w:right="80" w:firstLine="440"/>
        <w:spacing w:after="0" w:line="25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Special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stockholders for any purpose or purposes shall be called in the manner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Certificate of Incorporation of the Corporation (as the same may be amended and/or restated from time to time,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Incorporation</w:t>
      </w:r>
      <w:r>
        <w:rPr>
          <w:rFonts w:ascii="Arial" w:cs="Arial" w:eastAsia="Arial" w:hAnsi="Arial"/>
          <w:sz w:val="18"/>
          <w:szCs w:val="18"/>
          <w:color w:val="auto"/>
        </w:rPr>
        <w:t>”). The special meeting may be held either at a place, within or without the State of Delaware, or by means of remote communication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Board in its sole discretion may determine. Business transacted at any special meeting of stockholders shall be limited to matters relating to the purpose or purposes stated in the notice of the meeting. The Corporation may postpone, reschedule or cancel any special meeting of stockholders previously scheduled by the Board.</w:t>
      </w:r>
    </w:p>
    <w:p>
      <w:pPr>
        <w:spacing w:after="0" w:line="18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b w:val="1"/>
          <w:bCs w:val="1"/>
          <w:color w:val="auto"/>
        </w:rPr>
        <w:t xml:space="preserve">Section 1.3 </w:t>
      </w:r>
      <w:r>
        <w:rPr>
          <w:rFonts w:ascii="Arial" w:cs="Arial" w:eastAsia="Arial" w:hAnsi="Arial"/>
          <w:sz w:val="17"/>
          <w:szCs w:val="17"/>
          <w:b w:val="1"/>
          <w:bCs w:val="1"/>
          <w:u w:val="single" w:color="auto"/>
          <w:color w:val="auto"/>
        </w:rPr>
        <w:t>Notice of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all meetings of stockholders shall be given in writing or by electronic transmission in the manner</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applicable law (including, without limitation, as set forth in Section 7.1.1 of these Bylaws) stating the date, time and place, if any, of the meeting, the means of remote communication, if any, by which stockholders and proxy holders who are entitled to vote may be deemed to be present in person and vote at such meeting, and the record date for determining the stockholders entitled to vote at the meeting (if such date is different from the record date for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172"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Adjournments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Section 1.5 of these Bylaws, the chairperson of the meeting shall have the power to recess or</w:t>
      </w:r>
      <w:r>
        <w:rPr>
          <w:rFonts w:ascii="Arial" w:cs="Arial" w:eastAsia="Arial" w:hAnsi="Arial"/>
          <w:sz w:val="18"/>
          <w:szCs w:val="18"/>
          <w:b w:val="1"/>
          <w:bCs w:val="1"/>
          <w:color w:val="auto"/>
        </w:rPr>
        <w:t xml:space="preserve"> </w:t>
      </w:r>
      <w:r>
        <w:rPr>
          <w:rFonts w:ascii="Arial" w:cs="Arial" w:eastAsia="Arial" w:hAnsi="Arial"/>
          <w:sz w:val="18"/>
          <w:szCs w:val="18"/>
          <w:color w:val="auto"/>
        </w:rPr>
        <w:t>adjourn any meeting of stockholders,</w:t>
      </w:r>
    </w:p>
    <w:p>
      <w:pPr>
        <w:sectPr>
          <w:pgSz w:w="11900" w:h="16838" w:orient="portrait"/>
          <w:cols w:equalWidth="0" w:num="1">
            <w:col w:w="10980"/>
          </w:cols>
          <w:pgMar w:left="440" w:top="270" w:right="479" w:bottom="1440" w:gutter="0" w:footer="0" w:header="0"/>
        </w:sectPr>
      </w:pPr>
    </w:p>
    <w:bookmarkStart w:id="402" w:name="page403"/>
    <w:bookmarkEnd w:id="402"/>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annual or special, to another 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who are entitled to vote may be deemed to be present in person and vote at such adjourned meeting are announced at the meeting at which the adjournment is taken;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w:t>
      </w:r>
    </w:p>
    <w:p>
      <w:pPr>
        <w:spacing w:after="0" w:line="1" w:lineRule="exact"/>
        <w:rPr>
          <w:sz w:val="20"/>
          <w:szCs w:val="20"/>
          <w:color w:val="auto"/>
        </w:rPr>
      </w:pPr>
    </w:p>
    <w:p>
      <w:pPr>
        <w:ind w:left="4" w:right="60" w:hanging="4"/>
        <w:spacing w:after="0" w:line="268" w:lineRule="auto"/>
        <w:tabs>
          <w:tab w:leader="none" w:pos="259"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adjournment is for more than thirty (30) days, a notice of the adjourned meeting shall be given to each stockholder of record entitled to vote at the meeting or (y)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 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175" w:lineRule="exact"/>
        <w:rPr>
          <w:sz w:val="20"/>
          <w:szCs w:val="20"/>
          <w:color w:val="auto"/>
        </w:rPr>
      </w:pPr>
    </w:p>
    <w:p>
      <w:pPr>
        <w:ind w:left="4" w:right="80" w:firstLine="440"/>
        <w:spacing w:after="0" w:line="269" w:lineRule="auto"/>
        <w:rPr>
          <w:sz w:val="20"/>
          <w:szCs w:val="20"/>
          <w:color w:val="auto"/>
        </w:rPr>
      </w:pPr>
      <w:r>
        <w:rPr>
          <w:rFonts w:ascii="Arial" w:cs="Arial" w:eastAsia="Arial" w:hAnsi="Arial"/>
          <w:sz w:val="17"/>
          <w:szCs w:val="17"/>
          <w:b w:val="1"/>
          <w:bCs w:val="1"/>
          <w:color w:val="auto"/>
        </w:rPr>
        <w:t xml:space="preserve">Section 1.5 </w:t>
      </w:r>
      <w:r>
        <w:rPr>
          <w:rFonts w:ascii="Arial" w:cs="Arial" w:eastAsia="Arial" w:hAnsi="Arial"/>
          <w:sz w:val="17"/>
          <w:szCs w:val="17"/>
          <w:b w:val="1"/>
          <w:bCs w:val="1"/>
          <w:u w:val="single" w:color="auto"/>
          <w:color w:val="auto"/>
        </w:rPr>
        <w:t>Quorum</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by applicable law, the Certificate of Incorporation or these Bylaws, at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stockholders the holders of a majority of the voting power of the shares of stock issued and outstanding and entitled to vote at the meeting, present in person or represented by proxy, shall constitute a quorum for the transaction of business;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spacing w:after="0" w:line="176" w:lineRule="exact"/>
        <w:rPr>
          <w:sz w:val="20"/>
          <w:szCs w:val="20"/>
          <w:color w:val="auto"/>
        </w:rPr>
      </w:pPr>
    </w:p>
    <w:p>
      <w:pPr>
        <w:ind w:left="4" w:right="60" w:firstLine="440"/>
        <w:spacing w:after="0" w:line="258" w:lineRule="auto"/>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u w:val="single" w:color="auto"/>
          <w:color w:val="auto"/>
        </w:rPr>
        <w:t>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stockholders shall be presided over by (a) such person as the Board may designate, or (b) in the absence</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a person,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The Secretary of the Corporation shall act as secretary of the meeting, but in such person’s absence the chairperson of the meeting may appoint any person to act as secretary of the meeting.</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403" w:name="page404"/>
    <w:bookmarkEnd w:id="403"/>
    <w:p>
      <w:pPr>
        <w:ind w:firstLine="44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1.7 </w:t>
      </w:r>
      <w:r>
        <w:rPr>
          <w:rFonts w:ascii="Arial" w:cs="Arial" w:eastAsia="Arial" w:hAnsi="Arial"/>
          <w:sz w:val="17"/>
          <w:szCs w:val="17"/>
          <w:b w:val="1"/>
          <w:bCs w:val="1"/>
          <w:u w:val="single" w:color="auto"/>
          <w:color w:val="auto"/>
        </w:rPr>
        <w:t>Voting; Proxies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stockholder of record entitled to vote at a meeting of stockholders, or to take corporate action by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without a meeting, may authorize another person or persons to act for such stockholder by proxy, but no such proxy shall be voted or acted upon after three years from its date, unless the proxy provides for a longer period. Such a proxy may be prepared, transmitted and delivered in any manner permitted by applicable law. Except as may be required in the Certificate of Incorporation, at all meetings of stockholders for the election of directors at which a quorum is present, directors shall be elected by a plurality of the votes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284"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6"/>
          <w:szCs w:val="16"/>
          <w:b w:val="1"/>
          <w:bCs w:val="1"/>
          <w:u w:val="single" w:color="auto"/>
          <w:color w:val="auto"/>
        </w:rPr>
        <w:t>Fixing Date for Determination of Stockholders of Record</w:t>
      </w:r>
      <w:r>
        <w:rPr>
          <w:rFonts w:ascii="Arial" w:cs="Arial" w:eastAsia="Arial" w:hAnsi="Arial"/>
          <w:sz w:val="16"/>
          <w:szCs w:val="16"/>
          <w:b w:val="1"/>
          <w:bCs w:val="1"/>
          <w:color w:val="auto"/>
        </w:rPr>
        <w:t>.</w:t>
      </w:r>
    </w:p>
    <w:p>
      <w:pPr>
        <w:spacing w:after="0" w:line="121"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1.8.1 </w:t>
      </w:r>
      <w:r>
        <w:rPr>
          <w:rFonts w:ascii="Arial" w:cs="Arial" w:eastAsia="Arial" w:hAnsi="Arial"/>
          <w:sz w:val="17"/>
          <w:szCs w:val="17"/>
          <w:u w:val="single" w:color="auto"/>
          <w:color w:val="auto"/>
        </w:rPr>
        <w:t>Meetings</w:t>
      </w:r>
      <w:r>
        <w:rPr>
          <w:rFonts w:ascii="Arial" w:cs="Arial" w:eastAsia="Arial" w:hAnsi="Arial"/>
          <w:sz w:val="17"/>
          <w:szCs w:val="17"/>
          <w:color w:val="auto"/>
        </w:rPr>
        <w:t xml:space="preserve">.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9"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Stockholder Action by Written Consent</w:t>
      </w:r>
      <w:r>
        <w:rPr>
          <w:rFonts w:ascii="Arial" w:cs="Arial" w:eastAsia="Arial" w:hAnsi="Arial"/>
          <w:sz w:val="18"/>
          <w:szCs w:val="18"/>
          <w:color w:val="auto"/>
        </w:rPr>
        <w:t>. If stockholders are permitted to act by written consent pursuant to the Certificate of Incorporation, in order that the Corporation may determine the stockholders entitled to consent to corporate action in writing without a meeting, the Board may fix a record date, which record date shall not precede the date upon which the resolution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404" w:name="page405"/>
    <w:bookmarkEnd w:id="404"/>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fixing the record date is adopted by the Board, and which date shall not be more than ten (10) days after the date upon which the resolution fixing the record date is adopted by the Board. If no record date has been fixed by the Board pursuant to the first sentence of this Section 1.8.2, the record date for determining stockholders entitled to consent to corporate action in writing without a meeting (if stockholders are permitted to act by written consent pursuant to the Certificate of Incorporation), when no prior action by the Board is required by applicable law, shall be the first date on which a signed written consent setting forth the action taken or proposed to be taken is delivered to the Corporation by delivery to its registered office in Delaware, its principal place of business, or to any officer or agent of the Corporation having custody of the book in which proceedings of meetings of stockholders are recorded. If no record date has been fixed by the Board pursuant to the first sentence of this Section 1.8.2, the record date for determining stockholders entitled to consent to corporate action in writing without a meeting if prior action by the Board is required by applicable law shall be at the close of business on the date on which the Board adopts the resolution taking such prior action.</w:t>
      </w:r>
    </w:p>
    <w:p>
      <w:pPr>
        <w:spacing w:after="0" w:line="181"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Meetings</w:t>
      </w:r>
      <w:r>
        <w:rPr>
          <w:rFonts w:ascii="Arial" w:cs="Arial" w:eastAsia="Arial" w:hAnsi="Arial"/>
          <w:sz w:val="18"/>
          <w:szCs w:val="18"/>
          <w:color w:val="auto"/>
        </w:rPr>
        <w:t>.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New York Time on the day on which the Board adopts the resolution relating thereto.</w:t>
      </w:r>
    </w:p>
    <w:p>
      <w:pPr>
        <w:spacing w:after="0" w:line="188"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b w:val="1"/>
          <w:bCs w:val="1"/>
          <w:color w:val="auto"/>
        </w:rPr>
        <w:t xml:space="preserve">Section 1.9 </w:t>
      </w:r>
      <w:r>
        <w:rPr>
          <w:rFonts w:ascii="Arial" w:cs="Arial" w:eastAsia="Arial" w:hAnsi="Arial"/>
          <w:sz w:val="16"/>
          <w:szCs w:val="16"/>
          <w:b w:val="1"/>
          <w:bCs w:val="1"/>
          <w:u w:val="single" w:color="auto"/>
          <w:color w:val="auto"/>
        </w:rPr>
        <w:t>List of Stockholders Entitled to Vote</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prepare, at least ten (10) days before every meeting of stockholders, a</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list of stockholders entitled to vote at the meeting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as permitted by applicable law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information required to gain access to the list is provided with the notice of the meeting), or (b) during ordinary business hours, at the principal place of business of the Corporation. If the meeting is held at a location where stockholders may attend in person, a list of stockholders entitled to vote at the meeting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stock ledger shall be the only evidence as to who are the stockholders entitled to examine the list of stockholders required by this Section 1.9 or to determine who are holders of Voting Common Stock and entitled to vote in person or by proxy at any meeting of stockholders.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05" w:name="page406"/>
    <w:bookmarkEnd w:id="405"/>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1.10</w:t>
      </w:r>
      <w:r>
        <w:rPr>
          <w:sz w:val="20"/>
          <w:szCs w:val="20"/>
          <w:color w:val="auto"/>
        </w:rPr>
        <w:tab/>
      </w:r>
      <w:r>
        <w:rPr>
          <w:rFonts w:ascii="Arial" w:cs="Arial" w:eastAsia="Arial" w:hAnsi="Arial"/>
          <w:sz w:val="15"/>
          <w:szCs w:val="15"/>
          <w:b w:val="1"/>
          <w:bCs w:val="1"/>
          <w:u w:val="single" w:color="auto"/>
          <w:color w:val="auto"/>
        </w:rPr>
        <w:t>Inspectors of Elections</w:t>
      </w:r>
      <w:r>
        <w:rPr>
          <w:rFonts w:ascii="Arial" w:cs="Arial" w:eastAsia="Arial" w:hAnsi="Arial"/>
          <w:sz w:val="15"/>
          <w:szCs w:val="15"/>
          <w:color w:val="auto"/>
        </w:rPr>
        <w:t>.</w:t>
      </w:r>
    </w:p>
    <w:p>
      <w:pPr>
        <w:spacing w:after="0" w:line="121" w:lineRule="exact"/>
        <w:rPr>
          <w:sz w:val="20"/>
          <w:szCs w:val="20"/>
          <w:color w:val="auto"/>
        </w:rPr>
      </w:pPr>
    </w:p>
    <w:p>
      <w:pPr>
        <w:jc w:val="both"/>
        <w:ind w:right="80" w:firstLine="991"/>
        <w:spacing w:after="0" w:line="301" w:lineRule="auto"/>
        <w:rPr>
          <w:sz w:val="20"/>
          <w:szCs w:val="20"/>
          <w:color w:val="auto"/>
        </w:rPr>
      </w:pPr>
      <w:r>
        <w:rPr>
          <w:rFonts w:ascii="Arial" w:cs="Arial" w:eastAsia="Arial" w:hAnsi="Arial"/>
          <w:sz w:val="16"/>
          <w:szCs w:val="16"/>
          <w:color w:val="auto"/>
        </w:rPr>
        <w:t xml:space="preserve">1.10.1 </w:t>
      </w:r>
      <w:r>
        <w:rPr>
          <w:rFonts w:ascii="Arial" w:cs="Arial" w:eastAsia="Arial" w:hAnsi="Arial"/>
          <w:sz w:val="16"/>
          <w:szCs w:val="16"/>
          <w:u w:val="single" w:color="auto"/>
          <w:color w:val="auto"/>
        </w:rPr>
        <w:t>Applicability</w:t>
      </w:r>
      <w:r>
        <w:rPr>
          <w:rFonts w:ascii="Arial" w:cs="Arial" w:eastAsia="Arial" w:hAnsi="Arial"/>
          <w:sz w:val="16"/>
          <w:szCs w:val="16"/>
          <w:color w:val="auto"/>
        </w:rPr>
        <w:t>.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57"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Appointment</w:t>
      </w:r>
      <w:r>
        <w:rPr>
          <w:rFonts w:ascii="Arial" w:cs="Arial" w:eastAsia="Arial" w:hAnsi="Arial"/>
          <w:sz w:val="18"/>
          <w:szCs w:val="18"/>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8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Inspector’s Oath</w:t>
      </w:r>
      <w:r>
        <w:rPr>
          <w:rFonts w:ascii="Arial" w:cs="Arial" w:eastAsia="Arial" w:hAnsi="Arial"/>
          <w:sz w:val="18"/>
          <w:szCs w:val="18"/>
          <w:color w:val="auto"/>
        </w:rPr>
        <w:t>. Each inspector of election, before entering upon the discharge of his duties, shall take and sign an oath faithfully to execute the duties of inspector with strict impartiality and according to the best of such inspector’s ability.</w:t>
      </w:r>
    </w:p>
    <w:p>
      <w:pPr>
        <w:spacing w:after="0" w:line="170"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 xml:space="preserve">1.10.4 </w:t>
      </w:r>
      <w:r>
        <w:rPr>
          <w:rFonts w:ascii="Arial" w:cs="Arial" w:eastAsia="Arial" w:hAnsi="Arial"/>
          <w:sz w:val="16"/>
          <w:szCs w:val="16"/>
          <w:u w:val="single" w:color="auto"/>
          <w:color w:val="auto"/>
        </w:rPr>
        <w:t>Duties of Inspectors</w:t>
      </w:r>
      <w:r>
        <w:rPr>
          <w:rFonts w:ascii="Arial" w:cs="Arial" w:eastAsia="Arial" w:hAnsi="Arial"/>
          <w:sz w:val="16"/>
          <w:szCs w:val="16"/>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61"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Opening and Closing of Polls</w:t>
      </w:r>
      <w:r>
        <w:rPr>
          <w:rFonts w:ascii="Arial" w:cs="Arial" w:eastAsia="Arial" w:hAnsi="Arial"/>
          <w:sz w:val="18"/>
          <w:szCs w:val="18"/>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87"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 xml:space="preserve">1.10.6 </w:t>
      </w:r>
      <w:r>
        <w:rPr>
          <w:rFonts w:ascii="Arial" w:cs="Arial" w:eastAsia="Arial" w:hAnsi="Arial"/>
          <w:sz w:val="17"/>
          <w:szCs w:val="17"/>
          <w:u w:val="single" w:color="auto"/>
          <w:color w:val="auto"/>
        </w:rPr>
        <w:t>Determinations</w:t>
      </w:r>
      <w:r>
        <w:rPr>
          <w:rFonts w:ascii="Arial" w:cs="Arial" w:eastAsia="Arial" w:hAnsi="Arial"/>
          <w:sz w:val="17"/>
          <w:szCs w:val="17"/>
          <w:color w:val="auto"/>
        </w:rPr>
        <w:t>.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406" w:name="page407"/>
    <w:bookmarkEnd w:id="406"/>
    <w:p>
      <w:pPr>
        <w:ind w:left="4" w:firstLine="440"/>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 </w:t>
      </w:r>
      <w:r>
        <w:rPr>
          <w:rFonts w:ascii="Arial" w:cs="Arial" w:eastAsia="Arial" w:hAnsi="Arial"/>
          <w:sz w:val="16"/>
          <w:szCs w:val="16"/>
          <w:b w:val="1"/>
          <w:bCs w:val="1"/>
          <w:u w:val="single" w:color="auto"/>
          <w:color w:val="auto"/>
        </w:rPr>
        <w:t>Conduct of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adopt by resolution such rules and regulations for the conduct of the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w:t>
      </w:r>
    </w:p>
    <w:p>
      <w:pPr>
        <w:spacing w:after="0" w:line="5" w:lineRule="exact"/>
        <w:rPr>
          <w:sz w:val="20"/>
          <w:szCs w:val="20"/>
          <w:color w:val="auto"/>
        </w:rPr>
      </w:pPr>
    </w:p>
    <w:p>
      <w:pPr>
        <w:ind w:left="4" w:right="40" w:hanging="4"/>
        <w:spacing w:after="0" w:line="251" w:lineRule="auto"/>
        <w:tabs>
          <w:tab w:leader="none" w:pos="309"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restrictions on entry to the meeting after the time fixed for the commencement thereof; (v) limitations on the time allotted to questions or comments by participants; (vi) restricting the use of audio/video recording devices and cell phones; and (vii)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302" w:lineRule="exact"/>
        <w:rPr>
          <w:sz w:val="20"/>
          <w:szCs w:val="20"/>
          <w:color w:val="auto"/>
        </w:rPr>
      </w:pPr>
    </w:p>
    <w:p>
      <w:pPr>
        <w:ind w:left="444"/>
        <w:spacing w:after="0"/>
        <w:tabs>
          <w:tab w:leader="none" w:pos="1524" w:val="left"/>
        </w:tabs>
        <w:rPr>
          <w:sz w:val="20"/>
          <w:szCs w:val="20"/>
          <w:color w:val="auto"/>
        </w:rPr>
      </w:pPr>
      <w:r>
        <w:rPr>
          <w:rFonts w:ascii="Arial" w:cs="Arial" w:eastAsia="Arial" w:hAnsi="Arial"/>
          <w:sz w:val="18"/>
          <w:szCs w:val="18"/>
          <w:b w:val="1"/>
          <w:bCs w:val="1"/>
          <w:color w:val="auto"/>
        </w:rPr>
        <w:t>Section 1.12</w:t>
      </w:r>
      <w:r>
        <w:rPr>
          <w:sz w:val="20"/>
          <w:szCs w:val="20"/>
          <w:color w:val="auto"/>
        </w:rPr>
        <w:tab/>
      </w:r>
      <w:r>
        <w:rPr>
          <w:rFonts w:ascii="Arial" w:cs="Arial" w:eastAsia="Arial" w:hAnsi="Arial"/>
          <w:sz w:val="15"/>
          <w:szCs w:val="15"/>
          <w:b w:val="1"/>
          <w:bCs w:val="1"/>
          <w:u w:val="single" w:color="auto"/>
          <w:color w:val="auto"/>
        </w:rPr>
        <w:t>Notice of Stockholder Business; Nominations</w:t>
      </w:r>
      <w:r>
        <w:rPr>
          <w:rFonts w:ascii="Arial" w:cs="Arial" w:eastAsia="Arial" w:hAnsi="Arial"/>
          <w:sz w:val="15"/>
          <w:szCs w:val="15"/>
          <w:color w:val="auto"/>
        </w:rPr>
        <w:t>.</w:t>
      </w:r>
    </w:p>
    <w:p>
      <w:pPr>
        <w:spacing w:after="0" w:line="121" w:lineRule="exact"/>
        <w:rPr>
          <w:sz w:val="20"/>
          <w:szCs w:val="20"/>
          <w:color w:val="auto"/>
        </w:rPr>
      </w:pPr>
    </w:p>
    <w:p>
      <w:pPr>
        <w:ind w:left="984"/>
        <w:spacing w:after="0"/>
        <w:tabs>
          <w:tab w:leader="none" w:pos="1604"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u w:val="single" w:color="auto"/>
          <w:color w:val="auto"/>
        </w:rPr>
        <w:t>Annual Meeting of Stockholders</w:t>
      </w:r>
      <w:r>
        <w:rPr>
          <w:rFonts w:ascii="Arial" w:cs="Arial" w:eastAsia="Arial" w:hAnsi="Arial"/>
          <w:sz w:val="16"/>
          <w:szCs w:val="16"/>
          <w:color w:val="auto"/>
        </w:rPr>
        <w:t>.</w:t>
      </w:r>
    </w:p>
    <w:p>
      <w:pPr>
        <w:spacing w:after="0" w:line="117" w:lineRule="exact"/>
        <w:rPr>
          <w:sz w:val="20"/>
          <w:szCs w:val="20"/>
          <w:color w:val="auto"/>
        </w:rPr>
      </w:pPr>
    </w:p>
    <w:p>
      <w:pPr>
        <w:ind w:left="4" w:firstLine="1428"/>
        <w:spacing w:after="0" w:line="270" w:lineRule="auto"/>
        <w:tabs>
          <w:tab w:leader="none" w:pos="1816" w:val="left"/>
        </w:tabs>
        <w:numPr>
          <w:ilvl w:val="0"/>
          <w:numId w:val="285"/>
        </w:numPr>
        <w:rPr>
          <w:rFonts w:ascii="Arial" w:cs="Arial" w:eastAsia="Arial" w:hAnsi="Arial"/>
          <w:sz w:val="17"/>
          <w:szCs w:val="17"/>
          <w:color w:val="auto"/>
        </w:rPr>
      </w:pPr>
      <w:r>
        <w:rPr>
          <w:rFonts w:ascii="Arial" w:cs="Arial" w:eastAsia="Arial" w:hAnsi="Arial"/>
          <w:sz w:val="17"/>
          <w:szCs w:val="17"/>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Arial" w:cs="Arial" w:eastAsia="Arial" w:hAnsi="Arial"/>
          <w:sz w:val="17"/>
          <w:szCs w:val="17"/>
          <w:b w:val="1"/>
          <w:bCs w:val="1"/>
          <w:i w:val="1"/>
          <w:iCs w:val="1"/>
          <w:color w:val="auto"/>
        </w:rPr>
        <w:t>Record Stockholder</w:t>
      </w:r>
      <w:r>
        <w:rPr>
          <w:rFonts w:ascii="Arial" w:cs="Arial" w:eastAsia="Arial" w:hAnsi="Arial"/>
          <w:sz w:val="17"/>
          <w:szCs w:val="17"/>
          <w:color w:val="auto"/>
        </w:rPr>
        <w:t>”), who is entitled to vote at such meeting and who complies with the notice and other procedures set forth in this Section 1.12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at an annual meeting of stockholders, and such stockholder must fully comply with the notice and other procedures set forth in this Section 1.12 to make such nominations or propose business before an annual meeting.</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0" w:right="479" w:bottom="1440" w:gutter="0" w:footer="0" w:header="0"/>
        </w:sectPr>
      </w:pPr>
    </w:p>
    <w:bookmarkStart w:id="407" w:name="page408"/>
    <w:bookmarkEnd w:id="407"/>
    <w:p>
      <w:pPr>
        <w:ind w:right="520" w:firstLine="1428"/>
        <w:spacing w:after="0" w:line="277" w:lineRule="auto"/>
        <w:tabs>
          <w:tab w:leader="none" w:pos="1822" w:val="left"/>
        </w:tabs>
        <w:numPr>
          <w:ilvl w:val="0"/>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nominations or other business to be properly brought before an annual meeting by a Record Stockholder pursuant to Section 1.12.1(a) of these Bylaws:</w:t>
      </w:r>
    </w:p>
    <w:p>
      <w:pPr>
        <w:spacing w:after="0" w:line="170" w:lineRule="exact"/>
        <w:rPr>
          <w:rFonts w:ascii="Arial" w:cs="Arial" w:eastAsia="Arial" w:hAnsi="Arial"/>
          <w:sz w:val="18"/>
          <w:szCs w:val="18"/>
          <w:color w:val="auto"/>
        </w:rPr>
      </w:pPr>
    </w:p>
    <w:p>
      <w:pPr>
        <w:ind w:firstLine="1979"/>
        <w:spacing w:after="0" w:line="277" w:lineRule="auto"/>
        <w:tabs>
          <w:tab w:leader="none" w:pos="2333"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Record Stockholder must have given timely notice thereof in writing to the Secretary of the Corporation and provide any updates or supplements to such notice at the times and in the forms required by this Section 1.12;</w:t>
      </w:r>
    </w:p>
    <w:p>
      <w:pPr>
        <w:spacing w:after="0" w:line="170" w:lineRule="exact"/>
        <w:rPr>
          <w:rFonts w:ascii="Arial" w:cs="Arial" w:eastAsia="Arial" w:hAnsi="Arial"/>
          <w:sz w:val="18"/>
          <w:szCs w:val="18"/>
          <w:color w:val="auto"/>
        </w:rPr>
      </w:pPr>
    </w:p>
    <w:p>
      <w:pPr>
        <w:ind w:left="2380" w:hanging="401"/>
        <w:spacing w:after="0"/>
        <w:tabs>
          <w:tab w:leader="none" w:pos="238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such other business (other than the nomination of persons for election to the Board) must otherwise be a proper matter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stockholder action;</w:t>
      </w:r>
    </w:p>
    <w:p>
      <w:pPr>
        <w:spacing w:after="0" w:line="210" w:lineRule="exact"/>
        <w:rPr>
          <w:rFonts w:ascii="Arial" w:cs="Arial" w:eastAsia="Arial" w:hAnsi="Arial"/>
          <w:sz w:val="16"/>
          <w:szCs w:val="16"/>
          <w:color w:val="auto"/>
        </w:rPr>
      </w:pPr>
    </w:p>
    <w:p>
      <w:pPr>
        <w:ind w:firstLine="1979"/>
        <w:spacing w:after="0" w:line="273" w:lineRule="auto"/>
        <w:tabs>
          <w:tab w:leader="none" w:pos="2433" w:val="left"/>
        </w:tabs>
        <w:numPr>
          <w:ilvl w:val="1"/>
          <w:numId w:val="286"/>
        </w:numPr>
        <w:rPr>
          <w:rFonts w:ascii="Arial" w:cs="Arial" w:eastAsia="Arial" w:hAnsi="Arial"/>
          <w:sz w:val="17"/>
          <w:szCs w:val="17"/>
          <w:color w:val="auto"/>
        </w:rPr>
      </w:pPr>
      <w:r>
        <w:rPr>
          <w:rFonts w:ascii="Arial" w:cs="Arial" w:eastAsia="Arial" w:hAnsi="Arial"/>
          <w:sz w:val="17"/>
          <w:szCs w:val="17"/>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77" w:lineRule="exact"/>
        <w:rPr>
          <w:rFonts w:ascii="Arial" w:cs="Arial" w:eastAsia="Arial" w:hAnsi="Arial"/>
          <w:sz w:val="17"/>
          <w:szCs w:val="17"/>
          <w:color w:val="auto"/>
        </w:rPr>
      </w:pPr>
    </w:p>
    <w:p>
      <w:pPr>
        <w:ind w:right="60" w:firstLine="1979"/>
        <w:spacing w:after="0" w:line="287" w:lineRule="auto"/>
        <w:tabs>
          <w:tab w:leader="none" w:pos="2423" w:val="left"/>
        </w:tabs>
        <w:numPr>
          <w:ilvl w:val="1"/>
          <w:numId w:val="286"/>
        </w:numPr>
        <w:rPr>
          <w:rFonts w:ascii="Arial" w:cs="Arial" w:eastAsia="Arial" w:hAnsi="Arial"/>
          <w:sz w:val="16"/>
          <w:szCs w:val="16"/>
          <w:color w:val="auto"/>
        </w:rPr>
      </w:pPr>
      <w:r>
        <w:rPr>
          <w:rFonts w:ascii="Arial" w:cs="Arial" w:eastAsia="Arial" w:hAnsi="Arial"/>
          <w:sz w:val="16"/>
          <w:szCs w:val="16"/>
          <w:color w:val="auto"/>
        </w:rPr>
        <w:t xml:space="preserve">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 To be timely, a Record Stockholder’s notice must be delivered to the Secretary at the principal executive offices of the Corporation not later than 5:00 p.m. New York Time on the ninetieth (90th) day nor earlier than 5:00 p.m. New York Time on the one hundred and twentieth (120th) day prior to the first anniversary of the preceding year’s annual meeting (which date shall, for purposes of the Corporation’s first annual meeting of stockholders after its shares of Common Stock (as defined in the Certificate of Incorporation) are first publicly traded, be deemed to have occurred on June 8, 2021);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in the event that the date of the annual meeting is more than thirty (30) days before or more than seventy (70) days after such anniversary date, notice by the Record Stockholder to be timely must be so delivered (A) no earlier than 5:00 p.m. New York Time on the one hundred and twentieth (120th) day prior to such annual meeting and (B) no later than 5:00 p.m. New York Time on the later of the ninetieth (90th) day prior to such annual meeting or 5:00 p.m. New York Time on the tenth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w:t>
      </w:r>
    </w:p>
    <w:p>
      <w:pPr>
        <w:spacing w:after="0" w:line="167" w:lineRule="exact"/>
        <w:rPr>
          <w:rFonts w:ascii="Arial" w:cs="Arial" w:eastAsia="Arial" w:hAnsi="Arial"/>
          <w:sz w:val="16"/>
          <w:szCs w:val="16"/>
          <w:color w:val="auto"/>
        </w:rPr>
      </w:pPr>
    </w:p>
    <w:p>
      <w:pPr>
        <w:ind w:right="40" w:firstLine="1428"/>
        <w:spacing w:after="0" w:line="277" w:lineRule="auto"/>
        <w:tabs>
          <w:tab w:leader="none" w:pos="180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As to each person whom the Record Stockholder proposes to nominate for election or reelection as a director, in addition to the matters set forth in paragraph (e) below, such Record Stockholder’s notice shall set forth:</w:t>
      </w:r>
    </w:p>
    <w:p>
      <w:pPr>
        <w:spacing w:after="0" w:line="170" w:lineRule="exact"/>
        <w:rPr>
          <w:rFonts w:ascii="Arial" w:cs="Arial" w:eastAsia="Arial" w:hAnsi="Arial"/>
          <w:sz w:val="18"/>
          <w:szCs w:val="18"/>
          <w:color w:val="auto"/>
        </w:rPr>
      </w:pPr>
    </w:p>
    <w:p>
      <w:pPr>
        <w:ind w:left="2320" w:hanging="341"/>
        <w:spacing w:after="0"/>
        <w:tabs>
          <w:tab w:leader="none" w:pos="23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such person;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08" w:name="page409"/>
    <w:bookmarkEnd w:id="408"/>
    <w:p>
      <w:pPr>
        <w:ind w:left="2360" w:hanging="401"/>
        <w:spacing w:after="0"/>
        <w:tabs>
          <w:tab w:leader="none" w:pos="2360" w:val="left"/>
        </w:tabs>
        <w:numPr>
          <w:ilvl w:val="1"/>
          <w:numId w:val="2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principal occupation or employment of such nominee;</w:t>
      </w:r>
    </w:p>
    <w:p>
      <w:pPr>
        <w:spacing w:after="0" w:line="225" w:lineRule="exact"/>
        <w:rPr>
          <w:rFonts w:ascii="Arial" w:cs="Arial" w:eastAsia="Arial" w:hAnsi="Arial"/>
          <w:sz w:val="18"/>
          <w:szCs w:val="18"/>
          <w:color w:val="auto"/>
        </w:rPr>
      </w:pPr>
    </w:p>
    <w:p>
      <w:pPr>
        <w:ind w:left="-20" w:right="160" w:firstLine="1979"/>
        <w:spacing w:after="0" w:line="277" w:lineRule="auto"/>
        <w:tabs>
          <w:tab w:leader="none" w:pos="2413"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class, series and number of any shares of stock of the Corporation that are beneficially owned or owned of record by such person or any Associated Person (as defined in Section 1.12.4(c));</w:t>
      </w:r>
    </w:p>
    <w:p>
      <w:pPr>
        <w:spacing w:after="0" w:line="170" w:lineRule="exact"/>
        <w:rPr>
          <w:rFonts w:ascii="Arial" w:cs="Arial" w:eastAsia="Arial" w:hAnsi="Arial"/>
          <w:sz w:val="18"/>
          <w:szCs w:val="18"/>
          <w:color w:val="auto"/>
        </w:rPr>
      </w:pPr>
    </w:p>
    <w:p>
      <w:pPr>
        <w:ind w:left="2400" w:hanging="441"/>
        <w:spacing w:after="0"/>
        <w:tabs>
          <w:tab w:leader="none" w:pos="24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date or dates such shares were acquired and the investment intent of such acquisition;</w:t>
      </w:r>
    </w:p>
    <w:p>
      <w:pPr>
        <w:spacing w:after="0" w:line="225" w:lineRule="exact"/>
        <w:rPr>
          <w:rFonts w:ascii="Arial" w:cs="Arial" w:eastAsia="Arial" w:hAnsi="Arial"/>
          <w:sz w:val="18"/>
          <w:szCs w:val="18"/>
          <w:color w:val="auto"/>
        </w:rPr>
      </w:pPr>
    </w:p>
    <w:p>
      <w:pPr>
        <w:ind w:left="-20" w:right="200" w:firstLine="1979"/>
        <w:spacing w:after="0" w:line="286" w:lineRule="auto"/>
        <w:tabs>
          <w:tab w:leader="none" w:pos="2353" w:val="left"/>
        </w:tabs>
        <w:numPr>
          <w:ilvl w:val="1"/>
          <w:numId w:val="287"/>
        </w:numPr>
        <w:rPr>
          <w:rFonts w:ascii="Arial" w:cs="Arial" w:eastAsia="Arial" w:hAnsi="Arial"/>
          <w:sz w:val="17"/>
          <w:szCs w:val="17"/>
          <w:color w:val="auto"/>
        </w:rPr>
      </w:pPr>
      <w:r>
        <w:rPr>
          <w:rFonts w:ascii="Arial" w:cs="Arial" w:eastAsia="Arial" w:hAnsi="Arial"/>
          <w:sz w:val="17"/>
          <w:szCs w:val="17"/>
          <w:color w:val="auto"/>
        </w:rPr>
        <w:t>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w:t>
      </w:r>
    </w:p>
    <w:p>
      <w:pPr>
        <w:spacing w:after="0" w:line="165" w:lineRule="exact"/>
        <w:rPr>
          <w:rFonts w:ascii="Arial" w:cs="Arial" w:eastAsia="Arial" w:hAnsi="Arial"/>
          <w:sz w:val="17"/>
          <w:szCs w:val="17"/>
          <w:color w:val="auto"/>
        </w:rPr>
      </w:pPr>
    </w:p>
    <w:p>
      <w:pPr>
        <w:ind w:left="-20" w:right="120" w:firstLine="1979"/>
        <w:spacing w:after="0" w:line="263" w:lineRule="auto"/>
        <w:tabs>
          <w:tab w:leader="none" w:pos="2403" w:val="left"/>
        </w:tabs>
        <w:numPr>
          <w:ilvl w:val="1"/>
          <w:numId w:val="287"/>
        </w:numPr>
        <w:rPr>
          <w:rFonts w:ascii="Arial" w:cs="Arial" w:eastAsia="Arial" w:hAnsi="Arial"/>
          <w:sz w:val="18"/>
          <w:szCs w:val="18"/>
          <w:color w:val="auto"/>
        </w:rPr>
      </w:pPr>
      <w:r>
        <w:rPr>
          <w:rFonts w:ascii="Arial" w:cs="Arial" w:eastAsia="Arial" w:hAnsi="Arial"/>
          <w:sz w:val="18"/>
          <w:szCs w:val="18"/>
          <w:color w:val="auto"/>
        </w:rPr>
        <w:t>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w:t>
      </w:r>
    </w:p>
    <w:p>
      <w:pPr>
        <w:spacing w:after="0" w:line="183" w:lineRule="exact"/>
        <w:rPr>
          <w:rFonts w:ascii="Arial" w:cs="Arial" w:eastAsia="Arial" w:hAnsi="Arial"/>
          <w:sz w:val="18"/>
          <w:szCs w:val="18"/>
          <w:color w:val="auto"/>
        </w:rPr>
      </w:pPr>
    </w:p>
    <w:p>
      <w:pPr>
        <w:ind w:left="-20" w:right="500" w:firstLine="1979"/>
        <w:spacing w:after="0" w:line="277" w:lineRule="auto"/>
        <w:tabs>
          <w:tab w:leader="none" w:pos="2453" w:val="left"/>
        </w:tabs>
        <w:numPr>
          <w:ilvl w:val="1"/>
          <w:numId w:val="287"/>
        </w:numPr>
        <w:rPr>
          <w:rFonts w:ascii="Arial" w:cs="Arial" w:eastAsia="Arial" w:hAnsi="Arial"/>
          <w:sz w:val="18"/>
          <w:szCs w:val="18"/>
          <w:color w:val="auto"/>
        </w:rPr>
      </w:pPr>
      <w:r>
        <w:rPr>
          <w:rFonts w:ascii="Arial" w:cs="Arial" w:eastAsia="Arial" w:hAnsi="Arial"/>
          <w:sz w:val="18"/>
          <w:szCs w:val="18"/>
          <w:color w:val="auto"/>
        </w:rPr>
        <w:t>whether such person meets the independence requirements of the stock exchange upon which the Corporation’s Class A Common Stock (or Common Stock) is primarily traded;</w:t>
      </w:r>
    </w:p>
    <w:p>
      <w:pPr>
        <w:spacing w:after="0" w:line="170" w:lineRule="exact"/>
        <w:rPr>
          <w:rFonts w:ascii="Arial" w:cs="Arial" w:eastAsia="Arial" w:hAnsi="Arial"/>
          <w:sz w:val="18"/>
          <w:szCs w:val="18"/>
          <w:color w:val="auto"/>
        </w:rPr>
      </w:pPr>
    </w:p>
    <w:p>
      <w:pPr>
        <w:ind w:left="-20" w:firstLine="1979"/>
        <w:spacing w:after="0" w:line="255" w:lineRule="auto"/>
        <w:tabs>
          <w:tab w:leader="none" w:pos="2503"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spacing w:after="0" w:line="192" w:lineRule="exact"/>
        <w:rPr>
          <w:rFonts w:ascii="Arial" w:cs="Arial" w:eastAsia="Arial" w:hAnsi="Arial"/>
          <w:sz w:val="18"/>
          <w:szCs w:val="18"/>
          <w:color w:val="auto"/>
        </w:rPr>
      </w:pPr>
    </w:p>
    <w:p>
      <w:pPr>
        <w:ind w:left="2400" w:hanging="441"/>
        <w:spacing w:after="0"/>
        <w:tabs>
          <w:tab w:leader="none" w:pos="2400" w:val="left"/>
        </w:tabs>
        <w:numPr>
          <w:ilvl w:val="1"/>
          <w:numId w:val="287"/>
        </w:numPr>
        <w:rPr>
          <w:rFonts w:ascii="Arial" w:cs="Arial" w:eastAsia="Arial" w:hAnsi="Arial"/>
          <w:sz w:val="17"/>
          <w:szCs w:val="17"/>
          <w:color w:val="auto"/>
        </w:rPr>
      </w:pPr>
      <w:r>
        <w:rPr>
          <w:rFonts w:ascii="Arial" w:cs="Arial" w:eastAsia="Arial" w:hAnsi="Arial"/>
          <w:sz w:val="17"/>
          <w:szCs w:val="17"/>
          <w:color w:val="auto"/>
        </w:rPr>
        <w:t>a completed and signed questionnaire, representation and agreement required by Section 1.12.2 of these Bylaws.</w:t>
      </w:r>
    </w:p>
    <w:p>
      <w:pPr>
        <w:spacing w:after="0" w:line="236" w:lineRule="exact"/>
        <w:rPr>
          <w:rFonts w:ascii="Arial" w:cs="Arial" w:eastAsia="Arial" w:hAnsi="Arial"/>
          <w:sz w:val="17"/>
          <w:szCs w:val="17"/>
          <w:color w:val="auto"/>
        </w:rPr>
      </w:pPr>
    </w:p>
    <w:p>
      <w:pPr>
        <w:ind w:left="-20" w:right="40" w:firstLine="1428"/>
        <w:spacing w:after="0" w:line="277" w:lineRule="auto"/>
        <w:tabs>
          <w:tab w:leader="none" w:pos="179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170" w:lineRule="exact"/>
        <w:rPr>
          <w:rFonts w:ascii="Arial" w:cs="Arial" w:eastAsia="Arial" w:hAnsi="Arial"/>
          <w:sz w:val="18"/>
          <w:szCs w:val="18"/>
          <w:color w:val="auto"/>
        </w:rPr>
      </w:pPr>
    </w:p>
    <w:p>
      <w:pPr>
        <w:ind w:left="-20" w:right="20" w:firstLine="1979"/>
        <w:spacing w:after="0" w:line="259" w:lineRule="auto"/>
        <w:tabs>
          <w:tab w:leader="none" w:pos="2313" w:val="left"/>
        </w:tabs>
        <w:numPr>
          <w:ilvl w:val="1"/>
          <w:numId w:val="288"/>
        </w:numPr>
        <w:rPr>
          <w:rFonts w:ascii="Arial" w:cs="Arial" w:eastAsia="Arial" w:hAnsi="Arial"/>
          <w:sz w:val="18"/>
          <w:szCs w:val="18"/>
          <w:color w:val="auto"/>
        </w:rPr>
      </w:pPr>
      <w:r>
        <w:rPr>
          <w:rFonts w:ascii="Arial" w:cs="Arial" w:eastAsia="Arial" w:hAnsi="Arial"/>
          <w:sz w:val="18"/>
          <w:szCs w:val="18"/>
          <w:color w:val="auto"/>
        </w:rPr>
        <w:t>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4" w:right="459" w:bottom="1440" w:gutter="0" w:footer="0" w:header="0"/>
        </w:sectPr>
      </w:pPr>
    </w:p>
    <w:bookmarkStart w:id="409" w:name="page410"/>
    <w:bookmarkEnd w:id="409"/>
    <w:p>
      <w:pPr>
        <w:jc w:val="both"/>
        <w:ind w:right="60" w:firstLine="1979"/>
        <w:spacing w:after="0" w:line="263" w:lineRule="auto"/>
        <w:tabs>
          <w:tab w:leader="none" w:pos="2383" w:val="left"/>
        </w:tabs>
        <w:numPr>
          <w:ilvl w:val="1"/>
          <w:numId w:val="2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83" w:lineRule="exact"/>
        <w:rPr>
          <w:rFonts w:ascii="Arial" w:cs="Arial" w:eastAsia="Arial" w:hAnsi="Arial"/>
          <w:sz w:val="18"/>
          <w:szCs w:val="18"/>
          <w:color w:val="auto"/>
        </w:rPr>
      </w:pPr>
    </w:p>
    <w:p>
      <w:pPr>
        <w:ind w:left="1800" w:hanging="372"/>
        <w:spacing w:after="0"/>
        <w:tabs>
          <w:tab w:leader="none" w:pos="18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As to each Proposing Person giving the notice, such Record Stockholder’s notice shall set forth:</w:t>
      </w:r>
    </w:p>
    <w:p>
      <w:pPr>
        <w:spacing w:after="0" w:line="225" w:lineRule="exact"/>
        <w:rPr>
          <w:rFonts w:ascii="Arial" w:cs="Arial" w:eastAsia="Arial" w:hAnsi="Arial"/>
          <w:sz w:val="18"/>
          <w:szCs w:val="18"/>
          <w:color w:val="auto"/>
        </w:rPr>
      </w:pPr>
    </w:p>
    <w:p>
      <w:pPr>
        <w:ind w:right="120" w:firstLine="1979"/>
        <w:spacing w:after="0" w:line="277" w:lineRule="auto"/>
        <w:tabs>
          <w:tab w:leader="none" w:pos="2333"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current name and address of such Proposing Person, including, if applicable, their name and address as they appear on the Corporation’s stock ledger, if different;</w:t>
      </w:r>
    </w:p>
    <w:p>
      <w:pPr>
        <w:spacing w:after="0" w:line="170" w:lineRule="exact"/>
        <w:rPr>
          <w:sz w:val="20"/>
          <w:szCs w:val="20"/>
          <w:color w:val="auto"/>
        </w:rPr>
      </w:pPr>
    </w:p>
    <w:p>
      <w:pPr>
        <w:jc w:val="both"/>
        <w:ind w:right="260" w:firstLine="1979"/>
        <w:spacing w:after="0" w:line="263" w:lineRule="auto"/>
        <w:tabs>
          <w:tab w:leader="none" w:pos="2383"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183" w:lineRule="exact"/>
        <w:rPr>
          <w:rFonts w:ascii="Arial" w:cs="Arial" w:eastAsia="Arial" w:hAnsi="Arial"/>
          <w:sz w:val="18"/>
          <w:szCs w:val="18"/>
          <w:color w:val="auto"/>
        </w:rPr>
      </w:pPr>
    </w:p>
    <w:p>
      <w:pPr>
        <w:ind w:right="20" w:firstLine="1979"/>
        <w:spacing w:after="0" w:line="286" w:lineRule="auto"/>
        <w:tabs>
          <w:tab w:leader="none" w:pos="2433" w:val="left"/>
        </w:tabs>
        <w:numPr>
          <w:ilvl w:val="0"/>
          <w:numId w:val="291"/>
        </w:numPr>
        <w:rPr>
          <w:rFonts w:ascii="Arial" w:cs="Arial" w:eastAsia="Arial" w:hAnsi="Arial"/>
          <w:sz w:val="16"/>
          <w:szCs w:val="16"/>
          <w:color w:val="auto"/>
        </w:rPr>
      </w:pPr>
      <w:r>
        <w:rPr>
          <w:rFonts w:ascii="Arial" w:cs="Arial" w:eastAsia="Arial" w:hAnsi="Arial"/>
          <w:sz w:val="16"/>
          <w:szCs w:val="16"/>
          <w:color w:val="auto"/>
        </w:rPr>
        <w:t>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Arial" w:cs="Arial" w:eastAsia="Arial" w:hAnsi="Arial"/>
          <w:sz w:val="16"/>
          <w:szCs w:val="16"/>
          <w:b w:val="1"/>
          <w:bCs w:val="1"/>
          <w:i w:val="1"/>
          <w:iCs w:val="1"/>
          <w:color w:val="auto"/>
        </w:rPr>
        <w:t>Derivative Instrument</w:t>
      </w:r>
      <w:r>
        <w:rPr>
          <w:rFonts w:ascii="Arial" w:cs="Arial" w:eastAsia="Arial" w:hAnsi="Arial"/>
          <w:sz w:val="16"/>
          <w:szCs w:val="16"/>
          <w:color w:val="auto"/>
        </w:rPr>
        <w: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Arial" w:cs="Arial" w:eastAsia="Arial" w:hAnsi="Arial"/>
          <w:sz w:val="16"/>
          <w:szCs w:val="16"/>
          <w:b w:val="1"/>
          <w:bCs w:val="1"/>
          <w:i w:val="1"/>
          <w:iCs w:val="1"/>
          <w:color w:val="auto"/>
        </w:rPr>
        <w:t>Short Interest</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ind w:firstLine="1979"/>
        <w:spacing w:after="0" w:line="263" w:lineRule="auto"/>
        <w:tabs>
          <w:tab w:leader="none" w:pos="2423"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10" w:name="page411"/>
    <w:bookmarkEnd w:id="410"/>
    <w:p>
      <w:pPr>
        <w:ind w:right="200" w:firstLine="1979"/>
        <w:spacing w:after="0" w:line="263" w:lineRule="auto"/>
        <w:tabs>
          <w:tab w:leader="none" w:pos="2373" w:val="left"/>
        </w:tabs>
        <w:numPr>
          <w:ilvl w:val="0"/>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direct or indirect material interest in any material contract or agreement with the Corporation, any affiliate of the Corporation or any Competitor (as defined below) (including, in any such case, any employment agreement, collective bargaining agreement or consulting agreement);</w:t>
      </w:r>
    </w:p>
    <w:p>
      <w:pPr>
        <w:spacing w:after="0" w:line="183" w:lineRule="exact"/>
        <w:rPr>
          <w:rFonts w:ascii="Arial" w:cs="Arial" w:eastAsia="Arial" w:hAnsi="Arial"/>
          <w:sz w:val="18"/>
          <w:szCs w:val="18"/>
          <w:color w:val="auto"/>
        </w:rPr>
      </w:pPr>
    </w:p>
    <w:p>
      <w:pPr>
        <w:ind w:right="560" w:firstLine="1979"/>
        <w:spacing w:after="0" w:line="277" w:lineRule="auto"/>
        <w:tabs>
          <w:tab w:leader="none" w:pos="242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 significant equity interests or any Derivative Instruments or Short Interests in any Competitor held by such Proposing Person and/or any of its respective affiliates or associates;</w:t>
      </w:r>
    </w:p>
    <w:p>
      <w:pPr>
        <w:spacing w:after="0" w:line="170" w:lineRule="exact"/>
        <w:rPr>
          <w:rFonts w:ascii="Arial" w:cs="Arial" w:eastAsia="Arial" w:hAnsi="Arial"/>
          <w:sz w:val="18"/>
          <w:szCs w:val="18"/>
          <w:color w:val="auto"/>
        </w:rPr>
      </w:pPr>
    </w:p>
    <w:p>
      <w:pPr>
        <w:ind w:right="80" w:firstLine="1979"/>
        <w:spacing w:after="0" w:line="277" w:lineRule="auto"/>
        <w:tabs>
          <w:tab w:leader="none" w:pos="247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 other material relationship between such Proposing Person, on the one hand, and the Corporation, any affiliate of the Corporation or any Competitor, on the other hand;</w:t>
      </w:r>
    </w:p>
    <w:p>
      <w:pPr>
        <w:spacing w:after="0" w:line="170" w:lineRule="exact"/>
        <w:rPr>
          <w:rFonts w:ascii="Arial" w:cs="Arial" w:eastAsia="Arial" w:hAnsi="Arial"/>
          <w:sz w:val="18"/>
          <w:szCs w:val="18"/>
          <w:color w:val="auto"/>
        </w:rPr>
      </w:pPr>
    </w:p>
    <w:p>
      <w:pPr>
        <w:ind w:right="200" w:firstLine="1979"/>
        <w:spacing w:after="0" w:line="263" w:lineRule="auto"/>
        <w:tabs>
          <w:tab w:leader="none" w:pos="252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183" w:lineRule="exact"/>
        <w:rPr>
          <w:rFonts w:ascii="Arial" w:cs="Arial" w:eastAsia="Arial" w:hAnsi="Arial"/>
          <w:sz w:val="18"/>
          <w:szCs w:val="18"/>
          <w:color w:val="auto"/>
        </w:rPr>
      </w:pPr>
    </w:p>
    <w:p>
      <w:pPr>
        <w:jc w:val="both"/>
        <w:ind w:right="40" w:firstLine="1979"/>
        <w:spacing w:after="0" w:line="311" w:lineRule="auto"/>
        <w:tabs>
          <w:tab w:leader="none" w:pos="2423"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w:t>
      </w:r>
    </w:p>
    <w:p>
      <w:pPr>
        <w:spacing w:after="0" w:line="148" w:lineRule="exact"/>
        <w:rPr>
          <w:rFonts w:ascii="Arial" w:cs="Arial" w:eastAsia="Arial" w:hAnsi="Arial"/>
          <w:sz w:val="16"/>
          <w:szCs w:val="16"/>
          <w:color w:val="auto"/>
        </w:rPr>
      </w:pPr>
    </w:p>
    <w:p>
      <w:pPr>
        <w:ind w:left="2360" w:hanging="381"/>
        <w:spacing w:after="0"/>
        <w:tabs>
          <w:tab w:leader="none" w:pos="236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such Proposing Person’s written consent to the public disclosure of information provided to the Corporation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Section 1.12;</w:t>
      </w:r>
    </w:p>
    <w:p>
      <w:pPr>
        <w:spacing w:after="0" w:line="210" w:lineRule="exact"/>
        <w:rPr>
          <w:rFonts w:ascii="Arial" w:cs="Arial" w:eastAsia="Arial" w:hAnsi="Arial"/>
          <w:sz w:val="16"/>
          <w:szCs w:val="16"/>
          <w:color w:val="auto"/>
        </w:rPr>
      </w:pPr>
    </w:p>
    <w:p>
      <w:pPr>
        <w:jc w:val="both"/>
        <w:ind w:right="40" w:firstLine="1979"/>
        <w:spacing w:after="0" w:line="311" w:lineRule="auto"/>
        <w:tabs>
          <w:tab w:leader="none" w:pos="2423"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148" w:lineRule="exact"/>
        <w:rPr>
          <w:rFonts w:ascii="Arial" w:cs="Arial" w:eastAsia="Arial" w:hAnsi="Arial"/>
          <w:sz w:val="16"/>
          <w:szCs w:val="16"/>
          <w:color w:val="auto"/>
        </w:rPr>
      </w:pPr>
    </w:p>
    <w:p>
      <w:pPr>
        <w:ind w:right="140" w:firstLine="1979"/>
        <w:spacing w:after="0" w:line="277" w:lineRule="auto"/>
        <w:tabs>
          <w:tab w:leader="none" w:pos="247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170" w:lineRule="exact"/>
        <w:rPr>
          <w:rFonts w:ascii="Arial" w:cs="Arial" w:eastAsia="Arial" w:hAnsi="Arial"/>
          <w:sz w:val="18"/>
          <w:szCs w:val="18"/>
          <w:color w:val="auto"/>
        </w:rPr>
      </w:pPr>
    </w:p>
    <w:p>
      <w:pPr>
        <w:ind w:right="160" w:firstLine="1979"/>
        <w:spacing w:after="0" w:line="279" w:lineRule="auto"/>
        <w:tabs>
          <w:tab w:leader="none" w:pos="2523" w:val="left"/>
        </w:tabs>
        <w:numPr>
          <w:ilvl w:val="0"/>
          <w:numId w:val="292"/>
        </w:numPr>
        <w:rPr>
          <w:rFonts w:ascii="Arial" w:cs="Arial" w:eastAsia="Arial" w:hAnsi="Arial"/>
          <w:sz w:val="17"/>
          <w:szCs w:val="17"/>
          <w:color w:val="auto"/>
        </w:rPr>
      </w:pPr>
      <w:r>
        <w:rPr>
          <w:rFonts w:ascii="Arial" w:cs="Arial" w:eastAsia="Arial" w:hAnsi="Arial"/>
          <w:sz w:val="17"/>
          <w:szCs w:val="17"/>
          <w:color w:val="auto"/>
        </w:rPr>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Arial" w:cs="Arial" w:eastAsia="Arial" w:hAnsi="Arial"/>
          <w:sz w:val="17"/>
          <w:szCs w:val="17"/>
          <w:b w:val="1"/>
          <w:bCs w:val="1"/>
          <w:i w:val="1"/>
          <w:iCs w:val="1"/>
          <w:color w:val="auto"/>
        </w:rPr>
        <w:t>Solicitation Notice</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ind w:right="80" w:firstLine="1979"/>
        <w:spacing w:after="0" w:line="277" w:lineRule="auto"/>
        <w:tabs>
          <w:tab w:leader="none" w:pos="251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 proxy, contract, arrangement, or relationship pursuant to which the Proposing Person has a right to vote, directly or indirectly, any shares of any security of the Corporation.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411" w:name="page412"/>
    <w:bookmarkEnd w:id="411"/>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65" w:lineRule="exact"/>
        <w:rPr>
          <w:sz w:val="20"/>
          <w:szCs w:val="20"/>
          <w:color w:val="auto"/>
        </w:rPr>
      </w:pPr>
    </w:p>
    <w:p>
      <w:pPr>
        <w:ind w:firstLine="1428"/>
        <w:spacing w:after="0" w:line="268" w:lineRule="auto"/>
        <w:tabs>
          <w:tab w:leader="none" w:pos="1782" w:val="left"/>
        </w:tabs>
        <w:numPr>
          <w:ilvl w:val="0"/>
          <w:numId w:val="293"/>
        </w:numPr>
        <w:rPr>
          <w:rFonts w:ascii="Arial" w:cs="Arial" w:eastAsia="Arial" w:hAnsi="Arial"/>
          <w:sz w:val="17"/>
          <w:szCs w:val="17"/>
          <w:color w:val="auto"/>
        </w:rPr>
      </w:pPr>
      <w:r>
        <w:rPr>
          <w:rFonts w:ascii="Arial" w:cs="Arial" w:eastAsia="Arial" w:hAnsi="Arial"/>
          <w:sz w:val="17"/>
          <w:szCs w:val="17"/>
          <w:color w:val="auto"/>
        </w:rPr>
        <w:t>A stockholder providing written notice required by this Section 1.12 shall update such notice in writing, if necessary, so that the information provided or required to be provided in such notice is true and correct in all material respects as of (i) the record date for determining the stockholders entitled to notice of the meeting and (ii) 5:00 p.m. New York Time on the tenth (10th) business day prior to the meeting or any adjournment or postponement thereof. In 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86" w:lineRule="exact"/>
        <w:rPr>
          <w:rFonts w:ascii="Arial" w:cs="Arial" w:eastAsia="Arial" w:hAnsi="Arial"/>
          <w:sz w:val="17"/>
          <w:szCs w:val="17"/>
          <w:color w:val="auto"/>
        </w:rPr>
      </w:pPr>
    </w:p>
    <w:p>
      <w:pPr>
        <w:ind w:right="120" w:firstLine="1428"/>
        <w:spacing w:after="0" w:line="279" w:lineRule="auto"/>
        <w:tabs>
          <w:tab w:leader="none" w:pos="1822" w:val="left"/>
        </w:tabs>
        <w:numPr>
          <w:ilvl w:val="0"/>
          <w:numId w:val="293"/>
        </w:numPr>
        <w:rPr>
          <w:rFonts w:ascii="Arial" w:cs="Arial" w:eastAsia="Arial" w:hAnsi="Arial"/>
          <w:sz w:val="17"/>
          <w:szCs w:val="17"/>
          <w:color w:val="auto"/>
        </w:rPr>
      </w:pPr>
      <w:r>
        <w:rPr>
          <w:rFonts w:ascii="Arial" w:cs="Arial" w:eastAsia="Arial" w:hAnsi="Arial"/>
          <w:sz w:val="17"/>
          <w:szCs w:val="17"/>
          <w:color w:val="auto"/>
        </w:rPr>
        <w:t>Notwithstanding anything in Section 1.12 or any other provision of the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or be qualified to serve as a member of the Board, absent a prior waiver for such nomination or qualification approved by two-thirds of the Whole Board.</w:t>
      </w:r>
    </w:p>
    <w:p>
      <w:pPr>
        <w:spacing w:after="0" w:line="171"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1.12.2 </w:t>
      </w:r>
      <w:r>
        <w:rPr>
          <w:rFonts w:ascii="Arial" w:cs="Arial" w:eastAsia="Arial" w:hAnsi="Arial"/>
          <w:sz w:val="16"/>
          <w:szCs w:val="16"/>
          <w:u w:val="single" w:color="auto"/>
          <w:color w:val="auto"/>
        </w:rPr>
        <w:t>Submission of Questionnaire, Representation and Agreement</w:t>
      </w:r>
      <w:r>
        <w:rPr>
          <w:rFonts w:ascii="Arial" w:cs="Arial" w:eastAsia="Arial" w:hAnsi="Arial"/>
          <w:sz w:val="16"/>
          <w:szCs w:val="16"/>
          <w:color w:val="auto"/>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b w:val="1"/>
          <w:bCs w:val="1"/>
          <w:i w:val="1"/>
          <w:iCs w:val="1"/>
          <w:color w:val="auto"/>
        </w:rPr>
        <w:t>Voting Commitment</w:t>
      </w:r>
      <w:r>
        <w:rPr>
          <w:rFonts w:ascii="Arial" w:cs="Arial" w:eastAsia="Arial" w:hAnsi="Arial"/>
          <w:sz w:val="16"/>
          <w:szCs w:val="16"/>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12" w:name="page413"/>
    <w:bookmarkEnd w:id="412"/>
    <w:p>
      <w:pPr>
        <w:ind w:left="4"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w:t>
      </w:r>
    </w:p>
    <w:p>
      <w:pPr>
        <w:spacing w:after="0" w:line="1" w:lineRule="exact"/>
        <w:rPr>
          <w:sz w:val="20"/>
          <w:szCs w:val="20"/>
          <w:color w:val="auto"/>
        </w:rPr>
      </w:pPr>
    </w:p>
    <w:p>
      <w:pPr>
        <w:ind w:left="4" w:right="20" w:hanging="4"/>
        <w:spacing w:after="0" w:line="292" w:lineRule="auto"/>
        <w:tabs>
          <w:tab w:leader="none" w:pos="259"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spacing w:after="0" w:line="162"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 xml:space="preserve">1.12.3 </w:t>
      </w: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one hundred and twentieth (120th) day prior to such special meeting and (ii) no later than 5:00 p.m. New York Time on the later of the ninetieth (90th)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282" w:lineRule="exact"/>
        <w:rPr>
          <w:sz w:val="20"/>
          <w:szCs w:val="20"/>
          <w:color w:val="auto"/>
        </w:rPr>
      </w:pPr>
    </w:p>
    <w:p>
      <w:pPr>
        <w:ind w:left="984"/>
        <w:spacing w:after="0"/>
        <w:tabs>
          <w:tab w:leader="none" w:pos="1604"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117" w:lineRule="exact"/>
        <w:rPr>
          <w:sz w:val="20"/>
          <w:szCs w:val="20"/>
          <w:color w:val="auto"/>
        </w:rPr>
      </w:pPr>
    </w:p>
    <w:p>
      <w:pPr>
        <w:ind w:left="4" w:right="60" w:firstLine="1428"/>
        <w:spacing w:after="0" w:line="293" w:lineRule="auto"/>
        <w:tabs>
          <w:tab w:leader="none" w:pos="1816" w:val="left"/>
        </w:tabs>
        <w:numPr>
          <w:ilvl w:val="0"/>
          <w:numId w:val="295"/>
        </w:numPr>
        <w:rPr>
          <w:rFonts w:ascii="Arial" w:cs="Arial" w:eastAsia="Arial" w:hAnsi="Arial"/>
          <w:sz w:val="16"/>
          <w:szCs w:val="16"/>
          <w:color w:val="auto"/>
        </w:rPr>
      </w:pPr>
      <w:r>
        <w:rPr>
          <w:rFonts w:ascii="Arial" w:cs="Arial" w:eastAsia="Arial" w:hAnsi="Arial"/>
          <w:sz w:val="16"/>
          <w:szCs w:val="16"/>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413" w:name="page414"/>
    <w:bookmarkEnd w:id="413"/>
    <w:p>
      <w:pPr>
        <w:ind w:left="4"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188" w:lineRule="exact"/>
        <w:rPr>
          <w:sz w:val="20"/>
          <w:szCs w:val="20"/>
          <w:color w:val="auto"/>
        </w:rPr>
      </w:pPr>
    </w:p>
    <w:p>
      <w:pPr>
        <w:jc w:val="both"/>
        <w:ind w:left="4" w:firstLine="1428"/>
        <w:spacing w:after="0" w:line="301" w:lineRule="auto"/>
        <w:tabs>
          <w:tab w:leader="none" w:pos="1826" w:val="left"/>
        </w:tabs>
        <w:numPr>
          <w:ilvl w:val="0"/>
          <w:numId w:val="296"/>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 (a) stockholders to request inclusion of proposals in the Corporation’s proxy statement pursuant to Rule 14a-8 under the Exchange Act or (b) the holders of any series of Preferred Stock to elect directors pursuant to any applicable provisions of the Certificate of Incorporation.</w:t>
      </w:r>
    </w:p>
    <w:p>
      <w:pPr>
        <w:spacing w:after="0" w:line="157" w:lineRule="exact"/>
        <w:rPr>
          <w:sz w:val="20"/>
          <w:szCs w:val="20"/>
          <w:color w:val="auto"/>
        </w:rPr>
      </w:pPr>
    </w:p>
    <w:p>
      <w:pPr>
        <w:ind w:left="984"/>
        <w:spacing w:after="0"/>
        <w:tabs>
          <w:tab w:leader="none" w:pos="1604" w:val="left"/>
        </w:tabs>
        <w:rPr>
          <w:sz w:val="20"/>
          <w:szCs w:val="20"/>
          <w:color w:val="auto"/>
        </w:rPr>
      </w:pPr>
      <w:r>
        <w:rPr>
          <w:rFonts w:ascii="Arial" w:cs="Arial" w:eastAsia="Arial" w:hAnsi="Arial"/>
          <w:sz w:val="18"/>
          <w:szCs w:val="18"/>
          <w:color w:val="auto"/>
        </w:rPr>
        <w:t>1.12.5</w:t>
      </w:r>
      <w:r>
        <w:rPr>
          <w:sz w:val="20"/>
          <w:szCs w:val="20"/>
          <w:color w:val="auto"/>
        </w:rPr>
        <w:tab/>
      </w:r>
      <w:r>
        <w:rPr>
          <w:rFonts w:ascii="Arial" w:cs="Arial" w:eastAsia="Arial" w:hAnsi="Arial"/>
          <w:sz w:val="16"/>
          <w:szCs w:val="16"/>
          <w:color w:val="auto"/>
        </w:rPr>
        <w:t>For purposes of these Bylaws the following definitions shall apply:</w:t>
      </w:r>
    </w:p>
    <w:p>
      <w:pPr>
        <w:spacing w:after="0" w:line="225" w:lineRule="exact"/>
        <w:rPr>
          <w:sz w:val="20"/>
          <w:szCs w:val="20"/>
          <w:color w:val="auto"/>
        </w:rPr>
      </w:pPr>
    </w:p>
    <w:p>
      <w:pPr>
        <w:ind w:left="4" w:right="20" w:hanging="4"/>
        <w:spacing w:after="0" w:line="269" w:lineRule="auto"/>
        <w:tabs>
          <w:tab w:leader="none" w:pos="299"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 person shall be deemed to be “</w:t>
      </w:r>
      <w:r>
        <w:rPr>
          <w:rFonts w:ascii="Arial" w:cs="Arial" w:eastAsia="Arial" w:hAnsi="Arial"/>
          <w:sz w:val="17"/>
          <w:szCs w:val="17"/>
          <w:b w:val="1"/>
          <w:bCs w:val="1"/>
          <w:i w:val="1"/>
          <w:iCs w:val="1"/>
          <w:color w:val="auto"/>
        </w:rPr>
        <w:t>Acting in Concert</w:t>
      </w:r>
      <w:r>
        <w:rPr>
          <w:rFonts w:ascii="Arial" w:cs="Arial" w:eastAsia="Arial" w:hAnsi="Arial"/>
          <w:sz w:val="17"/>
          <w:szCs w:val="17"/>
          <w:color w:val="auto"/>
        </w:rPr>
        <w:t>”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185" w:lineRule="exact"/>
        <w:rPr>
          <w:rFonts w:ascii="Arial" w:cs="Arial" w:eastAsia="Arial" w:hAnsi="Arial"/>
          <w:sz w:val="17"/>
          <w:szCs w:val="17"/>
          <w:color w:val="auto"/>
        </w:rPr>
      </w:pPr>
    </w:p>
    <w:p>
      <w:pPr>
        <w:ind w:left="284" w:hanging="284"/>
        <w:spacing w:after="0"/>
        <w:tabs>
          <w:tab w:leader="none" w:pos="284" w:val="left"/>
        </w:tabs>
        <w:numPr>
          <w:ilvl w:val="0"/>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and “</w:t>
      </w:r>
      <w:r>
        <w:rPr>
          <w:rFonts w:ascii="Arial" w:cs="Arial" w:eastAsia="Arial" w:hAnsi="Arial"/>
          <w:sz w:val="16"/>
          <w:szCs w:val="16"/>
          <w:b w:val="1"/>
          <w:bCs w:val="1"/>
          <w:i w:val="1"/>
          <w:iCs w:val="1"/>
          <w:color w:val="auto"/>
        </w:rPr>
        <w:t>associate</w:t>
      </w:r>
      <w:r>
        <w:rPr>
          <w:rFonts w:ascii="Arial" w:cs="Arial" w:eastAsia="Arial" w:hAnsi="Arial"/>
          <w:sz w:val="16"/>
          <w:szCs w:val="16"/>
          <w:color w:val="auto"/>
        </w:rPr>
        <w:t>” shall have the meanings ascribed thereto in Rule 405 under the Securities Act of 1933, as amended (the “</w:t>
      </w:r>
      <w:r>
        <w:rPr>
          <w:rFonts w:ascii="Arial" w:cs="Arial" w:eastAsia="Arial" w:hAnsi="Arial"/>
          <w:sz w:val="16"/>
          <w:szCs w:val="16"/>
          <w:b w:val="1"/>
          <w:bCs w:val="1"/>
          <w:i w:val="1"/>
          <w:iCs w:val="1"/>
          <w:color w:val="auto"/>
        </w:rPr>
        <w:t>Securities</w:t>
      </w:r>
    </w:p>
    <w:p>
      <w:pPr>
        <w:spacing w:after="0" w:line="46" w:lineRule="exact"/>
        <w:rPr>
          <w:sz w:val="20"/>
          <w:szCs w:val="20"/>
          <w:color w:val="auto"/>
        </w:rPr>
      </w:pPr>
    </w:p>
    <w:p>
      <w:pPr>
        <w:ind w:left="4" w:right="100"/>
        <w:spacing w:after="0" w:line="260" w:lineRule="auto"/>
        <w:rPr>
          <w:sz w:val="20"/>
          <w:szCs w:val="20"/>
          <w:color w:val="auto"/>
        </w:rPr>
      </w:pPr>
      <w:r>
        <w:rPr>
          <w:rFonts w:ascii="Arial" w:cs="Arial" w:eastAsia="Arial" w:hAnsi="Arial"/>
          <w:sz w:val="18"/>
          <w:szCs w:val="18"/>
          <w:b w:val="1"/>
          <w:bCs w:val="1"/>
          <w:i w:val="1"/>
          <w:iCs w:val="1"/>
          <w:color w:val="auto"/>
        </w:rPr>
        <w:t>Act</w:t>
      </w:r>
      <w:r>
        <w:rPr>
          <w:rFonts w:ascii="Arial" w:cs="Arial" w:eastAsia="Arial" w:hAnsi="Arial"/>
          <w:sz w:val="18"/>
          <w:szCs w:val="18"/>
          <w:color w:val="auto"/>
        </w:rPr>
        <w:t>”); provided, however, that the term “partner” as used in the definition of “associate” shall not include any limited partner that is not involved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of the relevant partnership;</w:t>
      </w:r>
    </w:p>
    <w:p>
      <w:pPr>
        <w:spacing w:after="0" w:line="185" w:lineRule="exact"/>
        <w:rPr>
          <w:sz w:val="20"/>
          <w:szCs w:val="20"/>
          <w:color w:val="auto"/>
        </w:rPr>
      </w:pPr>
    </w:p>
    <w:p>
      <w:pPr>
        <w:ind w:left="4" w:hanging="4"/>
        <w:spacing w:after="0" w:line="301" w:lineRule="auto"/>
        <w:tabs>
          <w:tab w:leader="none" w:pos="289" w:val="left"/>
        </w:tabs>
        <w:numPr>
          <w:ilvl w:val="0"/>
          <w:numId w:val="2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Associated Person</w:t>
      </w:r>
      <w:r>
        <w:rPr>
          <w:rFonts w:ascii="Arial" w:cs="Arial" w:eastAsia="Arial" w:hAnsi="Arial"/>
          <w:sz w:val="16"/>
          <w:szCs w:val="16"/>
          <w:color w:val="auto"/>
        </w:rPr>
        <w:t>”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414" w:name="page415"/>
    <w:bookmarkEnd w:id="414"/>
    <w:p>
      <w:pPr>
        <w:ind w:left="4" w:right="40" w:hanging="4"/>
        <w:spacing w:after="0" w:line="259" w:lineRule="auto"/>
        <w:tabs>
          <w:tab w:leader="none" w:pos="299" w:val="left"/>
        </w:tabs>
        <w:numPr>
          <w:ilvl w:val="0"/>
          <w:numId w:val="2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Compensation Arrangement</w:t>
      </w:r>
      <w:r>
        <w:rPr>
          <w:rFonts w:ascii="Arial" w:cs="Arial" w:eastAsia="Arial" w:hAnsi="Arial"/>
          <w:sz w:val="18"/>
          <w:szCs w:val="18"/>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86" w:lineRule="exact"/>
        <w:rPr>
          <w:rFonts w:ascii="Arial" w:cs="Arial" w:eastAsia="Arial" w:hAnsi="Arial"/>
          <w:sz w:val="18"/>
          <w:szCs w:val="18"/>
          <w:color w:val="auto"/>
        </w:rPr>
      </w:pPr>
    </w:p>
    <w:p>
      <w:pPr>
        <w:ind w:left="4" w:right="320" w:hanging="4"/>
        <w:spacing w:after="0" w:line="277" w:lineRule="auto"/>
        <w:tabs>
          <w:tab w:leader="none" w:pos="27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Competitor</w:t>
      </w:r>
      <w:r>
        <w:rPr>
          <w:rFonts w:ascii="Arial" w:cs="Arial" w:eastAsia="Arial" w:hAnsi="Arial"/>
          <w:sz w:val="18"/>
          <w:szCs w:val="18"/>
          <w:color w:val="auto"/>
        </w:rPr>
        <w:t>” shall mean any entity that provides products or services that compete with or are alternatives to the principal products produced or services provided by the Corporation or its affiliates;</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2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Proposing Person</w:t>
      </w:r>
      <w:r>
        <w:rPr>
          <w:rFonts w:ascii="Arial" w:cs="Arial" w:eastAsia="Arial" w:hAnsi="Arial"/>
          <w:sz w:val="16"/>
          <w:szCs w:val="16"/>
          <w:color w:val="auto"/>
        </w:rPr>
        <w:t>” shall mean (1) the Record Stockholder providing the notice of business proposed to be brought before an annual meeting or</w:t>
      </w:r>
    </w:p>
    <w:p>
      <w:pPr>
        <w:spacing w:after="0" w:line="46" w:lineRule="exact"/>
        <w:rPr>
          <w:rFonts w:ascii="Arial" w:cs="Arial" w:eastAsia="Arial" w:hAnsi="Arial"/>
          <w:sz w:val="16"/>
          <w:szCs w:val="16"/>
          <w:color w:val="auto"/>
        </w:rPr>
      </w:pPr>
    </w:p>
    <w:p>
      <w:pPr>
        <w:ind w:left="4" w:right="40"/>
        <w:spacing w:after="0" w:line="253" w:lineRule="auto"/>
        <w:rPr>
          <w:rFonts w:ascii="Arial" w:cs="Arial" w:eastAsia="Arial" w:hAnsi="Arial"/>
          <w:sz w:val="16"/>
          <w:szCs w:val="16"/>
          <w:color w:val="auto"/>
        </w:rPr>
      </w:pPr>
      <w:r>
        <w:rPr>
          <w:rFonts w:ascii="Arial" w:cs="Arial" w:eastAsia="Arial" w:hAnsi="Arial"/>
          <w:sz w:val="18"/>
          <w:szCs w:val="18"/>
          <w:color w:val="auto"/>
        </w:rPr>
        <w:t>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192" w:lineRule="exact"/>
        <w:rPr>
          <w:rFonts w:ascii="Arial" w:cs="Arial" w:eastAsia="Arial" w:hAnsi="Arial"/>
          <w:sz w:val="16"/>
          <w:szCs w:val="16"/>
          <w:color w:val="auto"/>
        </w:rPr>
      </w:pPr>
    </w:p>
    <w:p>
      <w:pPr>
        <w:ind w:left="4" w:right="680" w:hanging="4"/>
        <w:spacing w:after="0" w:line="308" w:lineRule="auto"/>
        <w:tabs>
          <w:tab w:leader="none" w:pos="299" w:val="left"/>
        </w:tabs>
        <w:numPr>
          <w:ilvl w:val="0"/>
          <w:numId w:val="2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Public Announcement</w:t>
      </w:r>
      <w:r>
        <w:rPr>
          <w:rFonts w:ascii="Arial" w:cs="Arial" w:eastAsia="Arial" w:hAnsi="Arial"/>
          <w:sz w:val="17"/>
          <w:szCs w:val="17"/>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146" w:lineRule="exact"/>
        <w:rPr>
          <w:rFonts w:ascii="Arial" w:cs="Arial" w:eastAsia="Arial" w:hAnsi="Arial"/>
          <w:sz w:val="17"/>
          <w:szCs w:val="17"/>
          <w:color w:val="auto"/>
        </w:rPr>
      </w:pPr>
    </w:p>
    <w:p>
      <w:pPr>
        <w:ind w:left="4" w:hanging="4"/>
        <w:spacing w:after="0" w:line="255" w:lineRule="auto"/>
        <w:tabs>
          <w:tab w:leader="none" w:pos="29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to be considered a “</w:t>
      </w:r>
      <w:r>
        <w:rPr>
          <w:rFonts w:ascii="Arial" w:cs="Arial" w:eastAsia="Arial" w:hAnsi="Arial"/>
          <w:sz w:val="18"/>
          <w:szCs w:val="18"/>
          <w:b w:val="1"/>
          <w:bCs w:val="1"/>
          <w:i w:val="1"/>
          <w:iCs w:val="1"/>
          <w:color w:val="auto"/>
        </w:rPr>
        <w:t>Qualified Representative</w:t>
      </w:r>
      <w:r>
        <w:rPr>
          <w:rFonts w:ascii="Arial" w:cs="Arial" w:eastAsia="Arial" w:hAnsi="Arial"/>
          <w:sz w:val="18"/>
          <w:szCs w:val="18"/>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88"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b w:val="1"/>
          <w:bCs w:val="1"/>
          <w:color w:val="auto"/>
        </w:rPr>
        <w:t xml:space="preserve">Section 1.13 </w:t>
      </w:r>
      <w:r>
        <w:rPr>
          <w:rFonts w:ascii="Arial" w:cs="Arial" w:eastAsia="Arial" w:hAnsi="Arial"/>
          <w:sz w:val="16"/>
          <w:szCs w:val="16"/>
          <w:b w:val="1"/>
          <w:bCs w:val="1"/>
          <w:u w:val="single" w:color="auto"/>
          <w:color w:val="auto"/>
        </w:rPr>
        <w:t>Action by Written Consent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Until the Voting Threshold Date (as defined in the Certificate of Incorporation)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any other restrictions in the Certificate of Incorporation, any action required or permitted to be taken at any annual or special meeting of the stockholders may be taken without a meeting, without prior notice and without a vote, if a consent or consents setting forth the action so taken shall be signed by the holders of outstanding stock entitled to vote on such action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415" w:name="page416"/>
    <w:bookmarkEnd w:id="415"/>
    <w:p>
      <w:pPr>
        <w:ind w:right="160"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1.14 </w:t>
      </w:r>
      <w:r>
        <w:rPr>
          <w:rFonts w:ascii="Arial" w:cs="Arial" w:eastAsia="Arial" w:hAnsi="Arial"/>
          <w:sz w:val="18"/>
          <w:szCs w:val="18"/>
          <w:b w:val="1"/>
          <w:bCs w:val="1"/>
          <w:u w:val="single" w:color="auto"/>
          <w:color w:val="auto"/>
        </w:rPr>
        <w:t>Delivery to the Corporation</w:t>
      </w:r>
      <w:r>
        <w:rPr>
          <w:rFonts w:ascii="Arial" w:cs="Arial" w:eastAsia="Arial" w:hAnsi="Arial"/>
          <w:sz w:val="18"/>
          <w:szCs w:val="18"/>
          <w:color w:val="auto"/>
        </w:rPr>
        <w:t>. Whenever this Article II requires one or more persons (including a record or beneficial owner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to deliver a document or information to the Corporation or any officer, employee or agent thereof (including any notice, request, questionnaire, revocation, representation or other document or agreement), unless the Corporation elects otherwise,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07"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Number; Qualifications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number of directors constituting the Whole Board shall be fixed from time to time in the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Certificate of Incorporation and the term “Whole Board”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18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2.2 </w:t>
      </w:r>
      <w:r>
        <w:rPr>
          <w:rFonts w:ascii="Arial" w:cs="Arial" w:eastAsia="Arial" w:hAnsi="Arial"/>
          <w:sz w:val="17"/>
          <w:szCs w:val="17"/>
          <w:b w:val="1"/>
          <w:bCs w:val="1"/>
          <w:u w:val="single" w:color="auto"/>
          <w:color w:val="auto"/>
        </w:rPr>
        <w:t>Election; Resignation; Removal; Vacancies</w:t>
      </w:r>
      <w:r>
        <w:rPr>
          <w:rFonts w:ascii="Arial" w:cs="Arial" w:eastAsia="Arial" w:hAnsi="Arial"/>
          <w:sz w:val="17"/>
          <w:szCs w:val="17"/>
          <w:b w:val="1"/>
          <w:bCs w:val="1"/>
          <w:color w:val="auto"/>
        </w:rPr>
        <w:t xml:space="preserve">. </w:t>
      </w:r>
      <w:r>
        <w:rPr>
          <w:rFonts w:ascii="Arial" w:cs="Arial" w:eastAsia="Arial" w:hAnsi="Arial"/>
          <w:sz w:val="17"/>
          <w:szCs w:val="17"/>
          <w:color w:val="auto"/>
        </w:rPr>
        <w:t>Election of directors need not be by written ballot. Unless otherwise provided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of Incorporation and subject to the special rights of holders of any series of Preferred Stock to elect directors, immediately following the Voting Threshold Date (as defined in the Certificate of Incorporation), the Board shall be divided into three classes, designated as Class I, Class II and Class III. The number of directors in each class shall be divided as nearly equal as is practicable. Each 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82"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Regular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meetings of the Board may be held at such places, within or without the State of Delaware, and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times as the Board may from time to time determine. Notice of regular meetings need not be given if the date, times and places thereof are fixed by resolution of the Board.</w:t>
      </w:r>
    </w:p>
    <w:p>
      <w:pPr>
        <w:spacing w:after="0" w:line="176"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Special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the Board may be called by the Chairperson of the Board, the Chief Executive Officer, the</w:t>
      </w:r>
      <w:r>
        <w:rPr>
          <w:rFonts w:ascii="Arial" w:cs="Arial" w:eastAsia="Arial" w:hAnsi="Arial"/>
          <w:sz w:val="18"/>
          <w:szCs w:val="18"/>
          <w:b w:val="1"/>
          <w:bCs w:val="1"/>
          <w:color w:val="auto"/>
        </w:rPr>
        <w:t xml:space="preserve"> </w:t>
      </w:r>
      <w:r>
        <w:rPr>
          <w:rFonts w:ascii="Arial" w:cs="Arial" w:eastAsia="Arial" w:hAnsi="Arial"/>
          <w:sz w:val="18"/>
          <w:szCs w:val="18"/>
          <w:color w:val="auto"/>
        </w:rPr>
        <w:t>Lead Independent Director or a majority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416" w:name="page417"/>
    <w:bookmarkEnd w:id="41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62" w:lineRule="exact"/>
        <w:rPr>
          <w:sz w:val="20"/>
          <w:szCs w:val="20"/>
          <w:color w:val="auto"/>
        </w:rPr>
      </w:pPr>
    </w:p>
    <w:p>
      <w:pPr>
        <w:jc w:val="both"/>
        <w:ind w:right="40" w:firstLine="440"/>
        <w:spacing w:after="0" w:line="261" w:lineRule="auto"/>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b w:val="1"/>
          <w:bCs w:val="1"/>
          <w:u w:val="single" w:color="auto"/>
          <w:color w:val="auto"/>
        </w:rPr>
        <w:t>Remote Meetings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Board, or any committee of the Board, may participate in a meeting of the Board or</w:t>
      </w:r>
      <w:r>
        <w:rPr>
          <w:rFonts w:ascii="Arial" w:cs="Arial" w:eastAsia="Arial" w:hAnsi="Arial"/>
          <w:sz w:val="18"/>
          <w:szCs w:val="18"/>
          <w:b w:val="1"/>
          <w:bCs w:val="1"/>
          <w:color w:val="auto"/>
        </w:rPr>
        <w:t xml:space="preserve"> </w:t>
      </w:r>
      <w:r>
        <w:rPr>
          <w:rFonts w:ascii="Arial" w:cs="Arial" w:eastAsia="Arial" w:hAnsi="Arial"/>
          <w:sz w:val="18"/>
          <w:szCs w:val="18"/>
          <w:color w:val="auto"/>
        </w:rPr>
        <w:t>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80"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Quorum; Vote Required for Action</w:t>
      </w:r>
      <w:r>
        <w:rPr>
          <w:rFonts w:ascii="Arial" w:cs="Arial" w:eastAsia="Arial" w:hAnsi="Arial"/>
          <w:sz w:val="18"/>
          <w:szCs w:val="18"/>
          <w:b w:val="1"/>
          <w:bCs w:val="1"/>
          <w:color w:val="auto"/>
        </w:rPr>
        <w:t xml:space="preserve">. </w:t>
      </w:r>
      <w:r>
        <w:rPr>
          <w:rFonts w:ascii="Arial" w:cs="Arial" w:eastAsia="Arial" w:hAnsi="Arial"/>
          <w:sz w:val="18"/>
          <w:szCs w:val="18"/>
          <w:color w:val="auto"/>
        </w:rPr>
        <w:t>At all meetings of the Board, directors representing a majority of the Whole Board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quorum for the 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180"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 xml:space="preserve">Section 2.7 </w:t>
      </w:r>
      <w:r>
        <w:rPr>
          <w:rFonts w:ascii="Arial" w:cs="Arial" w:eastAsia="Arial" w:hAnsi="Arial"/>
          <w:sz w:val="17"/>
          <w:szCs w:val="17"/>
          <w:b w:val="1"/>
          <w:bCs w:val="1"/>
          <w:u w:val="single" w:color="auto"/>
          <w:color w:val="auto"/>
        </w:rPr>
        <w:t>Organization</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of the Board shall be presided over by (a) the Chairperson of the Board, or (b) in the absence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the Lead Independent Director, or (c) in such person’s absence, by the Chief Executive Officer, or (d) in such person’s absence, by a chairperson chosen by the Board at the meeting. Unless otherwise determined by the Board, the Secretary shall act as secretary of the meeting, but in such person’s absence the chairperson of the meeting may appoint any person to act as secretary of the meeting.</w:t>
      </w:r>
    </w:p>
    <w:p>
      <w:pPr>
        <w:spacing w:after="0" w:line="165"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Unanimous Action by Directors in Lieu of a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required or permitted to be taken at any meeting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or of any committee thereof, may be taken without a meeting if all members of the Board or such committee, as the case may be, consent thereto in writing or by electronic transmission, and any consent may be documented, signed and delivered in any manner permitted by Section 116 of the DGCL. After an action is taken, the consent or consents relating thereto shall be filed with the minutes of proceedings of the Board or committee, as applicable. Such filing shall be in paper form if the minutes are maintained in paper form and shall be in electronic form if the minutes are maintained in electronic form.</w:t>
      </w:r>
    </w:p>
    <w:p>
      <w:pPr>
        <w:spacing w:after="0" w:line="187"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b w:val="1"/>
          <w:bCs w:val="1"/>
          <w:u w:val="single" w:color="auto"/>
          <w:color w:val="auto"/>
        </w:rPr>
        <w:t>Powers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Certificate of Incorporation or the DGCL, the business and affairs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managed by or under the direction of the Board.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417" w:name="page418"/>
    <w:bookmarkEnd w:id="417"/>
    <w:p>
      <w:pPr>
        <w:ind w:right="280" w:firstLine="4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2.10 </w:t>
      </w:r>
      <w:r>
        <w:rPr>
          <w:rFonts w:ascii="Arial" w:cs="Arial" w:eastAsia="Arial" w:hAnsi="Arial"/>
          <w:sz w:val="17"/>
          <w:szCs w:val="17"/>
          <w:b w:val="1"/>
          <w:bCs w:val="1"/>
          <w:u w:val="single" w:color="auto"/>
          <w:color w:val="auto"/>
        </w:rPr>
        <w:t>Compensation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of the Board, as such, may receive, pursuant to a resolution of the Board, fees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for their services as directors, including without limitation their services as members of committees of the Board.</w:t>
      </w:r>
    </w:p>
    <w:p>
      <w:pPr>
        <w:spacing w:after="0" w:line="140"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 xml:space="preserve">Section 2.11 </w:t>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director shall maintain the confidentiality of, and shall not share with any third party person or entity</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third parties that originally sponsored, nominated or designated such director (the “</w:t>
      </w:r>
      <w:r>
        <w:rPr>
          <w:rFonts w:ascii="Arial" w:cs="Arial" w:eastAsia="Arial" w:hAnsi="Arial"/>
          <w:sz w:val="16"/>
          <w:szCs w:val="16"/>
          <w:b w:val="1"/>
          <w:bCs w:val="1"/>
          <w:i w:val="1"/>
          <w:iCs w:val="1"/>
          <w:color w:val="auto"/>
        </w:rPr>
        <w:t>Sponsoring Party</w:t>
      </w:r>
      <w:r>
        <w:rPr>
          <w:rFonts w:ascii="Arial" w:cs="Arial" w:eastAsia="Arial" w:hAnsi="Arial"/>
          <w:sz w:val="16"/>
          <w:szCs w:val="16"/>
          <w:color w:val="auto"/>
        </w:rPr>
        <w:t>”)), any non-public information learned in their capacities as directors, including communications among Board members in their capacities as directors. The Board may adopt a board confidentiality policy further implementing and interpreting this bylaw (a “</w:t>
      </w:r>
      <w:r>
        <w:rPr>
          <w:rFonts w:ascii="Arial" w:cs="Arial" w:eastAsia="Arial" w:hAnsi="Arial"/>
          <w:sz w:val="16"/>
          <w:szCs w:val="16"/>
          <w:b w:val="1"/>
          <w:bCs w:val="1"/>
          <w:i w:val="1"/>
          <w:iCs w:val="1"/>
          <w:color w:val="auto"/>
        </w:rPr>
        <w:t>Board Confidentiality Policy</w:t>
      </w:r>
      <w:r>
        <w:rPr>
          <w:rFonts w:ascii="Arial" w:cs="Arial" w:eastAsia="Arial" w:hAnsi="Arial"/>
          <w:sz w:val="16"/>
          <w:szCs w:val="16"/>
          <w:color w:val="auto"/>
        </w:rPr>
        <w:t>”). All directors are required to comply with this bylaw and any such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w:t>
      </w:r>
    </w:p>
    <w:p>
      <w:pPr>
        <w:spacing w:after="0" w:line="207"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b w:val="1"/>
          <w:bCs w:val="1"/>
          <w:color w:val="auto"/>
        </w:rPr>
        <w:t xml:space="preserve">Section 3.1 </w:t>
      </w:r>
      <w:r>
        <w:rPr>
          <w:rFonts w:ascii="Arial" w:cs="Arial" w:eastAsia="Arial" w:hAnsi="Arial"/>
          <w:sz w:val="17"/>
          <w:szCs w:val="17"/>
          <w:b w:val="1"/>
          <w:bCs w:val="1"/>
          <w:u w:val="single" w:color="auto"/>
          <w:color w:val="auto"/>
        </w:rPr>
        <w:t>Committees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designate one or more committees, each committee to consist of one or more of the directors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77"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Committee Rules</w:t>
      </w:r>
      <w:r>
        <w:rPr>
          <w:rFonts w:ascii="Arial" w:cs="Arial" w:eastAsia="Arial" w:hAnsi="Arial"/>
          <w:sz w:val="17"/>
          <w:szCs w:val="17"/>
          <w:b w:val="1"/>
          <w:bCs w:val="1"/>
          <w:color w:val="auto"/>
        </w:rPr>
        <w:t xml:space="preserve">. </w:t>
      </w:r>
      <w:r>
        <w:rPr>
          <w:rFonts w:ascii="Arial" w:cs="Arial" w:eastAsia="Arial" w:hAnsi="Arial"/>
          <w:sz w:val="17"/>
          <w:szCs w:val="17"/>
          <w:color w:val="auto"/>
        </w:rPr>
        <w:t>Each committee shall keep records of its proceedings and make such reports as the Board may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418" w:name="page419"/>
    <w:bookmarkEnd w:id="4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CHAIRPERSON; LEAD INDEPENDENT DIRECTOR</w:t>
      </w:r>
    </w:p>
    <w:p>
      <w:pPr>
        <w:spacing w:after="0" w:line="20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The officers of the Corporation shall consist of a Chief Executive Officer (who may be the Chairperson of the Board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Board may empower the Chief Executive Officer of the Corporation to appoint any officer other than the Chief Executive Officer, the President, the Chief Financial Officer or the Treasurer. Except as otherwise provided by law, by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168"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control of the Board and such supervisory powers, if any, as may be given by the Board,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and duties of the Chief Executive Officer of the Corporation are:</w:t>
      </w:r>
    </w:p>
    <w:p>
      <w:pPr>
        <w:spacing w:after="0" w:line="166" w:lineRule="exact"/>
        <w:rPr>
          <w:sz w:val="20"/>
          <w:szCs w:val="20"/>
          <w:color w:val="auto"/>
        </w:rPr>
      </w:pPr>
    </w:p>
    <w:p>
      <w:pPr>
        <w:ind w:right="140" w:firstLine="1428"/>
        <w:spacing w:after="0" w:line="277" w:lineRule="auto"/>
        <w:tabs>
          <w:tab w:leader="none" w:pos="181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act as the general manager and, subject to the control of the Board, to have general supervision, direction and control of the business and affairs of the Corporation;</w:t>
      </w:r>
    </w:p>
    <w:p>
      <w:pPr>
        <w:spacing w:after="0" w:line="170" w:lineRule="exact"/>
        <w:rPr>
          <w:rFonts w:ascii="Arial" w:cs="Arial" w:eastAsia="Arial" w:hAnsi="Arial"/>
          <w:sz w:val="18"/>
          <w:szCs w:val="18"/>
          <w:color w:val="auto"/>
        </w:rPr>
      </w:pPr>
    </w:p>
    <w:p>
      <w:pPr>
        <w:ind w:left="1820" w:hanging="392"/>
        <w:spacing w:after="0"/>
        <w:tabs>
          <w:tab w:leader="none" w:pos="18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subject to Section 1.6 of these Bylaws, to preside at all meetings of the stockholders;</w:t>
      </w:r>
    </w:p>
    <w:p>
      <w:pPr>
        <w:spacing w:after="0" w:line="225" w:lineRule="exact"/>
        <w:rPr>
          <w:rFonts w:ascii="Arial" w:cs="Arial" w:eastAsia="Arial" w:hAnsi="Arial"/>
          <w:sz w:val="18"/>
          <w:szCs w:val="18"/>
          <w:color w:val="auto"/>
        </w:rPr>
      </w:pPr>
    </w:p>
    <w:p>
      <w:pPr>
        <w:ind w:right="160" w:firstLine="1428"/>
        <w:spacing w:after="0" w:line="277" w:lineRule="auto"/>
        <w:tabs>
          <w:tab w:leader="none" w:pos="181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subject to Section 1.2 of these Bylaws, to call special meetings of the stockholders to be held at such times and, subject to the limitations prescribed by law or by these Bylaws, at such places as he or she shall deem proper; and</w:t>
      </w:r>
    </w:p>
    <w:p>
      <w:pPr>
        <w:spacing w:after="0" w:line="170" w:lineRule="exact"/>
        <w:rPr>
          <w:rFonts w:ascii="Arial" w:cs="Arial" w:eastAsia="Arial" w:hAnsi="Arial"/>
          <w:sz w:val="18"/>
          <w:szCs w:val="18"/>
          <w:color w:val="auto"/>
        </w:rPr>
      </w:pPr>
    </w:p>
    <w:p>
      <w:pPr>
        <w:ind w:right="100" w:firstLine="1428"/>
        <w:spacing w:after="0" w:line="257" w:lineRule="auto"/>
        <w:tabs>
          <w:tab w:leader="none" w:pos="182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person holding the office of President shall be the Chief Executive Officer of the Corporation unless the Board shall designate another officer to be the Chief Executive Officer.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419" w:name="page420"/>
    <w:bookmarkEnd w:id="419"/>
    <w:p>
      <w:pPr>
        <w:ind w:right="14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4.3 </w:t>
      </w:r>
      <w:r>
        <w:rPr>
          <w:rFonts w:ascii="Arial" w:cs="Arial" w:eastAsia="Arial" w:hAnsi="Arial"/>
          <w:sz w:val="18"/>
          <w:szCs w:val="18"/>
          <w:b w:val="1"/>
          <w:bCs w:val="1"/>
          <w:u w:val="single" w:color="auto"/>
          <w:color w:val="auto"/>
        </w:rPr>
        <w:t>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2.7 of these Bylaws, the Chairperson of the Board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76"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Section 4.4 </w:t>
      </w:r>
      <w:r>
        <w:rPr>
          <w:rFonts w:ascii="Arial" w:cs="Arial" w:eastAsia="Arial" w:hAnsi="Arial"/>
          <w:sz w:val="17"/>
          <w:szCs w:val="17"/>
          <w:b w:val="1"/>
          <w:bCs w:val="1"/>
          <w:u w:val="single" w:color="auto"/>
          <w:color w:val="auto"/>
        </w:rPr>
        <w:t>Lead Independent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in its discretion, elect a lead independent director from among its members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Directors (as defined below) (such director, the “</w:t>
      </w:r>
      <w:r>
        <w:rPr>
          <w:rFonts w:ascii="Arial" w:cs="Arial" w:eastAsia="Arial" w:hAnsi="Arial"/>
          <w:sz w:val="17"/>
          <w:szCs w:val="17"/>
          <w:b w:val="1"/>
          <w:bCs w:val="1"/>
          <w:i w:val="1"/>
          <w:iCs w:val="1"/>
          <w:color w:val="auto"/>
        </w:rPr>
        <w:t>Lead Independent Director</w:t>
      </w:r>
      <w:r>
        <w:rPr>
          <w:rFonts w:ascii="Arial" w:cs="Arial" w:eastAsia="Arial" w:hAnsi="Arial"/>
          <w:sz w:val="17"/>
          <w:szCs w:val="17"/>
          <w:color w:val="auto"/>
        </w:rPr>
        <w:t>”). The Lead Independent Director shall preside at all meetings at which the Chairperson of the Board is not present and shall exercise such other powers and duties as may from time to time be assigned to him or her by the Board or as prescribed by these Bylaws. For purposes of these Bylaws, “</w:t>
      </w:r>
      <w:r>
        <w:rPr>
          <w:rFonts w:ascii="Arial" w:cs="Arial" w:eastAsia="Arial" w:hAnsi="Arial"/>
          <w:sz w:val="17"/>
          <w:szCs w:val="17"/>
          <w:b w:val="1"/>
          <w:bCs w:val="1"/>
          <w:i w:val="1"/>
          <w:iCs w:val="1"/>
          <w:color w:val="auto"/>
        </w:rPr>
        <w:t>Independent Director</w:t>
      </w:r>
      <w:r>
        <w:rPr>
          <w:rFonts w:ascii="Arial" w:cs="Arial" w:eastAsia="Arial" w:hAnsi="Arial"/>
          <w:sz w:val="17"/>
          <w:szCs w:val="17"/>
          <w:color w:val="auto"/>
        </w:rPr>
        <w:t>” has the meaning ascribed to such term under the rules of the exchange upon which the Corporation’s Class A Common Stock is primarily traded.</w:t>
      </w:r>
    </w:p>
    <w:p>
      <w:pPr>
        <w:spacing w:after="0" w:line="16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 xml:space="preserve">Section 4.5 </w:t>
      </w:r>
      <w:r>
        <w:rPr>
          <w:rFonts w:ascii="Arial" w:cs="Arial" w:eastAsia="Arial" w:hAnsi="Arial"/>
          <w:sz w:val="17"/>
          <w:szCs w:val="17"/>
          <w:b w:val="1"/>
          <w:bCs w:val="1"/>
          <w:u w:val="single" w:color="auto"/>
          <w:color w:val="auto"/>
        </w:rPr>
        <w:t>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person holding the office of Chief Executive Officer shall be the President of the Corporation unless the Board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7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 holding the office of Chief Financial Officer shall be the Treasurer of the Corporation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180" w:lineRule="exact"/>
        <w:rPr>
          <w:sz w:val="20"/>
          <w:szCs w:val="20"/>
          <w:color w:val="auto"/>
        </w:rPr>
      </w:pPr>
    </w:p>
    <w:p>
      <w:pPr>
        <w:ind w:right="240" w:firstLine="440"/>
        <w:spacing w:after="0" w:line="261" w:lineRule="auto"/>
        <w:rPr>
          <w:sz w:val="20"/>
          <w:szCs w:val="20"/>
          <w:color w:val="auto"/>
        </w:rPr>
      </w:pPr>
      <w:r>
        <w:rPr>
          <w:rFonts w:ascii="Arial" w:cs="Arial" w:eastAsia="Arial" w:hAnsi="Arial"/>
          <w:sz w:val="18"/>
          <w:szCs w:val="18"/>
          <w:b w:val="1"/>
          <w:bCs w:val="1"/>
          <w:color w:val="auto"/>
        </w:rPr>
        <w:t xml:space="preserve">Section 4.7 </w:t>
      </w:r>
      <w:r>
        <w:rPr>
          <w:rFonts w:ascii="Arial" w:cs="Arial" w:eastAsia="Arial" w:hAnsi="Arial"/>
          <w:sz w:val="18"/>
          <w:szCs w:val="18"/>
          <w:b w:val="1"/>
          <w:bCs w:val="1"/>
          <w:u w:val="single" w:color="auto"/>
          <w:color w:val="auto"/>
        </w:rPr>
        <w:t>Treasurer</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 holding the office of Treasurer shall have custody of all monies and securities of the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80" w:lineRule="exact"/>
        <w:rPr>
          <w:sz w:val="20"/>
          <w:szCs w:val="20"/>
          <w:color w:val="auto"/>
        </w:rPr>
      </w:pPr>
    </w:p>
    <w:p>
      <w:pPr>
        <w:jc w:val="both"/>
        <w:ind w:right="100" w:firstLine="440"/>
        <w:spacing w:after="0" w:line="314"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Vice President shall have all such powers and duties as are commonly incident to the office of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or that are delegated to him or her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420" w:name="page421"/>
    <w:bookmarkEnd w:id="420"/>
    <w:p>
      <w:pPr>
        <w:ind w:right="12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4.9 </w:t>
      </w:r>
      <w:r>
        <w:rPr>
          <w:rFonts w:ascii="Arial" w:cs="Arial" w:eastAsia="Arial" w:hAnsi="Arial"/>
          <w:sz w:val="18"/>
          <w:szCs w:val="18"/>
          <w:b w:val="1"/>
          <w:bCs w:val="1"/>
          <w:u w:val="single" w:color="auto"/>
          <w:color w:val="auto"/>
        </w:rPr>
        <w:t>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shall issue or cause to be issued all authorized notices for, and shall keep, or cause to be kept, minutes of</w:t>
      </w:r>
      <w:r>
        <w:rPr>
          <w:rFonts w:ascii="Arial" w:cs="Arial" w:eastAsia="Arial" w:hAnsi="Arial"/>
          <w:sz w:val="18"/>
          <w:szCs w:val="18"/>
          <w:b w:val="1"/>
          <w:bCs w:val="1"/>
          <w:color w:val="auto"/>
        </w:rPr>
        <w:t xml:space="preserve"> </w:t>
      </w:r>
      <w:r>
        <w:rPr>
          <w:rFonts w:ascii="Arial" w:cs="Arial" w:eastAsia="Arial" w:hAnsi="Arial"/>
          <w:sz w:val="18"/>
          <w:szCs w:val="18"/>
          <w:color w:val="auto"/>
        </w:rPr>
        <w:t>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80"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Delegation of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from time to time delegate the powers or duties of any officer of the Corporation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officers or agents of the Corporation, notwithstanding any provision hereof.</w:t>
      </w:r>
    </w:p>
    <w:p>
      <w:pPr>
        <w:spacing w:after="0" w:line="162"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u w:val="single" w:color="auto"/>
          <w:color w:val="auto"/>
        </w:rPr>
        <w:t>Removal</w:t>
      </w:r>
      <w:r>
        <w:rPr>
          <w:rFonts w:ascii="Arial" w:cs="Arial" w:eastAsia="Arial" w:hAnsi="Arial"/>
          <w:sz w:val="18"/>
          <w:szCs w:val="18"/>
          <w:b w:val="1"/>
          <w:bCs w:val="1"/>
          <w:color w:val="auto"/>
        </w:rPr>
        <w:t xml:space="preserve">. </w:t>
      </w:r>
      <w:r>
        <w:rPr>
          <w:rFonts w:ascii="Arial" w:cs="Arial" w:eastAsia="Arial" w:hAnsi="Arial"/>
          <w:sz w:val="18"/>
          <w:szCs w:val="18"/>
          <w:color w:val="auto"/>
        </w:rPr>
        <w:t>Any officer of the Corporation shall serve at the pleasure of the Board and may be removed at any time, with or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cause, by the Board;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180"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b w:val="1"/>
          <w:bCs w:val="1"/>
          <w:color w:val="auto"/>
        </w:rPr>
        <w:t xml:space="preserve">Section 4.12 </w:t>
      </w:r>
      <w:r>
        <w:rPr>
          <w:rFonts w:ascii="Arial" w:cs="Arial" w:eastAsia="Arial" w:hAnsi="Arial"/>
          <w:sz w:val="16"/>
          <w:szCs w:val="16"/>
          <w:b w:val="1"/>
          <w:bCs w:val="1"/>
          <w:u w:val="single" w:color="auto"/>
          <w:color w:val="auto"/>
        </w:rPr>
        <w:t>Voting Shares in Other Business Entities</w:t>
      </w:r>
      <w:r>
        <w:rPr>
          <w:rFonts w:ascii="Arial" w:cs="Arial" w:eastAsia="Arial" w:hAnsi="Arial"/>
          <w:sz w:val="16"/>
          <w:szCs w:val="16"/>
          <w:color w:val="auto"/>
        </w:rPr>
        <w:t>. The Chairperson, the CEO, the President, if any is appointed, any vice president,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CFO, the Secretary or assistant secretary of the Corporation, or any other person authorized by the Board of Directors may vote, and otherwise exercise on behalf of the Corporation any and all rights and powers incident to the ownership of, any and all shares of stock or other equity interest held by the Corporation in any other corporation or other business entity. The authority granted herein may be exercised either by such person directly or by any other person authorized to do so by proxy or power of attorney duly executed by the person having such authority.</w:t>
      </w:r>
    </w:p>
    <w:p>
      <w:pPr>
        <w:spacing w:after="0" w:line="154"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Section 4.13 </w:t>
      </w:r>
      <w:r>
        <w:rPr>
          <w:rFonts w:ascii="Arial" w:cs="Arial" w:eastAsia="Arial" w:hAnsi="Arial"/>
          <w:sz w:val="16"/>
          <w:szCs w:val="16"/>
          <w:b w:val="1"/>
          <w:bCs w:val="1"/>
          <w:u w:val="single" w:color="auto"/>
          <w:color w:val="auto"/>
        </w:rPr>
        <w:t>Execution of Corporate Contracts and Instruments</w:t>
      </w:r>
      <w:r>
        <w:rPr>
          <w:rFonts w:ascii="Arial" w:cs="Arial" w:eastAsia="Arial" w:hAnsi="Arial"/>
          <w:sz w:val="16"/>
          <w:szCs w:val="16"/>
          <w:color w:val="auto"/>
        </w:rPr>
        <w:t>. The Board of Directors, except as otherwise provided in these Bylaws,</w:t>
      </w:r>
      <w:r>
        <w:rPr>
          <w:rFonts w:ascii="Arial" w:cs="Arial" w:eastAsia="Arial" w:hAnsi="Arial"/>
          <w:sz w:val="16"/>
          <w:szCs w:val="16"/>
          <w:b w:val="1"/>
          <w:bCs w:val="1"/>
          <w:color w:val="auto"/>
        </w:rPr>
        <w:t xml:space="preserve"> </w:t>
      </w:r>
      <w:r>
        <w:rPr>
          <w:rFonts w:ascii="Arial" w:cs="Arial" w:eastAsia="Arial" w:hAnsi="Arial"/>
          <w:sz w:val="16"/>
          <w:szCs w:val="16"/>
          <w:color w:val="auto"/>
        </w:rPr>
        <w:t>shall designate the officers, employees and agents of the Corporation who shall have power to enter into any contract or execute any instrument in the name of and on behalf of the Corporation. Such delegation may be by resolution or otherwise and the authority granted shall be general or confined to specific matters, all as the Board of Directors or any such committee may determine. In the absence of such designation referred to in the first sentence of this Section 4.13, the officers of the Corporation shall have such power so referred to, to the extent incident to the normal performance of their duties.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w:t>
      </w:r>
    </w:p>
    <w:p>
      <w:pPr>
        <w:spacing w:after="0" w:line="207" w:lineRule="exact"/>
        <w:rPr>
          <w:sz w:val="20"/>
          <w:szCs w:val="20"/>
          <w:color w:val="auto"/>
        </w:rPr>
      </w:pPr>
    </w:p>
    <w:p>
      <w:pPr>
        <w:jc w:val="both"/>
        <w:ind w:right="520" w:firstLine="440"/>
        <w:spacing w:after="0" w:line="289" w:lineRule="auto"/>
        <w:rPr>
          <w:sz w:val="20"/>
          <w:szCs w:val="20"/>
          <w:color w:val="auto"/>
        </w:rPr>
      </w:pPr>
      <w:r>
        <w:rPr>
          <w:rFonts w:ascii="Arial" w:cs="Arial" w:eastAsia="Arial" w:hAnsi="Arial"/>
          <w:sz w:val="16"/>
          <w:szCs w:val="16"/>
          <w:b w:val="1"/>
          <w:bCs w:val="1"/>
          <w:color w:val="auto"/>
        </w:rPr>
        <w:t xml:space="preserve">Section 5.1 </w:t>
      </w:r>
      <w:r>
        <w:rPr>
          <w:rFonts w:ascii="Arial" w:cs="Arial" w:eastAsia="Arial" w:hAnsi="Arial"/>
          <w:sz w:val="16"/>
          <w:szCs w:val="16"/>
          <w:b w:val="1"/>
          <w:bCs w:val="1"/>
          <w:u w:val="single" w:color="auto"/>
          <w:color w:val="auto"/>
        </w:rPr>
        <w:t>Certificates; Uncertificated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of capital stock of the Corporation shall be uncertificated shares;</w:t>
      </w:r>
      <w:r>
        <w:rPr>
          <w:rFonts w:ascii="Arial" w:cs="Arial" w:eastAsia="Arial" w:hAnsi="Arial"/>
          <w:sz w:val="16"/>
          <w:szCs w:val="16"/>
          <w:b w:val="1"/>
          <w:bCs w:val="1"/>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resolution of the Board that the shares of capital stock of the Corporation shall be uncertificated shares shall not apply to shares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by a certificate until such certificate is surrendered to the Corporation (or the transfer agent or registrar, as the case may be).</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0" w:right="499" w:bottom="1440" w:gutter="0" w:footer="0" w:header="0"/>
        </w:sectPr>
      </w:pPr>
    </w:p>
    <w:bookmarkStart w:id="421" w:name="page422"/>
    <w:bookmarkEnd w:id="421"/>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84"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Lost, Stolen or Destroyed Stock Certificates; Issuance of New Certificates or Uncertificated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may</w:t>
      </w:r>
      <w:r>
        <w:rPr>
          <w:rFonts w:ascii="Arial" w:cs="Arial" w:eastAsia="Arial" w:hAnsi="Arial"/>
          <w:sz w:val="17"/>
          <w:szCs w:val="17"/>
          <w:b w:val="1"/>
          <w:bCs w:val="1"/>
          <w:color w:val="auto"/>
        </w:rPr>
        <w:t xml:space="preserve"> </w:t>
      </w:r>
      <w:r>
        <w:rPr>
          <w:rFonts w:ascii="Arial" w:cs="Arial" w:eastAsia="Arial" w:hAnsi="Arial"/>
          <w:sz w:val="17"/>
          <w:szCs w:val="17"/>
          <w:color w:val="auto"/>
        </w:rPr>
        <w:t>issue 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73"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b w:val="1"/>
          <w:bCs w:val="1"/>
          <w:color w:val="auto"/>
        </w:rPr>
        <w:t xml:space="preserve">Section 5.3 </w:t>
      </w:r>
      <w:r>
        <w:rPr>
          <w:rFonts w:ascii="Arial" w:cs="Arial" w:eastAsia="Arial" w:hAnsi="Arial"/>
          <w:sz w:val="16"/>
          <w:szCs w:val="16"/>
          <w:b w:val="1"/>
          <w:bCs w:val="1"/>
          <w:u w:val="single" w:color="auto"/>
          <w:color w:val="auto"/>
        </w:rPr>
        <w:t>Other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applicable law, the Certificate of Incorporation and these Bylaws, the issue, transfer, conversion and</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of shares represented by certificates and of uncertificated shares shall be governed by such other regulations as the Board may establish.</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Section 6.1 </w:t>
      </w:r>
      <w:r>
        <w:rPr>
          <w:rFonts w:ascii="Arial" w:cs="Arial" w:eastAsia="Arial" w:hAnsi="Arial"/>
          <w:sz w:val="17"/>
          <w:szCs w:val="17"/>
          <w:b w:val="1"/>
          <w:bCs w:val="1"/>
          <w:u w:val="single" w:color="auto"/>
          <w:color w:val="auto"/>
        </w:rPr>
        <w:t>Indemnification of Officers and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person who was or is made a party to, or is threatened to be made a party to, or is</w:t>
      </w:r>
      <w:r>
        <w:rPr>
          <w:rFonts w:ascii="Arial" w:cs="Arial" w:eastAsia="Arial" w:hAnsi="Arial"/>
          <w:sz w:val="17"/>
          <w:szCs w:val="17"/>
          <w:b w:val="1"/>
          <w:bCs w:val="1"/>
          <w:color w:val="auto"/>
        </w:rPr>
        <w:t xml:space="preserve"> </w:t>
      </w:r>
      <w:r>
        <w:rPr>
          <w:rFonts w:ascii="Arial" w:cs="Arial" w:eastAsia="Arial" w:hAnsi="Arial"/>
          <w:sz w:val="17"/>
          <w:szCs w:val="17"/>
          <w:color w:val="auto"/>
        </w:rPr>
        <w:t>involved in any threatened, pending or completed action, suit or proceeding, whether civil, criminal, administrative, legislative or any other type whatsoever (a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by reason of the fact that such person (or a person of whom such person is the legal representative), is or was a director or officer of the Corporation or, while serving as a director or officer of the Corporation, is or was serving at the request of the Corporation as a director, officer, employee, agent or trustee of another corporation, or of a partnership, joint venture, trust or other enterprise, including service with respect to employee benefit plans (for purposes of this Article VI, an “</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Proceeding, had no reasonable cause to believe the Indemnitee’s conduct was unlawful. Such indemnification shall continue as to an Indemnitee who has ceased to be a director or officer of the Corporation and shall inure to the benefit of such Indemnitees’ heirs, executors and administrators. Notwithstanding the foregoing, subject to Section 6.5 of these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422" w:name="page423"/>
    <w:bookmarkEnd w:id="422"/>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Bylaws,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spacing w:after="0" w:line="180" w:lineRule="exact"/>
        <w:rPr>
          <w:sz w:val="20"/>
          <w:szCs w:val="20"/>
          <w:color w:val="auto"/>
        </w:rPr>
      </w:pPr>
    </w:p>
    <w:p>
      <w:pPr>
        <w:ind w:right="220" w:firstLine="440"/>
        <w:spacing w:after="0" w:line="261" w:lineRule="auto"/>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Advance of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pay all expenses (including attorneys’ fees) incurred by an Indemnitee in defending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Proceeding in advance of its final disposition;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if the DGCL then so requires, the advancement of such expenses shall be made only upon delivery to the Corporation of an undertaking, by or on behalf of such Indemnitee, to repay such amounts if it shall ultimately be determined that such Indemnitee is not entitled to be indemnified under this Article VI or otherwise.</w:t>
      </w:r>
    </w:p>
    <w:p>
      <w:pPr>
        <w:spacing w:after="0" w:line="180"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 xml:space="preserve">Section 6.3 </w:t>
      </w:r>
      <w:r>
        <w:rPr>
          <w:rFonts w:ascii="Arial" w:cs="Arial" w:eastAsia="Arial" w:hAnsi="Arial"/>
          <w:sz w:val="17"/>
          <w:szCs w:val="17"/>
          <w:b w:val="1"/>
          <w:bCs w:val="1"/>
          <w:u w:val="single" w:color="auto"/>
          <w:color w:val="auto"/>
        </w:rPr>
        <w:t>Non-Exclusivity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conferred on any person in this Article VI shall not be exclusive of any other right that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65"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b w:val="1"/>
          <w:bCs w:val="1"/>
          <w:u w:val="single" w:color="auto"/>
          <w:color w:val="auto"/>
        </w:rPr>
        <w:t>Indemnification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is authorized to cause the Corporation to enter into indemnification contracts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officer, employee or agent of the Corporation, or any person serving at the request of the Corporation as a director, officer, employee, agent or trustee of another corporation, partnership, joint venture, trust or other enterprise, including employee benefit plans, providing indemnification or advancement rights to such person. Such rights may be greater than those provided in this Article VI.</w:t>
      </w:r>
    </w:p>
    <w:p>
      <w:pPr>
        <w:spacing w:after="0" w:line="180"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b w:val="1"/>
          <w:bCs w:val="1"/>
          <w:color w:val="auto"/>
        </w:rPr>
        <w:t xml:space="preserve">Section 6.5 </w:t>
      </w:r>
      <w:r>
        <w:rPr>
          <w:rFonts w:ascii="Arial" w:cs="Arial" w:eastAsia="Arial" w:hAnsi="Arial"/>
          <w:sz w:val="18"/>
          <w:szCs w:val="18"/>
          <w:b w:val="1"/>
          <w:bCs w:val="1"/>
          <w:u w:val="single" w:color="auto"/>
          <w:color w:val="auto"/>
        </w:rPr>
        <w:t>Right of Indemnitee to Bring Suit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shall apply to the extent not in conflict with any indemnification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in Section 6.4 of these Bylaws.</w:t>
      </w:r>
    </w:p>
    <w:p>
      <w:pPr>
        <w:spacing w:after="0" w:line="58" w:lineRule="exact"/>
        <w:rPr>
          <w:sz w:val="20"/>
          <w:szCs w:val="20"/>
          <w:color w:val="auto"/>
        </w:rPr>
      </w:pPr>
    </w:p>
    <w:p>
      <w:pPr>
        <w:ind w:right="20" w:firstLine="991"/>
        <w:spacing w:after="0" w:line="290" w:lineRule="auto"/>
        <w:rPr>
          <w:sz w:val="20"/>
          <w:szCs w:val="20"/>
          <w:color w:val="auto"/>
        </w:rPr>
      </w:pPr>
      <w:r>
        <w:rPr>
          <w:rFonts w:ascii="Arial" w:cs="Arial" w:eastAsia="Arial" w:hAnsi="Arial"/>
          <w:sz w:val="16"/>
          <w:szCs w:val="16"/>
          <w:color w:val="auto"/>
        </w:rPr>
        <w:t xml:space="preserve">6.5.1 </w:t>
      </w:r>
      <w:r>
        <w:rPr>
          <w:rFonts w:ascii="Arial" w:cs="Arial" w:eastAsia="Arial" w:hAnsi="Arial"/>
          <w:sz w:val="16"/>
          <w:szCs w:val="16"/>
          <w:u w:val="single" w:color="auto"/>
          <w:color w:val="auto"/>
        </w:rPr>
        <w:t>Right to Bring Suit</w:t>
      </w:r>
      <w:r>
        <w:rPr>
          <w:rFonts w:ascii="Arial" w:cs="Arial" w:eastAsia="Arial" w:hAnsi="Arial"/>
          <w:sz w:val="16"/>
          <w:szCs w:val="16"/>
          <w:color w:val="auto"/>
        </w:rPr>
        <w:t>. If a claim under Section 6.1 or 6.2 of these Bylaws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to the fullest extent permitted by law,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of conduct which makes it permissible under the DGCL (or other applicable law) for the Corporation to indemnify the Indemnitee for the amount claimed.</w:t>
      </w:r>
    </w:p>
    <w:p>
      <w:pPr>
        <w:spacing w:after="0" w:line="16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6.5.2 </w:t>
      </w:r>
      <w:r>
        <w:rPr>
          <w:rFonts w:ascii="Arial" w:cs="Arial" w:eastAsia="Arial" w:hAnsi="Arial"/>
          <w:sz w:val="18"/>
          <w:szCs w:val="18"/>
          <w:u w:val="single" w:color="auto"/>
          <w:color w:val="auto"/>
        </w:rPr>
        <w:t>Effect of Determination</w:t>
      </w:r>
      <w:r>
        <w:rPr>
          <w:rFonts w:ascii="Arial" w:cs="Arial" w:eastAsia="Arial" w:hAnsi="Arial"/>
          <w:sz w:val="18"/>
          <w:szCs w:val="18"/>
          <w:color w:val="auto"/>
        </w:rPr>
        <w:t>. The absence of a determination prior to the commencement of such suit that indemnification of the Indemnitee is proper in the circumstances because the Indemnitee has met the applicable standard of conduct set forth in applicable law shall not create a presumption that the Indemnitee has not met the applicable standard of conduct or, in the case of such a suit brought by the Indemnitee, be a defense to such suit.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423" w:name="page424"/>
    <w:bookmarkEnd w:id="423"/>
    <w:p>
      <w:pPr>
        <w:ind w:right="4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6.5.3 </w:t>
      </w:r>
      <w:r>
        <w:rPr>
          <w:rFonts w:ascii="Arial" w:cs="Arial" w:eastAsia="Arial" w:hAnsi="Arial"/>
          <w:sz w:val="16"/>
          <w:szCs w:val="16"/>
          <w:u w:val="single" w:color="auto"/>
          <w:color w:val="auto"/>
        </w:rPr>
        <w:t>Burden of Proof</w:t>
      </w:r>
      <w:r>
        <w:rPr>
          <w:rFonts w:ascii="Arial" w:cs="Arial" w:eastAsia="Arial" w:hAnsi="Arial"/>
          <w:sz w:val="16"/>
          <w:szCs w:val="16"/>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4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 xml:space="preserve">Section 6.6 </w:t>
      </w:r>
      <w:r>
        <w:rPr>
          <w:rFonts w:ascii="Arial" w:cs="Arial" w:eastAsia="Arial" w:hAnsi="Arial"/>
          <w:sz w:val="16"/>
          <w:szCs w:val="16"/>
          <w:b w:val="1"/>
          <w:bCs w:val="1"/>
          <w:u w:val="single" w:color="auto"/>
          <w:color w:val="auto"/>
        </w:rPr>
        <w:t>Nature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conferred upon Indemnitees in this Article VI shall be contract rights and such rights shall continue as</w:t>
      </w:r>
      <w:r>
        <w:rPr>
          <w:rFonts w:ascii="Arial" w:cs="Arial" w:eastAsia="Arial" w:hAnsi="Arial"/>
          <w:sz w:val="16"/>
          <w:szCs w:val="16"/>
          <w:b w:val="1"/>
          <w:bCs w:val="1"/>
          <w:color w:val="auto"/>
        </w:rPr>
        <w:t xml:space="preserve"> </w:t>
      </w:r>
      <w:r>
        <w:rPr>
          <w:rFonts w:ascii="Arial" w:cs="Arial" w:eastAsia="Arial" w:hAnsi="Arial"/>
          <w:sz w:val="16"/>
          <w:szCs w:val="16"/>
          <w:color w:val="auto"/>
        </w:rPr>
        <w:t>to an 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with respect to any Proceeding involving any occurrence or alleged occurrence of any action or omission to act that took place prior to such amendment, repeal or modification. Any reference to an officer of the Corporation in this Article VI shall be deemed to refer exclusively to the Chief Executive Officer, President, Treasurer, Chief Financial Officer, and Secretary of the Corporation appointed pursuant to Article IV of these Bylaws, and to any Vice President, Assistant Secretary, Assistant Treasurer or other officer of the Corporation appointed by the Board of Directors or by the Chief Executive Officer pursuant to Article IV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 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Article VI.</w:t>
      </w:r>
    </w:p>
    <w:p>
      <w:pPr>
        <w:spacing w:after="0" w:line="174" w:lineRule="exact"/>
        <w:rPr>
          <w:sz w:val="20"/>
          <w:szCs w:val="20"/>
          <w:color w:val="auto"/>
        </w:rPr>
      </w:pPr>
    </w:p>
    <w:p>
      <w:pPr>
        <w:ind w:right="260" w:firstLine="440"/>
        <w:spacing w:after="0" w:line="289" w:lineRule="auto"/>
        <w:rPr>
          <w:sz w:val="20"/>
          <w:szCs w:val="20"/>
          <w:color w:val="auto"/>
        </w:rPr>
      </w:pPr>
      <w:r>
        <w:rPr>
          <w:rFonts w:ascii="Arial" w:cs="Arial" w:eastAsia="Arial" w:hAnsi="Arial"/>
          <w:sz w:val="17"/>
          <w:szCs w:val="17"/>
          <w:b w:val="1"/>
          <w:bCs w:val="1"/>
          <w:color w:val="auto"/>
        </w:rPr>
        <w:t xml:space="preserve">Section 6.7 </w:t>
      </w:r>
      <w:r>
        <w:rPr>
          <w:rFonts w:ascii="Arial" w:cs="Arial" w:eastAsia="Arial" w:hAnsi="Arial"/>
          <w:sz w:val="17"/>
          <w:szCs w:val="17"/>
          <w:b w:val="1"/>
          <w:bCs w:val="1"/>
          <w:u w:val="single" w:color="auto"/>
          <w:color w:val="auto"/>
        </w:rPr>
        <w:t>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may purchase and maintain insurance, at its expense, to protect itself and any director,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424" w:name="page425"/>
    <w:bookmarkEnd w:id="4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w:t>
      </w:r>
    </w:p>
    <w:p>
      <w:pPr>
        <w:spacing w:after="0" w:line="121" w:lineRule="exact"/>
        <w:rPr>
          <w:sz w:val="20"/>
          <w:szCs w:val="20"/>
          <w:color w:val="auto"/>
        </w:rPr>
      </w:pPr>
    </w:p>
    <w:p>
      <w:pPr>
        <w:ind w:right="40" w:firstLine="991"/>
        <w:spacing w:after="0" w:line="286"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Form and Delivery</w:t>
      </w:r>
      <w:r>
        <w:rPr>
          <w:rFonts w:ascii="Arial" w:cs="Arial" w:eastAsia="Arial" w:hAnsi="Arial"/>
          <w:sz w:val="16"/>
          <w:szCs w:val="16"/>
          <w:color w:val="auto"/>
        </w:rPr>
        <w:t>. Except as otherwise specifically required in these Bylaws (including, without limitation, Section 7.1.2 of these Bylaws) or by applicable law, all notices required to be given pursuant to these Bylaws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by courier service or electronic mail in the manner provided in Section 232 of the DGCL or, if specifically consented to by the stockholder as described in Section 7.1.2 of these Bylaws, by sending such notice by a form of electronic transmission other than electronic mail in the manner prescribed by Section 232 of the DGCL.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(i) the case of delivery by overnight express courier to a director, when dispatched or (ii) the case of delivery by courier service to a stockholder, the earlier of when the notice is received or left at such stockholder’s address, and (d) in (i) the case of delivery by electronic mail, when directed to the director’s or stockholder’s electronic mail address unless, in the case of a stockholder, the stockholder has notified the corporation in writing or by electronic transmission of an objection to receiving notice by electronic mail or such notice is prohibited by the last sentence of Section 7.1.2 of these Bylaws or (ii) the case of delivery via facsimile or other form of electronic transmission (other than electronic mail) at the time provided in Section 7.1.2 of these Bylaws.</w:t>
      </w:r>
    </w:p>
    <w:p>
      <w:pPr>
        <w:spacing w:after="0" w:line="167"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Electronic Transmission</w:t>
      </w:r>
      <w:r>
        <w:rPr>
          <w:rFonts w:ascii="Arial" w:cs="Arial" w:eastAsia="Arial" w:hAnsi="Arial"/>
          <w:sz w:val="16"/>
          <w:szCs w:val="16"/>
          <w:color w:val="auto"/>
        </w:rPr>
        <w:t>.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(other than electronic mail) consented to by the stockholder to whom the notice is given in accordance with Section 232 of the DGCL. Notice given pursuant to this Section 7.1.2 shall be deemed given: (i) if by facsimile telecommunication, when directed to a number at which the stockholder has consented to receive notice; (ii) if by a posting on an electronic network together with separate notice to the stockholder of such specific posting, upon the later of such posting and the giving of such separate notice; and (iii) if by any other form of electronic transmission (other than electronic mail), when directed to the stockholder. Notwithstanding the foregoing, a notice may not be given to stockholders by an electronic transmission from and after the time that (a) the Corporation is unable to deliver by such electronic transmission two (2) consecutive notices given by the Corporation, (b) such inability becomes known to the Secretary or an Assistant Secretary or to the transfer agent, or other person responsible for the giving of notice; provided, however, the inadvertent failure to discover such inability shall not invalidate any meeting or other action.</w:t>
      </w:r>
    </w:p>
    <w:p>
      <w:pPr>
        <w:spacing w:after="0" w:line="168"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Affidavit of Giving Notice</w:t>
      </w:r>
      <w:r>
        <w:rPr>
          <w:rFonts w:ascii="Arial" w:cs="Arial" w:eastAsia="Arial" w:hAnsi="Arial"/>
          <w:sz w:val="18"/>
          <w:szCs w:val="18"/>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0" w:right="479" w:bottom="1440" w:gutter="0" w:footer="0" w:header="0"/>
        </w:sectPr>
      </w:pPr>
    </w:p>
    <w:bookmarkStart w:id="425" w:name="page426"/>
    <w:bookmarkEnd w:id="425"/>
    <w:p>
      <w:pPr>
        <w:ind w:right="80"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7.2 </w:t>
      </w:r>
      <w:r>
        <w:rPr>
          <w:rFonts w:ascii="Arial" w:cs="Arial" w:eastAsia="Arial" w:hAnsi="Arial"/>
          <w:sz w:val="17"/>
          <w:szCs w:val="17"/>
          <w:b w:val="1"/>
          <w:bCs w:val="1"/>
          <w:u w:val="single" w:color="auto"/>
          <w:color w:val="auto"/>
        </w:rPr>
        <w:t>Waiver of Notice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notice is required to be given under any provision of the DGCL, the Certificate of Incorporation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INTERESTED DIRECTORS</w:t>
      </w:r>
    </w:p>
    <w:p>
      <w:pPr>
        <w:spacing w:after="0" w:line="20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Section 8.1 </w:t>
      </w:r>
      <w:r>
        <w:rPr>
          <w:rFonts w:ascii="Arial" w:cs="Arial" w:eastAsia="Arial" w:hAnsi="Arial"/>
          <w:sz w:val="16"/>
          <w:szCs w:val="16"/>
          <w:b w:val="1"/>
          <w:bCs w:val="1"/>
          <w:u w:val="single" w:color="auto"/>
          <w:color w:val="auto"/>
        </w:rPr>
        <w:t>Interested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No contract or transaction between the Corporation and one or more of its members of the Board or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or 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61"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u w:val="single" w:color="auto"/>
          <w:color w:val="auto"/>
        </w:rPr>
        <w:t>Quorum</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directors may be counted in determining the presence of a quorum at a meeting of the Board or of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which authorizes the contract or transaction.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u w:val="single" w:color="auto"/>
          <w:color w:val="auto"/>
        </w:rPr>
        <w:t>Fiscal Year</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fiscal year of the Corporation shall be determined by resolution of the Board.</w:t>
      </w:r>
    </w:p>
    <w:p>
      <w:pPr>
        <w:spacing w:after="0" w:line="225"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b w:val="1"/>
          <w:bCs w:val="1"/>
          <w:u w:val="single" w:color="auto"/>
          <w:color w:val="auto"/>
        </w:rPr>
        <w:t>Seal</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provide for a corporate seal, which may have the name of the Corporation inscribed thereon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be in such form as may be approved from time to time by the Board.</w:t>
      </w:r>
    </w:p>
    <w:p>
      <w:pPr>
        <w:spacing w:after="0" w:line="378" w:lineRule="exact"/>
        <w:rPr>
          <w:sz w:val="20"/>
          <w:szCs w:val="20"/>
          <w:color w:val="auto"/>
        </w:rPr>
      </w:pPr>
    </w:p>
    <w:p>
      <w:pPr>
        <w:ind w:right="220" w:firstLine="440"/>
        <w:spacing w:after="0" w:line="347" w:lineRule="auto"/>
        <w:rPr>
          <w:sz w:val="20"/>
          <w:szCs w:val="20"/>
          <w:color w:val="auto"/>
        </w:rPr>
      </w:pPr>
      <w:r>
        <w:rPr>
          <w:rFonts w:ascii="Arial" w:cs="Arial" w:eastAsia="Arial" w:hAnsi="Arial"/>
          <w:sz w:val="16"/>
          <w:szCs w:val="16"/>
          <w:b w:val="1"/>
          <w:bCs w:val="1"/>
          <w:color w:val="auto"/>
        </w:rPr>
        <w:t xml:space="preserve">Section 9.3 </w:t>
      </w:r>
      <w:r>
        <w:rPr>
          <w:rFonts w:ascii="Arial" w:cs="Arial" w:eastAsia="Arial" w:hAnsi="Arial"/>
          <w:sz w:val="16"/>
          <w:szCs w:val="16"/>
          <w:b w:val="1"/>
          <w:bCs w:val="1"/>
          <w:u w:val="single" w:color="auto"/>
          <w:color w:val="auto"/>
        </w:rPr>
        <w:t>Form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Any records administered by or on behalf of the Corporation in the regular course of its business, including its</w:t>
      </w:r>
      <w:r>
        <w:rPr>
          <w:rFonts w:ascii="Arial" w:cs="Arial" w:eastAsia="Arial" w:hAnsi="Arial"/>
          <w:sz w:val="16"/>
          <w:szCs w:val="16"/>
          <w:b w:val="1"/>
          <w:bCs w:val="1"/>
          <w:color w:val="auto"/>
        </w:rPr>
        <w:t xml:space="preserve"> </w:t>
      </w:r>
      <w:r>
        <w:rPr>
          <w:rFonts w:ascii="Arial" w:cs="Arial" w:eastAsia="Arial" w:hAnsi="Arial"/>
          <w:sz w:val="16"/>
          <w:szCs w:val="16"/>
          <w:color w:val="auto"/>
        </w:rPr>
        <w:t>stock ledger, books of account and minute books, may be kept on or by means of, or be in the form of any other information storage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426" w:name="page427"/>
    <w:bookmarkEnd w:id="42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device, method or one or more electronic networks or databases (including one or more distributed electronic networks or databases), electronic or otherwise,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83"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8"/>
          <w:szCs w:val="18"/>
          <w:b w:val="1"/>
          <w:bCs w:val="1"/>
          <w:u w:val="single" w:color="auto"/>
          <w:color w:val="auto"/>
        </w:rPr>
        <w:t>Reliance Upon Books and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A member of the Board, or a member of any committee designated by the Board shall,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83"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Section 9.5 </w:t>
      </w:r>
      <w:r>
        <w:rPr>
          <w:rFonts w:ascii="Arial" w:cs="Arial" w:eastAsia="Arial" w:hAnsi="Arial"/>
          <w:sz w:val="18"/>
          <w:szCs w:val="18"/>
          <w:b w:val="1"/>
          <w:bCs w:val="1"/>
          <w:u w:val="single" w:color="auto"/>
          <w:color w:val="auto"/>
        </w:rPr>
        <w:t>Certificate of Incorporation Governs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any conflict between the provisions of the Certificate of Incorporation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Bylaws, the provisions of the Certificate of Incorporation shall govern.</w:t>
      </w:r>
    </w:p>
    <w:p>
      <w:pPr>
        <w:spacing w:after="0" w:line="162"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 xml:space="preserve">Section 9.6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these Bylaws shall be held to be invalid, illegal, unenforceable or in conflict with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83"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b w:val="1"/>
          <w:bCs w:val="1"/>
          <w:color w:val="auto"/>
        </w:rPr>
        <w:t xml:space="preserve">Section 9.7 </w:t>
      </w:r>
      <w:r>
        <w:rPr>
          <w:rFonts w:ascii="Arial" w:cs="Arial" w:eastAsia="Arial" w:hAnsi="Arial"/>
          <w:sz w:val="18"/>
          <w:szCs w:val="18"/>
          <w:b w:val="1"/>
          <w:bCs w:val="1"/>
          <w:u w:val="single" w:color="auto"/>
          <w:color w:val="auto"/>
        </w:rPr>
        <w:t>Time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In applying any provision of these Bylaws which requires that an act be done or not be done a specified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days prior to an event or that an act be done during a period of a specified number of days prior to an event, calendar days shall be used, the day of the doing of the act shall be excluded, and the day of the event shall be included.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w:t>
      </w:r>
    </w:p>
    <w:p>
      <w:pPr>
        <w:spacing w:after="0" w:line="21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427" w:name="page428"/>
    <w:bookmarkEnd w:id="42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CERTIFICATION OF AMENDED AND RESTATED BYLAWS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 Peter Butterfield certify that I am Secretary of Flywire Corporation,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that I am duly authorized to make and deliver this certification, that the attached Bylaws are a true and complete copy of the Restated Bylaws of the Corporation in effect as of the date of this certificate.</w:t>
      </w:r>
    </w:p>
    <w:p>
      <w:pPr>
        <w:spacing w:after="0" w:line="18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Peter Butterfield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900"/>
          </w:cols>
          <w:pgMar w:left="440" w:top="270" w:right="559" w:bottom="1440" w:gutter="0" w:footer="0" w:header="0"/>
        </w:sectPr>
      </w:pPr>
    </w:p>
    <w:bookmarkStart w:id="428" w:name="page429"/>
    <w:bookmarkEnd w:id="428"/>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SEVENTH AMENDED AND RESTATED</w:t>
      </w: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INVESTORS’ RIGHTS AGREEMENT</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FLYWIRE CORPORATION</w:t>
      </w:r>
    </w:p>
    <w:p>
      <w:pPr>
        <w:spacing w:after="0" w:line="333"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as of February 23, 2021</w:t>
      </w:r>
    </w:p>
    <w:p>
      <w:pPr>
        <w:sectPr>
          <w:pgSz w:w="11900" w:h="16838" w:orient="portrait"/>
          <w:cols w:equalWidth="0" w:num="1">
            <w:col w:w="10020"/>
          </w:cols>
          <w:pgMar w:left="1440" w:top="121" w:right="439" w:bottom="1440" w:gutter="0" w:footer="0" w:header="0"/>
        </w:sectPr>
      </w:pPr>
    </w:p>
    <w:bookmarkStart w:id="429" w:name="page430"/>
    <w:bookmarkEnd w:id="429"/>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6660" w:type="dxa"/>
            <w:vAlign w:val="bottom"/>
            <w:gridSpan w:val="4"/>
          </w:tcPr>
          <w:p>
            <w:pPr>
              <w:jc w:val="right"/>
              <w:ind w:right="4468"/>
              <w:spacing w:after="0"/>
              <w:rPr>
                <w:sz w:val="20"/>
                <w:szCs w:val="20"/>
                <w:color w:val="auto"/>
              </w:rPr>
            </w:pPr>
            <w:r>
              <w:rPr>
                <w:rFonts w:ascii="Arial" w:cs="Arial" w:eastAsia="Arial" w:hAnsi="Arial"/>
                <w:sz w:val="18"/>
                <w:szCs w:val="18"/>
                <w:color w:val="auto"/>
              </w:rPr>
              <w:t>TABLE OF CONTENTS</w:t>
            </w:r>
          </w:p>
        </w:tc>
      </w:tr>
      <w:tr>
        <w:trPr>
          <w:trHeight w:val="480"/>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18"/>
        </w:trPr>
        <w:tc>
          <w:tcPr>
            <w:tcW w:w="18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4120" w:type="dxa"/>
            <w:vAlign w:val="bottom"/>
            <w:gridSpan w:val="2"/>
          </w:tcPr>
          <w:p>
            <w:pPr>
              <w:ind w:left="220"/>
              <w:spacing w:after="0"/>
              <w:rPr>
                <w:sz w:val="20"/>
                <w:szCs w:val="20"/>
                <w:color w:val="auto"/>
              </w:rPr>
            </w:pPr>
            <w:r>
              <w:rPr>
                <w:rFonts w:ascii="Arial" w:cs="Arial" w:eastAsia="Arial" w:hAnsi="Arial"/>
                <w:sz w:val="18"/>
                <w:szCs w:val="18"/>
                <w:color w:val="auto"/>
              </w:rPr>
              <w:t>Definitions</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4120" w:type="dxa"/>
            <w:vAlign w:val="bottom"/>
            <w:gridSpan w:val="2"/>
          </w:tcPr>
          <w:p>
            <w:pPr>
              <w:ind w:left="220"/>
              <w:spacing w:after="0"/>
              <w:rPr>
                <w:sz w:val="20"/>
                <w:szCs w:val="20"/>
                <w:color w:val="auto"/>
              </w:rPr>
            </w:pPr>
            <w:r>
              <w:rPr>
                <w:rFonts w:ascii="Arial" w:cs="Arial" w:eastAsia="Arial" w:hAnsi="Arial"/>
                <w:sz w:val="18"/>
                <w:szCs w:val="18"/>
                <w:color w:val="auto"/>
              </w:rPr>
              <w:t>Registration Rights</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2.1</w:t>
            </w:r>
          </w:p>
        </w:tc>
        <w:tc>
          <w:tcPr>
            <w:tcW w:w="3700" w:type="dxa"/>
            <w:vAlign w:val="bottom"/>
          </w:tcPr>
          <w:p>
            <w:pPr>
              <w:ind w:left="60"/>
              <w:spacing w:after="0"/>
              <w:rPr>
                <w:sz w:val="20"/>
                <w:szCs w:val="20"/>
                <w:color w:val="auto"/>
              </w:rPr>
            </w:pPr>
            <w:r>
              <w:rPr>
                <w:rFonts w:ascii="Arial" w:cs="Arial" w:eastAsia="Arial" w:hAnsi="Arial"/>
                <w:sz w:val="18"/>
                <w:szCs w:val="18"/>
                <w:color w:val="auto"/>
              </w:rPr>
              <w:t>Demand Registration</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2.2</w:t>
            </w:r>
          </w:p>
        </w:tc>
        <w:tc>
          <w:tcPr>
            <w:tcW w:w="3700" w:type="dxa"/>
            <w:vAlign w:val="bottom"/>
          </w:tcPr>
          <w:p>
            <w:pPr>
              <w:ind w:left="60"/>
              <w:spacing w:after="0"/>
              <w:rPr>
                <w:sz w:val="20"/>
                <w:szCs w:val="20"/>
                <w:color w:val="auto"/>
              </w:rPr>
            </w:pPr>
            <w:r>
              <w:rPr>
                <w:rFonts w:ascii="Arial" w:cs="Arial" w:eastAsia="Arial" w:hAnsi="Arial"/>
                <w:sz w:val="18"/>
                <w:szCs w:val="18"/>
                <w:color w:val="auto"/>
              </w:rPr>
              <w:t>Company Registration</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2.3</w:t>
            </w:r>
          </w:p>
        </w:tc>
        <w:tc>
          <w:tcPr>
            <w:tcW w:w="3700" w:type="dxa"/>
            <w:vAlign w:val="bottom"/>
          </w:tcPr>
          <w:p>
            <w:pPr>
              <w:ind w:left="60"/>
              <w:spacing w:after="0"/>
              <w:rPr>
                <w:sz w:val="20"/>
                <w:szCs w:val="20"/>
                <w:color w:val="auto"/>
              </w:rPr>
            </w:pPr>
            <w:r>
              <w:rPr>
                <w:rFonts w:ascii="Arial" w:cs="Arial" w:eastAsia="Arial" w:hAnsi="Arial"/>
                <w:sz w:val="18"/>
                <w:szCs w:val="18"/>
                <w:color w:val="auto"/>
              </w:rPr>
              <w:t>Underwriting Requirements</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2.4</w:t>
            </w:r>
          </w:p>
        </w:tc>
        <w:tc>
          <w:tcPr>
            <w:tcW w:w="3700" w:type="dxa"/>
            <w:vAlign w:val="bottom"/>
          </w:tcPr>
          <w:p>
            <w:pPr>
              <w:ind w:left="60"/>
              <w:spacing w:after="0"/>
              <w:rPr>
                <w:sz w:val="20"/>
                <w:szCs w:val="20"/>
                <w:color w:val="auto"/>
              </w:rPr>
            </w:pPr>
            <w:r>
              <w:rPr>
                <w:rFonts w:ascii="Arial" w:cs="Arial" w:eastAsia="Arial" w:hAnsi="Arial"/>
                <w:sz w:val="18"/>
                <w:szCs w:val="18"/>
                <w:color w:val="auto"/>
              </w:rPr>
              <w:t>Obligations of the Company</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2.5</w:t>
            </w:r>
          </w:p>
        </w:tc>
        <w:tc>
          <w:tcPr>
            <w:tcW w:w="3700" w:type="dxa"/>
            <w:vAlign w:val="bottom"/>
          </w:tcPr>
          <w:p>
            <w:pPr>
              <w:ind w:left="60"/>
              <w:spacing w:after="0"/>
              <w:rPr>
                <w:sz w:val="20"/>
                <w:szCs w:val="20"/>
                <w:color w:val="auto"/>
              </w:rPr>
            </w:pPr>
            <w:r>
              <w:rPr>
                <w:rFonts w:ascii="Arial" w:cs="Arial" w:eastAsia="Arial" w:hAnsi="Arial"/>
                <w:sz w:val="18"/>
                <w:szCs w:val="18"/>
                <w:color w:val="auto"/>
              </w:rPr>
              <w:t>Furnish Information</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2.6</w:t>
            </w:r>
          </w:p>
        </w:tc>
        <w:tc>
          <w:tcPr>
            <w:tcW w:w="3700" w:type="dxa"/>
            <w:vAlign w:val="bottom"/>
          </w:tcPr>
          <w:p>
            <w:pPr>
              <w:ind w:left="60"/>
              <w:spacing w:after="0"/>
              <w:rPr>
                <w:sz w:val="20"/>
                <w:szCs w:val="20"/>
                <w:color w:val="auto"/>
              </w:rPr>
            </w:pPr>
            <w:r>
              <w:rPr>
                <w:rFonts w:ascii="Arial" w:cs="Arial" w:eastAsia="Arial" w:hAnsi="Arial"/>
                <w:sz w:val="18"/>
                <w:szCs w:val="18"/>
                <w:color w:val="auto"/>
              </w:rPr>
              <w:t>Expenses of Registration</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2.7</w:t>
            </w:r>
          </w:p>
        </w:tc>
        <w:tc>
          <w:tcPr>
            <w:tcW w:w="3700" w:type="dxa"/>
            <w:vAlign w:val="bottom"/>
          </w:tcPr>
          <w:p>
            <w:pPr>
              <w:ind w:left="60"/>
              <w:spacing w:after="0"/>
              <w:rPr>
                <w:sz w:val="20"/>
                <w:szCs w:val="20"/>
                <w:color w:val="auto"/>
              </w:rPr>
            </w:pPr>
            <w:r>
              <w:rPr>
                <w:rFonts w:ascii="Arial" w:cs="Arial" w:eastAsia="Arial" w:hAnsi="Arial"/>
                <w:sz w:val="18"/>
                <w:szCs w:val="18"/>
                <w:color w:val="auto"/>
              </w:rPr>
              <w:t>Delay of Registration</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2.8</w:t>
            </w:r>
          </w:p>
        </w:tc>
        <w:tc>
          <w:tcPr>
            <w:tcW w:w="370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2.9</w:t>
            </w:r>
          </w:p>
        </w:tc>
        <w:tc>
          <w:tcPr>
            <w:tcW w:w="3700" w:type="dxa"/>
            <w:vAlign w:val="bottom"/>
          </w:tcPr>
          <w:p>
            <w:pPr>
              <w:ind w:left="60"/>
              <w:spacing w:after="0"/>
              <w:rPr>
                <w:sz w:val="20"/>
                <w:szCs w:val="20"/>
                <w:color w:val="auto"/>
              </w:rPr>
            </w:pPr>
            <w:r>
              <w:rPr>
                <w:rFonts w:ascii="Arial" w:cs="Arial" w:eastAsia="Arial" w:hAnsi="Arial"/>
                <w:sz w:val="18"/>
                <w:szCs w:val="18"/>
                <w:color w:val="auto"/>
              </w:rPr>
              <w:t>Reports Under Exchange Act</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2.10</w:t>
            </w:r>
          </w:p>
        </w:tc>
        <w:tc>
          <w:tcPr>
            <w:tcW w:w="3700" w:type="dxa"/>
            <w:vAlign w:val="bottom"/>
          </w:tcPr>
          <w:p>
            <w:pPr>
              <w:ind w:left="60"/>
              <w:spacing w:after="0"/>
              <w:rPr>
                <w:sz w:val="20"/>
                <w:szCs w:val="20"/>
                <w:color w:val="auto"/>
              </w:rPr>
            </w:pPr>
            <w:r>
              <w:rPr>
                <w:rFonts w:ascii="Arial" w:cs="Arial" w:eastAsia="Arial" w:hAnsi="Arial"/>
                <w:sz w:val="18"/>
                <w:szCs w:val="18"/>
                <w:color w:val="auto"/>
                <w:w w:val="98"/>
              </w:rPr>
              <w:t>Limitations on Subsequent Registration Rights</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2.11</w:t>
            </w:r>
          </w:p>
        </w:tc>
        <w:tc>
          <w:tcPr>
            <w:tcW w:w="3700" w:type="dxa"/>
            <w:vAlign w:val="bottom"/>
          </w:tcPr>
          <w:p>
            <w:pPr>
              <w:ind w:left="60"/>
              <w:spacing w:after="0"/>
              <w:rPr>
                <w:sz w:val="20"/>
                <w:szCs w:val="20"/>
                <w:color w:val="auto"/>
              </w:rPr>
            </w:pPr>
            <w:r>
              <w:rPr>
                <w:rFonts w:ascii="Arial" w:cs="Arial" w:eastAsia="Arial" w:hAnsi="Arial"/>
                <w:sz w:val="18"/>
                <w:szCs w:val="18"/>
                <w:color w:val="auto"/>
              </w:rPr>
              <w:t>“Market Stand-off” Agreement</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2.12</w:t>
            </w:r>
          </w:p>
        </w:tc>
        <w:tc>
          <w:tcPr>
            <w:tcW w:w="3700" w:type="dxa"/>
            <w:vAlign w:val="bottom"/>
          </w:tcPr>
          <w:p>
            <w:pPr>
              <w:ind w:left="60"/>
              <w:spacing w:after="0"/>
              <w:rPr>
                <w:sz w:val="20"/>
                <w:szCs w:val="20"/>
                <w:color w:val="auto"/>
              </w:rPr>
            </w:pPr>
            <w:r>
              <w:rPr>
                <w:rFonts w:ascii="Arial" w:cs="Arial" w:eastAsia="Arial" w:hAnsi="Arial"/>
                <w:sz w:val="18"/>
                <w:szCs w:val="18"/>
                <w:color w:val="auto"/>
              </w:rPr>
              <w:t>Restrictions on Transfer</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2.13</w:t>
            </w:r>
          </w:p>
        </w:tc>
        <w:tc>
          <w:tcPr>
            <w:tcW w:w="3700" w:type="dxa"/>
            <w:vAlign w:val="bottom"/>
          </w:tcPr>
          <w:p>
            <w:pPr>
              <w:ind w:left="60"/>
              <w:spacing w:after="0"/>
              <w:rPr>
                <w:sz w:val="20"/>
                <w:szCs w:val="20"/>
                <w:color w:val="auto"/>
              </w:rPr>
            </w:pPr>
            <w:r>
              <w:rPr>
                <w:rFonts w:ascii="Arial" w:cs="Arial" w:eastAsia="Arial" w:hAnsi="Arial"/>
                <w:sz w:val="18"/>
                <w:szCs w:val="18"/>
                <w:color w:val="auto"/>
              </w:rPr>
              <w:t>Termination of Registration Rights</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20</w:t>
            </w:r>
          </w:p>
        </w:tc>
      </w:tr>
      <w:tr>
        <w:trPr>
          <w:trHeight w:val="338"/>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4120" w:type="dxa"/>
            <w:vAlign w:val="bottom"/>
            <w:gridSpan w:val="2"/>
          </w:tcPr>
          <w:p>
            <w:pPr>
              <w:ind w:left="220"/>
              <w:spacing w:after="0"/>
              <w:rPr>
                <w:sz w:val="20"/>
                <w:szCs w:val="20"/>
                <w:color w:val="auto"/>
              </w:rPr>
            </w:pPr>
            <w:r>
              <w:rPr>
                <w:rFonts w:ascii="Arial" w:cs="Arial" w:eastAsia="Arial" w:hAnsi="Arial"/>
                <w:sz w:val="18"/>
                <w:szCs w:val="18"/>
                <w:color w:val="auto"/>
              </w:rPr>
              <w:t>Information Rights</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3.1</w:t>
            </w:r>
          </w:p>
        </w:tc>
        <w:tc>
          <w:tcPr>
            <w:tcW w:w="3700" w:type="dxa"/>
            <w:vAlign w:val="bottom"/>
          </w:tcPr>
          <w:p>
            <w:pPr>
              <w:ind w:left="60"/>
              <w:spacing w:after="0"/>
              <w:rPr>
                <w:sz w:val="20"/>
                <w:szCs w:val="20"/>
                <w:color w:val="auto"/>
              </w:rPr>
            </w:pPr>
            <w:r>
              <w:rPr>
                <w:rFonts w:ascii="Arial" w:cs="Arial" w:eastAsia="Arial" w:hAnsi="Arial"/>
                <w:sz w:val="18"/>
                <w:szCs w:val="18"/>
                <w:color w:val="auto"/>
              </w:rPr>
              <w:t>Delivery of Financial Statements</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21</w:t>
            </w:r>
          </w:p>
        </w:tc>
      </w:tr>
      <w:tr>
        <w:trPr>
          <w:trHeight w:val="338"/>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3.2</w:t>
            </w:r>
          </w:p>
        </w:tc>
        <w:tc>
          <w:tcPr>
            <w:tcW w:w="3700" w:type="dxa"/>
            <w:vAlign w:val="bottom"/>
          </w:tcPr>
          <w:p>
            <w:pPr>
              <w:ind w:left="60"/>
              <w:spacing w:after="0"/>
              <w:rPr>
                <w:sz w:val="20"/>
                <w:szCs w:val="20"/>
                <w:color w:val="auto"/>
              </w:rPr>
            </w:pPr>
            <w:r>
              <w:rPr>
                <w:rFonts w:ascii="Arial" w:cs="Arial" w:eastAsia="Arial" w:hAnsi="Arial"/>
                <w:sz w:val="18"/>
                <w:szCs w:val="18"/>
                <w:color w:val="auto"/>
              </w:rPr>
              <w:t>Inspection</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3.3</w:t>
            </w:r>
          </w:p>
        </w:tc>
        <w:tc>
          <w:tcPr>
            <w:tcW w:w="3700" w:type="dxa"/>
            <w:vAlign w:val="bottom"/>
          </w:tcPr>
          <w:p>
            <w:pPr>
              <w:ind w:left="60"/>
              <w:spacing w:after="0"/>
              <w:rPr>
                <w:sz w:val="20"/>
                <w:szCs w:val="20"/>
                <w:color w:val="auto"/>
              </w:rPr>
            </w:pPr>
            <w:r>
              <w:rPr>
                <w:rFonts w:ascii="Arial" w:cs="Arial" w:eastAsia="Arial" w:hAnsi="Arial"/>
                <w:sz w:val="18"/>
                <w:szCs w:val="18"/>
                <w:color w:val="auto"/>
              </w:rPr>
              <w:t>Termination of Information</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23</w:t>
            </w:r>
          </w:p>
        </w:tc>
      </w:tr>
      <w:tr>
        <w:trPr>
          <w:trHeight w:val="338"/>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3.4</w:t>
            </w:r>
          </w:p>
        </w:tc>
        <w:tc>
          <w:tcPr>
            <w:tcW w:w="370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23</w:t>
            </w:r>
          </w:p>
        </w:tc>
      </w:tr>
      <w:tr>
        <w:trPr>
          <w:trHeight w:val="338"/>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4120" w:type="dxa"/>
            <w:vAlign w:val="bottom"/>
            <w:gridSpan w:val="2"/>
          </w:tcPr>
          <w:p>
            <w:pPr>
              <w:ind w:left="220"/>
              <w:spacing w:after="0"/>
              <w:rPr>
                <w:sz w:val="20"/>
                <w:szCs w:val="20"/>
                <w:color w:val="auto"/>
              </w:rPr>
            </w:pPr>
            <w:r>
              <w:rPr>
                <w:rFonts w:ascii="Arial" w:cs="Arial" w:eastAsia="Arial" w:hAnsi="Arial"/>
                <w:sz w:val="18"/>
                <w:szCs w:val="18"/>
                <w:color w:val="auto"/>
              </w:rPr>
              <w:t>Rights to Future Stock Issuances</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4.1</w:t>
            </w:r>
          </w:p>
        </w:tc>
        <w:tc>
          <w:tcPr>
            <w:tcW w:w="3700" w:type="dxa"/>
            <w:vAlign w:val="bottom"/>
          </w:tcPr>
          <w:p>
            <w:pPr>
              <w:ind w:left="60"/>
              <w:spacing w:after="0"/>
              <w:rPr>
                <w:sz w:val="20"/>
                <w:szCs w:val="20"/>
                <w:color w:val="auto"/>
              </w:rPr>
            </w:pPr>
            <w:r>
              <w:rPr>
                <w:rFonts w:ascii="Arial" w:cs="Arial" w:eastAsia="Arial" w:hAnsi="Arial"/>
                <w:sz w:val="18"/>
                <w:szCs w:val="18"/>
                <w:color w:val="auto"/>
              </w:rPr>
              <w:t>Right of First Offer</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24</w:t>
            </w:r>
          </w:p>
        </w:tc>
      </w:tr>
      <w:tr>
        <w:trPr>
          <w:trHeight w:val="338"/>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4.2</w:t>
            </w:r>
          </w:p>
        </w:tc>
        <w:tc>
          <w:tcPr>
            <w:tcW w:w="370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26</w:t>
            </w:r>
          </w:p>
        </w:tc>
      </w:tr>
      <w:tr>
        <w:trPr>
          <w:trHeight w:val="338"/>
        </w:trPr>
        <w:tc>
          <w:tcPr>
            <w:tcW w:w="18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4120" w:type="dxa"/>
            <w:vAlign w:val="bottom"/>
            <w:gridSpan w:val="2"/>
          </w:tcPr>
          <w:p>
            <w:pPr>
              <w:ind w:left="220"/>
              <w:spacing w:after="0"/>
              <w:rPr>
                <w:sz w:val="20"/>
                <w:szCs w:val="20"/>
                <w:color w:val="auto"/>
              </w:rPr>
            </w:pPr>
            <w:r>
              <w:rPr>
                <w:rFonts w:ascii="Arial" w:cs="Arial" w:eastAsia="Arial" w:hAnsi="Arial"/>
                <w:sz w:val="18"/>
                <w:szCs w:val="18"/>
                <w:color w:val="auto"/>
              </w:rPr>
              <w:t>Additional Covenants</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5.1</w:t>
            </w:r>
          </w:p>
        </w:tc>
        <w:tc>
          <w:tcPr>
            <w:tcW w:w="3700" w:type="dxa"/>
            <w:vAlign w:val="bottom"/>
          </w:tcPr>
          <w:p>
            <w:pPr>
              <w:ind w:left="60"/>
              <w:spacing w:after="0"/>
              <w:rPr>
                <w:sz w:val="20"/>
                <w:szCs w:val="20"/>
                <w:color w:val="auto"/>
              </w:rPr>
            </w:pPr>
            <w:r>
              <w:rPr>
                <w:rFonts w:ascii="Arial" w:cs="Arial" w:eastAsia="Arial" w:hAnsi="Arial"/>
                <w:sz w:val="18"/>
                <w:szCs w:val="18"/>
                <w:color w:val="auto"/>
              </w:rPr>
              <w:t>Insurance</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5.2</w:t>
            </w:r>
          </w:p>
        </w:tc>
        <w:tc>
          <w:tcPr>
            <w:tcW w:w="3700" w:type="dxa"/>
            <w:vAlign w:val="bottom"/>
          </w:tcPr>
          <w:p>
            <w:pPr>
              <w:ind w:left="60"/>
              <w:spacing w:after="0"/>
              <w:rPr>
                <w:sz w:val="20"/>
                <w:szCs w:val="20"/>
                <w:color w:val="auto"/>
              </w:rPr>
            </w:pPr>
            <w:r>
              <w:rPr>
                <w:rFonts w:ascii="Arial" w:cs="Arial" w:eastAsia="Arial" w:hAnsi="Arial"/>
                <w:sz w:val="18"/>
                <w:szCs w:val="18"/>
                <w:color w:val="auto"/>
              </w:rPr>
              <w:t>Employee Agreements</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5.3</w:t>
            </w:r>
          </w:p>
        </w:tc>
        <w:tc>
          <w:tcPr>
            <w:tcW w:w="3700" w:type="dxa"/>
            <w:vAlign w:val="bottom"/>
          </w:tcPr>
          <w:p>
            <w:pPr>
              <w:ind w:left="60"/>
              <w:spacing w:after="0"/>
              <w:rPr>
                <w:sz w:val="20"/>
                <w:szCs w:val="20"/>
                <w:color w:val="auto"/>
              </w:rPr>
            </w:pPr>
            <w:r>
              <w:rPr>
                <w:rFonts w:ascii="Arial" w:cs="Arial" w:eastAsia="Arial" w:hAnsi="Arial"/>
                <w:sz w:val="18"/>
                <w:szCs w:val="18"/>
                <w:color w:val="auto"/>
              </w:rPr>
              <w:t>Employee Stock</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5.4</w:t>
            </w:r>
          </w:p>
        </w:tc>
        <w:tc>
          <w:tcPr>
            <w:tcW w:w="3700" w:type="dxa"/>
            <w:vAlign w:val="bottom"/>
          </w:tcPr>
          <w:p>
            <w:pPr>
              <w:ind w:left="60"/>
              <w:spacing w:after="0"/>
              <w:rPr>
                <w:sz w:val="20"/>
                <w:szCs w:val="20"/>
                <w:color w:val="auto"/>
              </w:rPr>
            </w:pPr>
            <w:r>
              <w:rPr>
                <w:rFonts w:ascii="Arial" w:cs="Arial" w:eastAsia="Arial" w:hAnsi="Arial"/>
                <w:sz w:val="18"/>
                <w:szCs w:val="18"/>
                <w:color w:val="auto"/>
              </w:rPr>
              <w:t>[Reserved.]</w:t>
            </w: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5.5</w:t>
            </w:r>
          </w:p>
        </w:tc>
        <w:tc>
          <w:tcPr>
            <w:tcW w:w="3700" w:type="dxa"/>
            <w:vAlign w:val="bottom"/>
          </w:tcPr>
          <w:p>
            <w:pPr>
              <w:ind w:left="60"/>
              <w:spacing w:after="0"/>
              <w:rPr>
                <w:sz w:val="20"/>
                <w:szCs w:val="20"/>
                <w:color w:val="auto"/>
              </w:rPr>
            </w:pPr>
            <w:r>
              <w:rPr>
                <w:rFonts w:ascii="Arial" w:cs="Arial" w:eastAsia="Arial" w:hAnsi="Arial"/>
                <w:sz w:val="18"/>
                <w:szCs w:val="18"/>
                <w:color w:val="auto"/>
              </w:rPr>
              <w:t>Board Matters</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5.6</w:t>
            </w:r>
          </w:p>
        </w:tc>
        <w:tc>
          <w:tcPr>
            <w:tcW w:w="3700" w:type="dxa"/>
            <w:vAlign w:val="bottom"/>
          </w:tcPr>
          <w:p>
            <w:pPr>
              <w:ind w:left="60"/>
              <w:spacing w:after="0"/>
              <w:rPr>
                <w:sz w:val="20"/>
                <w:szCs w:val="20"/>
                <w:color w:val="auto"/>
              </w:rPr>
            </w:pPr>
            <w:r>
              <w:rPr>
                <w:rFonts w:ascii="Arial" w:cs="Arial" w:eastAsia="Arial" w:hAnsi="Arial"/>
                <w:sz w:val="18"/>
                <w:szCs w:val="18"/>
                <w:color w:val="auto"/>
              </w:rPr>
              <w:t>Successor Indemnification</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5.7</w:t>
            </w:r>
          </w:p>
        </w:tc>
        <w:tc>
          <w:tcPr>
            <w:tcW w:w="3700" w:type="dxa"/>
            <w:vAlign w:val="bottom"/>
          </w:tcPr>
          <w:p>
            <w:pPr>
              <w:ind w:left="60"/>
              <w:spacing w:after="0"/>
              <w:rPr>
                <w:sz w:val="20"/>
                <w:szCs w:val="20"/>
                <w:color w:val="auto"/>
              </w:rPr>
            </w:pPr>
            <w:r>
              <w:rPr>
                <w:rFonts w:ascii="Arial" w:cs="Arial" w:eastAsia="Arial" w:hAnsi="Arial"/>
                <w:sz w:val="18"/>
                <w:szCs w:val="18"/>
                <w:color w:val="auto"/>
              </w:rPr>
              <w:t>Observation Rights</w:t>
            </w:r>
          </w:p>
        </w:tc>
        <w:tc>
          <w:tcPr>
            <w:tcW w:w="6660" w:type="dxa"/>
            <w:vAlign w:val="bottom"/>
            <w:gridSpan w:val="4"/>
          </w:tcPr>
          <w:p>
            <w:pPr>
              <w:jc w:val="right"/>
              <w:spacing w:after="0"/>
              <w:rPr>
                <w:sz w:val="20"/>
                <w:szCs w:val="20"/>
                <w:color w:val="auto"/>
              </w:rPr>
            </w:pPr>
            <w:r>
              <w:rPr>
                <w:rFonts w:ascii="Arial" w:cs="Arial" w:eastAsia="Arial" w:hAnsi="Arial"/>
                <w:sz w:val="18"/>
                <w:szCs w:val="18"/>
                <w:color w:val="auto"/>
              </w:rPr>
              <w:t>28</w:t>
            </w:r>
          </w:p>
        </w:tc>
      </w:tr>
      <w:tr>
        <w:trPr>
          <w:trHeight w:val="365"/>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60" w:type="dxa"/>
            <w:vAlign w:val="bottom"/>
            <w:gridSpan w:val="3"/>
          </w:tcPr>
          <w:p>
            <w:pPr>
              <w:jc w:val="right"/>
              <w:ind w:right="5248"/>
              <w:spacing w:after="0"/>
              <w:rPr>
                <w:sz w:val="20"/>
                <w:szCs w:val="20"/>
                <w:color w:val="auto"/>
              </w:rPr>
            </w:pPr>
            <w:r>
              <w:rPr>
                <w:rFonts w:ascii="Arial" w:cs="Arial" w:eastAsia="Arial" w:hAnsi="Arial"/>
                <w:sz w:val="18"/>
                <w:szCs w:val="18"/>
                <w:color w:val="auto"/>
              </w:rPr>
              <w:t>- i -</w:t>
            </w:r>
          </w:p>
        </w:tc>
      </w:tr>
    </w:tbl>
    <w:p>
      <w:pPr>
        <w:jc w:val="right"/>
        <w:ind w:right="5248"/>
        <w:spacing w:after="0"/>
        <w:rPr>
          <w:sz w:val="20"/>
          <w:szCs w:val="20"/>
          <w:color w:val="auto"/>
        </w:rPr>
        <w:sectPr>
          <w:pgSz w:w="11900" w:h="16838" w:orient="portrait"/>
          <w:cols w:equalWidth="0" w:num="1">
            <w:col w:w="10960"/>
          </w:cols>
          <w:pgMar w:left="440" w:top="25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30" w:name="page431"/>
    <w:bookmarkEnd w:id="430"/>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5.8</w:t>
            </w:r>
          </w:p>
        </w:tc>
        <w:tc>
          <w:tcPr>
            <w:tcW w:w="6900" w:type="dxa"/>
            <w:vAlign w:val="bottom"/>
          </w:tcPr>
          <w:p>
            <w:pPr>
              <w:ind w:left="60"/>
              <w:spacing w:after="0"/>
              <w:rPr>
                <w:sz w:val="20"/>
                <w:szCs w:val="20"/>
                <w:color w:val="auto"/>
              </w:rPr>
            </w:pPr>
            <w:r>
              <w:rPr>
                <w:rFonts w:ascii="Arial" w:cs="Arial" w:eastAsia="Arial" w:hAnsi="Arial"/>
                <w:sz w:val="18"/>
                <w:szCs w:val="18"/>
                <w:color w:val="auto"/>
              </w:rPr>
              <w:t>Notice of Licensing</w:t>
            </w:r>
          </w:p>
        </w:tc>
        <w:tc>
          <w:tcPr>
            <w:tcW w:w="3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5.9</w:t>
            </w:r>
          </w:p>
        </w:tc>
        <w:tc>
          <w:tcPr>
            <w:tcW w:w="6900" w:type="dxa"/>
            <w:vAlign w:val="bottom"/>
          </w:tcPr>
          <w:p>
            <w:pPr>
              <w:ind w:left="60"/>
              <w:spacing w:after="0"/>
              <w:rPr>
                <w:sz w:val="20"/>
                <w:szCs w:val="20"/>
                <w:color w:val="auto"/>
              </w:rPr>
            </w:pPr>
            <w:r>
              <w:rPr>
                <w:rFonts w:ascii="Arial" w:cs="Arial" w:eastAsia="Arial" w:hAnsi="Arial"/>
                <w:sz w:val="18"/>
                <w:szCs w:val="18"/>
                <w:color w:val="auto"/>
              </w:rPr>
              <w:t>FCPA</w:t>
            </w:r>
          </w:p>
        </w:tc>
        <w:tc>
          <w:tcPr>
            <w:tcW w:w="3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5.10</w:t>
            </w:r>
          </w:p>
        </w:tc>
        <w:tc>
          <w:tcPr>
            <w:tcW w:w="6900" w:type="dxa"/>
            <w:vAlign w:val="bottom"/>
          </w:tcPr>
          <w:p>
            <w:pPr>
              <w:ind w:left="60"/>
              <w:spacing w:after="0"/>
              <w:rPr>
                <w:sz w:val="20"/>
                <w:szCs w:val="20"/>
                <w:color w:val="auto"/>
              </w:rPr>
            </w:pPr>
            <w:r>
              <w:rPr>
                <w:rFonts w:ascii="Arial" w:cs="Arial" w:eastAsia="Arial" w:hAnsi="Arial"/>
                <w:sz w:val="18"/>
                <w:szCs w:val="18"/>
                <w:color w:val="auto"/>
              </w:rPr>
              <w:t>Notification of Certain Events</w:t>
            </w:r>
          </w:p>
        </w:tc>
        <w:tc>
          <w:tcPr>
            <w:tcW w:w="3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5.11</w:t>
            </w:r>
          </w:p>
        </w:tc>
        <w:tc>
          <w:tcPr>
            <w:tcW w:w="6900" w:type="dxa"/>
            <w:vAlign w:val="bottom"/>
          </w:tcPr>
          <w:p>
            <w:pPr>
              <w:ind w:left="60"/>
              <w:spacing w:after="0"/>
              <w:rPr>
                <w:sz w:val="20"/>
                <w:szCs w:val="20"/>
                <w:color w:val="auto"/>
              </w:rPr>
            </w:pPr>
            <w:r>
              <w:rPr>
                <w:rFonts w:ascii="Arial" w:cs="Arial" w:eastAsia="Arial" w:hAnsi="Arial"/>
                <w:sz w:val="18"/>
                <w:szCs w:val="18"/>
                <w:color w:val="auto"/>
              </w:rPr>
              <w:t>Termination of Covenants</w:t>
            </w:r>
          </w:p>
        </w:tc>
        <w:tc>
          <w:tcPr>
            <w:tcW w:w="3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5.12</w:t>
            </w:r>
          </w:p>
        </w:tc>
        <w:tc>
          <w:tcPr>
            <w:tcW w:w="6900" w:type="dxa"/>
            <w:vAlign w:val="bottom"/>
          </w:tcPr>
          <w:p>
            <w:pPr>
              <w:ind w:left="60"/>
              <w:spacing w:after="0"/>
              <w:rPr>
                <w:sz w:val="20"/>
                <w:szCs w:val="20"/>
                <w:color w:val="auto"/>
              </w:rPr>
            </w:pPr>
            <w:r>
              <w:rPr>
                <w:rFonts w:ascii="Arial" w:cs="Arial" w:eastAsia="Arial" w:hAnsi="Arial"/>
                <w:sz w:val="18"/>
                <w:szCs w:val="18"/>
                <w:color w:val="auto"/>
              </w:rPr>
              <w:t>Regulated Investor Restructuring</w:t>
            </w:r>
          </w:p>
        </w:tc>
        <w:tc>
          <w:tcPr>
            <w:tcW w:w="3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5.13</w:t>
            </w:r>
          </w:p>
        </w:tc>
        <w:tc>
          <w:tcPr>
            <w:tcW w:w="6900" w:type="dxa"/>
            <w:vAlign w:val="bottom"/>
          </w:tcPr>
          <w:p>
            <w:pPr>
              <w:ind w:left="60"/>
              <w:spacing w:after="0"/>
              <w:rPr>
                <w:sz w:val="20"/>
                <w:szCs w:val="20"/>
                <w:color w:val="auto"/>
              </w:rPr>
            </w:pPr>
            <w:r>
              <w:rPr>
                <w:rFonts w:ascii="Arial" w:cs="Arial" w:eastAsia="Arial" w:hAnsi="Arial"/>
                <w:sz w:val="18"/>
                <w:szCs w:val="18"/>
                <w:color w:val="auto"/>
              </w:rPr>
              <w:t>Right to Conduct Activities; Disclaimer of Duties</w:t>
            </w:r>
          </w:p>
        </w:tc>
        <w:tc>
          <w:tcPr>
            <w:tcW w:w="3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5.14</w:t>
            </w:r>
          </w:p>
        </w:tc>
        <w:tc>
          <w:tcPr>
            <w:tcW w:w="6900" w:type="dxa"/>
            <w:vAlign w:val="bottom"/>
          </w:tcPr>
          <w:p>
            <w:pPr>
              <w:ind w:left="60"/>
              <w:spacing w:after="0"/>
              <w:rPr>
                <w:sz w:val="20"/>
                <w:szCs w:val="20"/>
                <w:color w:val="auto"/>
              </w:rPr>
            </w:pPr>
            <w:r>
              <w:rPr>
                <w:rFonts w:ascii="Arial" w:cs="Arial" w:eastAsia="Arial" w:hAnsi="Arial"/>
                <w:sz w:val="18"/>
                <w:szCs w:val="18"/>
                <w:color w:val="auto"/>
              </w:rPr>
              <w:t>Other Regulated Investor Matters</w:t>
            </w:r>
          </w:p>
        </w:tc>
        <w:tc>
          <w:tcPr>
            <w:tcW w:w="3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8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rPr>
              <w:t>Miscellaneous</w:t>
            </w:r>
          </w:p>
        </w:tc>
        <w:tc>
          <w:tcPr>
            <w:tcW w:w="3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6.1</w:t>
            </w:r>
          </w:p>
        </w:tc>
        <w:tc>
          <w:tcPr>
            <w:tcW w:w="690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3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6.2</w:t>
            </w:r>
          </w:p>
        </w:tc>
        <w:tc>
          <w:tcPr>
            <w:tcW w:w="690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3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6.3</w:t>
            </w:r>
          </w:p>
        </w:tc>
        <w:tc>
          <w:tcPr>
            <w:tcW w:w="690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3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6.4</w:t>
            </w:r>
          </w:p>
        </w:tc>
        <w:tc>
          <w:tcPr>
            <w:tcW w:w="6900" w:type="dxa"/>
            <w:vAlign w:val="bottom"/>
          </w:tcPr>
          <w:p>
            <w:pPr>
              <w:ind w:left="60"/>
              <w:spacing w:after="0"/>
              <w:rPr>
                <w:sz w:val="20"/>
                <w:szCs w:val="20"/>
                <w:color w:val="auto"/>
              </w:rPr>
            </w:pPr>
            <w:r>
              <w:rPr>
                <w:rFonts w:ascii="Arial" w:cs="Arial" w:eastAsia="Arial" w:hAnsi="Arial"/>
                <w:sz w:val="18"/>
                <w:szCs w:val="18"/>
                <w:color w:val="auto"/>
              </w:rPr>
              <w:t>Titles and Subtitles</w:t>
            </w:r>
          </w:p>
        </w:tc>
        <w:tc>
          <w:tcPr>
            <w:tcW w:w="3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6.5</w:t>
            </w:r>
          </w:p>
        </w:tc>
        <w:tc>
          <w:tcPr>
            <w:tcW w:w="6900" w:type="dxa"/>
            <w:vAlign w:val="bottom"/>
          </w:tcPr>
          <w:p>
            <w:pPr>
              <w:ind w:left="60"/>
              <w:spacing w:after="0"/>
              <w:rPr>
                <w:sz w:val="20"/>
                <w:szCs w:val="20"/>
                <w:color w:val="auto"/>
              </w:rPr>
            </w:pPr>
            <w:r>
              <w:rPr>
                <w:rFonts w:ascii="Arial" w:cs="Arial" w:eastAsia="Arial" w:hAnsi="Arial"/>
                <w:sz w:val="18"/>
                <w:szCs w:val="18"/>
                <w:color w:val="auto"/>
              </w:rPr>
              <w:t>Notices</w:t>
            </w:r>
          </w:p>
        </w:tc>
        <w:tc>
          <w:tcPr>
            <w:tcW w:w="3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6.6</w:t>
            </w:r>
          </w:p>
        </w:tc>
        <w:tc>
          <w:tcPr>
            <w:tcW w:w="6900" w:type="dxa"/>
            <w:vAlign w:val="bottom"/>
          </w:tcPr>
          <w:p>
            <w:pPr>
              <w:ind w:left="60"/>
              <w:spacing w:after="0"/>
              <w:rPr>
                <w:sz w:val="20"/>
                <w:szCs w:val="20"/>
                <w:color w:val="auto"/>
              </w:rPr>
            </w:pPr>
            <w:r>
              <w:rPr>
                <w:rFonts w:ascii="Arial" w:cs="Arial" w:eastAsia="Arial" w:hAnsi="Arial"/>
                <w:sz w:val="18"/>
                <w:szCs w:val="18"/>
                <w:color w:val="auto"/>
              </w:rPr>
              <w:t>Amendments and Waivers</w:t>
            </w:r>
          </w:p>
        </w:tc>
        <w:tc>
          <w:tcPr>
            <w:tcW w:w="3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6.7</w:t>
            </w:r>
          </w:p>
        </w:tc>
        <w:tc>
          <w:tcPr>
            <w:tcW w:w="690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6.8</w:t>
            </w:r>
          </w:p>
        </w:tc>
        <w:tc>
          <w:tcPr>
            <w:tcW w:w="6900" w:type="dxa"/>
            <w:vAlign w:val="bottom"/>
          </w:tcPr>
          <w:p>
            <w:pPr>
              <w:ind w:left="60"/>
              <w:spacing w:after="0"/>
              <w:rPr>
                <w:sz w:val="20"/>
                <w:szCs w:val="20"/>
                <w:color w:val="auto"/>
              </w:rPr>
            </w:pPr>
            <w:r>
              <w:rPr>
                <w:rFonts w:ascii="Arial" w:cs="Arial" w:eastAsia="Arial" w:hAnsi="Arial"/>
                <w:sz w:val="18"/>
                <w:szCs w:val="18"/>
                <w:color w:val="auto"/>
              </w:rPr>
              <w:t>Aggregation of Stock</w:t>
            </w:r>
          </w:p>
        </w:tc>
        <w:tc>
          <w:tcPr>
            <w:tcW w:w="3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6.9</w:t>
            </w:r>
          </w:p>
        </w:tc>
        <w:tc>
          <w:tcPr>
            <w:tcW w:w="6900" w:type="dxa"/>
            <w:vAlign w:val="bottom"/>
          </w:tcPr>
          <w:p>
            <w:pPr>
              <w:ind w:left="60"/>
              <w:spacing w:after="0"/>
              <w:rPr>
                <w:sz w:val="20"/>
                <w:szCs w:val="20"/>
                <w:color w:val="auto"/>
              </w:rPr>
            </w:pPr>
            <w:r>
              <w:rPr>
                <w:rFonts w:ascii="Arial" w:cs="Arial" w:eastAsia="Arial" w:hAnsi="Arial"/>
                <w:sz w:val="18"/>
                <w:szCs w:val="18"/>
                <w:color w:val="auto"/>
              </w:rPr>
              <w:t>Additional Investors</w:t>
            </w:r>
          </w:p>
        </w:tc>
        <w:tc>
          <w:tcPr>
            <w:tcW w:w="3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6.10</w:t>
            </w:r>
          </w:p>
        </w:tc>
        <w:tc>
          <w:tcPr>
            <w:tcW w:w="690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3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6.11</w:t>
            </w:r>
          </w:p>
        </w:tc>
        <w:tc>
          <w:tcPr>
            <w:tcW w:w="6900" w:type="dxa"/>
            <w:vAlign w:val="bottom"/>
          </w:tcPr>
          <w:p>
            <w:pPr>
              <w:ind w:left="60"/>
              <w:spacing w:after="0"/>
              <w:rPr>
                <w:sz w:val="20"/>
                <w:szCs w:val="20"/>
                <w:color w:val="auto"/>
              </w:rPr>
            </w:pPr>
            <w:r>
              <w:rPr>
                <w:rFonts w:ascii="Arial" w:cs="Arial" w:eastAsia="Arial" w:hAnsi="Arial"/>
                <w:sz w:val="18"/>
                <w:szCs w:val="18"/>
                <w:color w:val="auto"/>
              </w:rPr>
              <w:t>Dispute Resolution</w:t>
            </w:r>
          </w:p>
        </w:tc>
        <w:tc>
          <w:tcPr>
            <w:tcW w:w="3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6.12</w:t>
            </w:r>
          </w:p>
        </w:tc>
        <w:tc>
          <w:tcPr>
            <w:tcW w:w="6900" w:type="dxa"/>
            <w:vAlign w:val="bottom"/>
          </w:tcPr>
          <w:p>
            <w:pPr>
              <w:ind w:left="60"/>
              <w:spacing w:after="0"/>
              <w:rPr>
                <w:sz w:val="20"/>
                <w:szCs w:val="20"/>
                <w:color w:val="auto"/>
              </w:rPr>
            </w:pPr>
            <w:r>
              <w:rPr>
                <w:rFonts w:ascii="Arial" w:cs="Arial" w:eastAsia="Arial" w:hAnsi="Arial"/>
                <w:sz w:val="18"/>
                <w:szCs w:val="18"/>
                <w:color w:val="auto"/>
              </w:rPr>
              <w:t>Delays or Omissions</w:t>
            </w:r>
          </w:p>
        </w:tc>
        <w:tc>
          <w:tcPr>
            <w:tcW w:w="3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6.13</w:t>
            </w:r>
          </w:p>
        </w:tc>
        <w:tc>
          <w:tcPr>
            <w:tcW w:w="6900" w:type="dxa"/>
            <w:vAlign w:val="bottom"/>
          </w:tcPr>
          <w:p>
            <w:pPr>
              <w:ind w:left="60"/>
              <w:spacing w:after="0"/>
              <w:rPr>
                <w:sz w:val="20"/>
                <w:szCs w:val="20"/>
                <w:color w:val="auto"/>
              </w:rPr>
            </w:pPr>
            <w:r>
              <w:rPr>
                <w:rFonts w:ascii="Arial" w:cs="Arial" w:eastAsia="Arial" w:hAnsi="Arial"/>
                <w:sz w:val="18"/>
                <w:szCs w:val="18"/>
                <w:color w:val="auto"/>
              </w:rPr>
              <w:t>Acknowledgment</w:t>
            </w:r>
          </w:p>
        </w:tc>
        <w:tc>
          <w:tcPr>
            <w:tcW w:w="3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6.14</w:t>
            </w:r>
          </w:p>
        </w:tc>
        <w:tc>
          <w:tcPr>
            <w:tcW w:w="6900" w:type="dxa"/>
            <w:vAlign w:val="bottom"/>
          </w:tcPr>
          <w:p>
            <w:pPr>
              <w:ind w:left="60"/>
              <w:spacing w:after="0"/>
              <w:rPr>
                <w:sz w:val="20"/>
                <w:szCs w:val="20"/>
                <w:color w:val="auto"/>
              </w:rPr>
            </w:pPr>
            <w:r>
              <w:rPr>
                <w:rFonts w:ascii="Arial" w:cs="Arial" w:eastAsia="Arial" w:hAnsi="Arial"/>
                <w:sz w:val="18"/>
                <w:szCs w:val="18"/>
                <w:color w:val="auto"/>
              </w:rPr>
              <w:t>Amendment and Restatement of Prior Agreement</w:t>
            </w:r>
          </w:p>
        </w:tc>
        <w:tc>
          <w:tcPr>
            <w:tcW w:w="346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tabs>
          <w:tab w:leader="none" w:pos="1100" w:val="left"/>
        </w:tabs>
        <w:rPr>
          <w:sz w:val="20"/>
          <w:szCs w:val="20"/>
          <w:color w:val="auto"/>
        </w:rPr>
      </w:pPr>
      <w:r>
        <w:rPr>
          <w:rFonts w:ascii="Arial" w:cs="Arial" w:eastAsia="Arial" w:hAnsi="Arial"/>
          <w:sz w:val="18"/>
          <w:szCs w:val="18"/>
          <w:color w:val="auto"/>
        </w:rPr>
        <w:t>Schedule A -</w:t>
      </w:r>
      <w:r>
        <w:rPr>
          <w:sz w:val="20"/>
          <w:szCs w:val="20"/>
          <w:color w:val="auto"/>
        </w:rPr>
        <w:tab/>
      </w:r>
      <w:r>
        <w:rPr>
          <w:rFonts w:ascii="Arial" w:cs="Arial" w:eastAsia="Arial" w:hAnsi="Arial"/>
          <w:sz w:val="16"/>
          <w:szCs w:val="16"/>
          <w:color w:val="auto"/>
        </w:rPr>
        <w:t>Schedule of Investors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0960"/>
          </w:cols>
          <w:pgMar w:left="440" w:top="274" w:right="499" w:bottom="1440" w:gutter="0" w:footer="0" w:header="0"/>
        </w:sectPr>
      </w:pPr>
    </w:p>
    <w:bookmarkStart w:id="431" w:name="page432"/>
    <w:bookmarkEnd w:id="4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SEVENTH 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THIS SEVENTH AMENDED AND RESTATED INVESTORS’ RIGHTS AGREEMENT (as may be amended, restated, supplemented or otherwise modified from time to time in accordance with the terms hereof,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February 23, 2021, by and among Flywire Corporation (f/k/a peerTransfer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referred to in this Agreement as an “</w:t>
      </w:r>
      <w:r>
        <w:rPr>
          <w:rFonts w:ascii="Arial" w:cs="Arial" w:eastAsia="Arial" w:hAnsi="Arial"/>
          <w:sz w:val="18"/>
          <w:szCs w:val="18"/>
          <w:b w:val="1"/>
          <w:bCs w:val="1"/>
          <w:color w:val="auto"/>
        </w:rPr>
        <w:t>Investor</w:t>
      </w:r>
      <w:r>
        <w:rPr>
          <w:rFonts w:ascii="Arial" w:cs="Arial" w:eastAsia="Arial" w:hAnsi="Arial"/>
          <w:sz w:val="18"/>
          <w:szCs w:val="18"/>
          <w:color w:val="auto"/>
        </w:rPr>
        <w:t>,” and any Additional Purchaser (as defined in the Purchase Agreement) that becomes a party to this Agreement in accordance with Subsection 6.9 hereof.</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60" w:firstLine="991"/>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(the “</w:t>
      </w:r>
      <w:r>
        <w:rPr>
          <w:rFonts w:ascii="Arial" w:cs="Arial" w:eastAsia="Arial" w:hAnsi="Arial"/>
          <w:sz w:val="18"/>
          <w:szCs w:val="18"/>
          <w:b w:val="1"/>
          <w:bCs w:val="1"/>
          <w:color w:val="auto"/>
        </w:rPr>
        <w:t>Existing Investors</w:t>
      </w:r>
      <w:r>
        <w:rPr>
          <w:rFonts w:ascii="Arial" w:cs="Arial" w:eastAsia="Arial" w:hAnsi="Arial"/>
          <w:sz w:val="18"/>
          <w:szCs w:val="18"/>
          <w:color w:val="auto"/>
        </w:rPr>
        <w:t>”) hold shares of the Company’s Series A Preferred Stock, Series B</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Series B1 Preferred Stock, Series B1-NV Preferred Stock, Series C Preferred Stock, Series D Preferred Stock, Series E-1 Preferred Stock or Series E-2 Preferred Stock and possess registration rights, information rights, rights of first offer, and other rights pursuant to a Sixth Amended and Restated Investors’ Rights Agreement dated as of February 12, 2020 between and among the Company and such Investors (the “</w:t>
      </w:r>
      <w:r>
        <w:rPr>
          <w:rFonts w:ascii="Arial" w:cs="Arial" w:eastAsia="Arial" w:hAnsi="Arial"/>
          <w:sz w:val="18"/>
          <w:szCs w:val="18"/>
          <w:b w:val="1"/>
          <w:bCs w:val="1"/>
          <w:color w:val="auto"/>
        </w:rPr>
        <w:t>Prior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3"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Existing Investors executing this Agreement are holders of a majority of the Registrable Securities (other than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Series E-2 Preferred Stock) (voting as a single class and on an as-converted basis) outstanding (as each such term is defined in the Prior Agreement) (the “</w:t>
      </w:r>
      <w:r>
        <w:rPr>
          <w:rFonts w:ascii="Arial" w:cs="Arial" w:eastAsia="Arial" w:hAnsi="Arial"/>
          <w:sz w:val="18"/>
          <w:szCs w:val="18"/>
          <w:b w:val="1"/>
          <w:bCs w:val="1"/>
          <w:color w:val="auto"/>
        </w:rPr>
        <w:t>Required Prior Holders</w:t>
      </w:r>
      <w:r>
        <w:rPr>
          <w:rFonts w:ascii="Arial" w:cs="Arial" w:eastAsia="Arial" w:hAnsi="Arial"/>
          <w:sz w:val="18"/>
          <w:szCs w:val="18"/>
          <w:color w:val="auto"/>
        </w:rPr>
        <w:t>”), and desire to amend and restate the Prior Agreement in its entirety and to accept the rights created pursuant to this Agreement in lieu of the rights granted to them under the Prior Agreement; and</w:t>
      </w:r>
    </w:p>
    <w:p>
      <w:pPr>
        <w:spacing w:after="0" w:line="180" w:lineRule="exact"/>
        <w:rPr>
          <w:sz w:val="20"/>
          <w:szCs w:val="20"/>
          <w:color w:val="auto"/>
        </w:rPr>
      </w:pPr>
    </w:p>
    <w:p>
      <w:pPr>
        <w:ind w:right="40" w:firstLine="99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are parties to that certain Series F Preferred Stock Purchase Agreement of even date herewith</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Company and certain of the Investors (as amended, modified, supplemented or restated from time to time in accordance with the terms therewith, the “</w:t>
      </w:r>
      <w:r>
        <w:rPr>
          <w:rFonts w:ascii="Arial" w:cs="Arial" w:eastAsia="Arial" w:hAnsi="Arial"/>
          <w:sz w:val="18"/>
          <w:szCs w:val="18"/>
          <w:b w:val="1"/>
          <w:bCs w:val="1"/>
          <w:color w:val="auto"/>
        </w:rPr>
        <w:t>Purchase Agreement</w:t>
      </w:r>
      <w:r>
        <w:rPr>
          <w:rFonts w:ascii="Arial" w:cs="Arial" w:eastAsia="Arial" w:hAnsi="Arial"/>
          <w:sz w:val="18"/>
          <w:szCs w:val="18"/>
          <w:color w:val="auto"/>
        </w:rPr>
        <w:t>”), under which the Company’s and such Investors’ obligations are conditioned upon the execution and delivery of this Agreement by the Required Prior Holders, and the Company.</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parties hereby agree that the Prior Agreement shall be amended and restated in its entirety as follows:</w:t>
      </w:r>
    </w:p>
    <w:p>
      <w:pPr>
        <w:spacing w:after="0" w:line="349"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 xml:space="preserve">Definitions. </w:t>
      </w:r>
      <w:r>
        <w:rPr>
          <w:rFonts w:ascii="Arial" w:cs="Arial" w:eastAsia="Arial" w:hAnsi="Arial"/>
          <w:sz w:val="16"/>
          <w:szCs w:val="16"/>
          <w:color w:val="auto"/>
        </w:rPr>
        <w:t>For purposes of this Agreement:</w:t>
      </w:r>
    </w:p>
    <w:p>
      <w:pPr>
        <w:spacing w:after="0" w:line="221" w:lineRule="exact"/>
        <w:rPr>
          <w:sz w:val="20"/>
          <w:szCs w:val="20"/>
          <w:color w:val="auto"/>
        </w:rPr>
      </w:pPr>
    </w:p>
    <w:p>
      <w:pPr>
        <w:ind w:right="20" w:firstLine="991"/>
        <w:spacing w:after="0" w:line="258"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limited partner, member, managing member, officer, employee or director of such Person or any venture capital fund now or hereafter existing that is controlled by one or more general partners or managing members of, or shares the same management company with, such Person. For purposes of this definition, the term “control” when used with respect to any Person shall mean the power to direct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00"/>
          </w:cols>
          <w:pgMar w:left="440" w:top="270" w:right="459" w:bottom="1440" w:gutter="0" w:footer="0" w:header="0"/>
        </w:sectPr>
      </w:pPr>
    </w:p>
    <w:bookmarkStart w:id="432" w:name="page433"/>
    <w:bookmarkEnd w:id="432"/>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 or policies of such Person, directly or indirectly, whether through ownership of voting securities, by contract or otherwise, and the terms “controlling” and “controlled” shall have meanings correlative to the foregoing.</w:t>
      </w:r>
    </w:p>
    <w:p>
      <w:pPr>
        <w:spacing w:after="0" w:line="166"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Automatic Registration Statement</w:t>
      </w:r>
      <w:r>
        <w:rPr>
          <w:rFonts w:ascii="Arial" w:cs="Arial" w:eastAsia="Arial" w:hAnsi="Arial"/>
          <w:sz w:val="16"/>
          <w:szCs w:val="16"/>
          <w:color w:val="auto"/>
        </w:rPr>
        <w:t>” means an automatic registration statement as defined in Rule 405 under the Securities Act.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Bain Director</w:t>
      </w:r>
      <w:r>
        <w:rPr>
          <w:rFonts w:ascii="Arial" w:cs="Arial" w:eastAsia="Arial" w:hAnsi="Arial"/>
          <w:sz w:val="16"/>
          <w:szCs w:val="16"/>
          <w:color w:val="auto"/>
        </w:rPr>
        <w:t>” means the director designated pursuant to Section 1.2(c) of the Voting Agreement (as defined in the Purchase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right="140" w:firstLine="991"/>
        <w:spacing w:after="0" w:line="282" w:lineRule="auto"/>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BHCA</w:t>
      </w:r>
      <w:r>
        <w:rPr>
          <w:rFonts w:ascii="Arial" w:cs="Arial" w:eastAsia="Arial" w:hAnsi="Arial"/>
          <w:sz w:val="18"/>
          <w:szCs w:val="18"/>
          <w:color w:val="auto"/>
        </w:rPr>
        <w:t>” means the Bank Holding Company Act of 1956, and the rules, regulations and interpretations promulgated thereunder, in each case, as amended.</w:t>
      </w:r>
    </w:p>
    <w:p>
      <w:pPr>
        <w:spacing w:after="0" w:line="162" w:lineRule="exact"/>
        <w:rPr>
          <w:sz w:val="20"/>
          <w:szCs w:val="20"/>
          <w:color w:val="auto"/>
        </w:rPr>
      </w:pPr>
    </w:p>
    <w:p>
      <w:pPr>
        <w:ind w:right="640" w:firstLine="991"/>
        <w:spacing w:after="0" w:line="282" w:lineRule="auto"/>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BHCA Tender</w:t>
      </w:r>
      <w:r>
        <w:rPr>
          <w:rFonts w:ascii="Arial" w:cs="Arial" w:eastAsia="Arial" w:hAnsi="Arial"/>
          <w:sz w:val="18"/>
          <w:szCs w:val="18"/>
          <w:color w:val="auto"/>
        </w:rPr>
        <w:t>” means (i) with respect to each Regulated Investor, a BHCA No-Cost Tender and (ii) solely with respect to Goldman, the Goldman Put Right (as defined in the Side Letter (as defined in the Purchase Agreement)).</w:t>
      </w:r>
    </w:p>
    <w:p>
      <w:pPr>
        <w:spacing w:after="0" w:line="162" w:lineRule="exact"/>
        <w:rPr>
          <w:sz w:val="20"/>
          <w:szCs w:val="20"/>
          <w:color w:val="auto"/>
        </w:rPr>
      </w:pPr>
    </w:p>
    <w:p>
      <w:pPr>
        <w:ind w:right="560" w:firstLine="991"/>
        <w:spacing w:after="0" w:line="282"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Company’s Eighth Amended and Restated Certificate of Incorporation, as may be amended and/or restated from time to time.</w:t>
      </w:r>
    </w:p>
    <w:p>
      <w:pPr>
        <w:spacing w:after="0" w:line="162"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Class A Common Stock</w:t>
      </w:r>
      <w:r>
        <w:rPr>
          <w:rFonts w:ascii="Arial" w:cs="Arial" w:eastAsia="Arial" w:hAnsi="Arial"/>
          <w:sz w:val="16"/>
          <w:szCs w:val="16"/>
          <w:color w:val="auto"/>
        </w:rPr>
        <w:t>” means shares of the Company’s Class A Common Stock, par value $0.0001 per share.</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Class B Common Stock</w:t>
      </w:r>
      <w:r>
        <w:rPr>
          <w:rFonts w:ascii="Arial" w:cs="Arial" w:eastAsia="Arial" w:hAnsi="Arial"/>
          <w:sz w:val="16"/>
          <w:szCs w:val="16"/>
          <w:color w:val="auto"/>
        </w:rPr>
        <w:t>” means shares of the Company’s Class B Common Stock, par value $0.0001 per share.</w:t>
      </w:r>
    </w:p>
    <w:p>
      <w:pPr>
        <w:spacing w:after="0" w:line="225" w:lineRule="exact"/>
        <w:rPr>
          <w:sz w:val="20"/>
          <w:szCs w:val="20"/>
          <w:color w:val="auto"/>
        </w:rPr>
      </w:pPr>
    </w:p>
    <w:p>
      <w:pPr>
        <w:ind w:right="220" w:firstLine="991"/>
        <w:spacing w:after="0" w:line="282"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Common Stock</w:t>
      </w:r>
      <w:r>
        <w:rPr>
          <w:rFonts w:ascii="Arial" w:cs="Arial" w:eastAsia="Arial" w:hAnsi="Arial"/>
          <w:sz w:val="18"/>
          <w:szCs w:val="18"/>
          <w:color w:val="auto"/>
        </w:rPr>
        <w:t>” means, collectively, shares of Class A Common Stock of the Company’s common stock, par value $0.0001 per share and shares of Class B Common Stock of the Company’s common stock, par value $0.0001 per share.</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1.10 “</w:t>
      </w:r>
      <w:r>
        <w:rPr>
          <w:rFonts w:ascii="Arial" w:cs="Arial" w:eastAsia="Arial" w:hAnsi="Arial"/>
          <w:sz w:val="17"/>
          <w:szCs w:val="17"/>
          <w:b w:val="1"/>
          <w:bCs w:val="1"/>
          <w:color w:val="auto"/>
        </w:rPr>
        <w:t>Competitor</w:t>
      </w:r>
      <w:r>
        <w:rPr>
          <w:rFonts w:ascii="Arial" w:cs="Arial" w:eastAsia="Arial" w:hAnsi="Arial"/>
          <w:sz w:val="17"/>
          <w:szCs w:val="17"/>
          <w:color w:val="auto"/>
        </w:rPr>
        <w:t>” means a Person engaged, directly or indirectly (including through any partnership, limited liability company,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corporation, joint venture or similar arrangement (whether now existing or formed hereafter)), in money transfer and global payments services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 offerings primarily targeted to customers in the higher education, travel, and healthcare industries (such services and product offerings,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Competing Services</w:t>
      </w:r>
      <w:r>
        <w:rPr>
          <w:rFonts w:ascii="Arial" w:cs="Arial" w:eastAsia="Arial" w:hAnsi="Arial"/>
          <w:sz w:val="16"/>
          <w:szCs w:val="16"/>
          <w:color w:val="auto"/>
        </w:rPr>
        <w:t>”), but shall not include any financial investment firm (including Goldman and its Affiliates) or collective investment vehicle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together with its Affiliates, holds less than twenty percent (20%) of the outstanding voting equity of any Competitor and does not, nor do any of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Affiliates, have a right to designate any members of the Board of Directors of any Competitor. For the purposes of this Agreement, (i) each of Spark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II, L.P., Spark Capital Growth Fund, L.P., Accel London III L.P., Maveron Equity Partners IV, L.P., QED Fund II, LP, Amerigo Innvierte 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Technologies, FCr, Fomento Para la Innovacion y el Desarrollo Sostenible Tres S.A., Sociedad de Capital Riesgo de Régimen Simplificado, F-Prime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Partners Tech Fund LP (“</w:t>
      </w:r>
      <w:r>
        <w:rPr>
          <w:rFonts w:ascii="Arial" w:cs="Arial" w:eastAsia="Arial" w:hAnsi="Arial"/>
          <w:sz w:val="16"/>
          <w:szCs w:val="16"/>
          <w:b w:val="1"/>
          <w:bCs w:val="1"/>
          <w:color w:val="auto"/>
        </w:rPr>
        <w:t>F-Prime</w:t>
      </w:r>
      <w:r>
        <w:rPr>
          <w:rFonts w:ascii="Arial" w:cs="Arial" w:eastAsia="Arial" w:hAnsi="Arial"/>
          <w:sz w:val="16"/>
          <w:szCs w:val="16"/>
          <w:color w:val="auto"/>
        </w:rPr>
        <w:t>”), Bain Capital Venture Fund 2014, L.P. (“</w:t>
      </w:r>
      <w:r>
        <w:rPr>
          <w:rFonts w:ascii="Arial" w:cs="Arial" w:eastAsia="Arial" w:hAnsi="Arial"/>
          <w:sz w:val="16"/>
          <w:szCs w:val="16"/>
          <w:b w:val="1"/>
          <w:bCs w:val="1"/>
          <w:color w:val="auto"/>
        </w:rPr>
        <w:t>Bain</w:t>
      </w:r>
      <w:r>
        <w:rPr>
          <w:rFonts w:ascii="Arial" w:cs="Arial" w:eastAsia="Arial" w:hAnsi="Arial"/>
          <w:sz w:val="16"/>
          <w:szCs w:val="16"/>
          <w:color w:val="auto"/>
        </w:rPr>
        <w:t>”), Ossa Investments Pte. Ltd. (“</w:t>
      </w:r>
      <w:r>
        <w:rPr>
          <w:rFonts w:ascii="Arial" w:cs="Arial" w:eastAsia="Arial" w:hAnsi="Arial"/>
          <w:sz w:val="16"/>
          <w:szCs w:val="16"/>
          <w:b w:val="1"/>
          <w:bCs w:val="1"/>
          <w:color w:val="auto"/>
        </w:rPr>
        <w:t>Temasek</w:t>
      </w:r>
      <w:r>
        <w:rPr>
          <w:rFonts w:ascii="Arial" w:cs="Arial" w:eastAsia="Arial" w:hAnsi="Arial"/>
          <w:sz w:val="16"/>
          <w:szCs w:val="16"/>
          <w:color w:val="auto"/>
        </w:rPr>
        <w:t>”), Eureka Fund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Eureka Fund</w:t>
      </w:r>
      <w:r>
        <w:rPr>
          <w:rFonts w:ascii="Arial" w:cs="Arial" w:eastAsia="Arial" w:hAnsi="Arial"/>
          <w:sz w:val="16"/>
          <w:szCs w:val="16"/>
          <w:color w:val="auto"/>
        </w:rPr>
        <w:t>”), Whale Rock Flagship Master Fund, LP, Whale Rock Flagship (AI) Fund LP and Whale Rock Long Opportunities Master Fund, LP.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(collectively, “</w:t>
      </w:r>
      <w:r>
        <w:rPr>
          <w:rFonts w:ascii="Arial" w:cs="Arial" w:eastAsia="Arial" w:hAnsi="Arial"/>
          <w:sz w:val="17"/>
          <w:szCs w:val="17"/>
          <w:b w:val="1"/>
          <w:bCs w:val="1"/>
          <w:color w:val="auto"/>
        </w:rPr>
        <w:t>Whale Rock</w:t>
      </w:r>
      <w:r>
        <w:rPr>
          <w:rFonts w:ascii="Arial" w:cs="Arial" w:eastAsia="Arial" w:hAnsi="Arial"/>
          <w:sz w:val="17"/>
          <w:szCs w:val="17"/>
          <w:color w:val="auto"/>
        </w:rPr>
        <w:t>”) and their respective Affiliates will not be considered a Competitor and (ii) (A) each of (I) Goldman Sachs PSI Global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Holdings, LLC (“</w:t>
      </w:r>
      <w:r>
        <w:rPr>
          <w:rFonts w:ascii="Arial" w:cs="Arial" w:eastAsia="Arial" w:hAnsi="Arial"/>
          <w:sz w:val="18"/>
          <w:szCs w:val="18"/>
          <w:b w:val="1"/>
          <w:bCs w:val="1"/>
          <w:color w:val="auto"/>
        </w:rPr>
        <w:t>Goldman</w:t>
      </w:r>
      <w:r>
        <w:rPr>
          <w:rFonts w:ascii="Arial" w:cs="Arial" w:eastAsia="Arial" w:hAnsi="Arial"/>
          <w:sz w:val="18"/>
          <w:szCs w:val="18"/>
          <w:color w:val="auto"/>
        </w:rPr>
        <w:t>”) and (II) any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60"/>
          </w:cols>
          <w:pgMar w:left="440" w:top="274" w:right="499" w:bottom="1440" w:gutter="0" w:footer="0" w:header="0"/>
        </w:sectPr>
      </w:pPr>
    </w:p>
    <w:bookmarkStart w:id="433" w:name="page434"/>
    <w:bookmarkEnd w:id="43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entity to which any portion of the shares of the Company’s capital stock held by Goldman are transferred that is, whether directly or indirectly, a wholly-owned subsidiary of The Goldman Sachs Group, Inc. and whose primary purpose is to hold equity or other securities issued by any other Person in connection with investments made by Goldman or any of its Affiliates in such Person (each, an “</w:t>
      </w:r>
      <w:r>
        <w:rPr>
          <w:rFonts w:ascii="Arial" w:cs="Arial" w:eastAsia="Arial" w:hAnsi="Arial"/>
          <w:sz w:val="18"/>
          <w:szCs w:val="18"/>
          <w:b w:val="1"/>
          <w:bCs w:val="1"/>
          <w:color w:val="auto"/>
        </w:rPr>
        <w:t>Goldman Investment Vehicle</w:t>
      </w:r>
      <w:r>
        <w:rPr>
          <w:rFonts w:ascii="Arial" w:cs="Arial" w:eastAsia="Arial" w:hAnsi="Arial"/>
          <w:sz w:val="18"/>
          <w:szCs w:val="18"/>
          <w:color w:val="auto"/>
        </w:rPr>
        <w:t>”), in each case of the foregoing clauses (I) and (II), will not be considered a Competitor and (B) none of Goldman’s other Affiliates will be considered a Competitor unless any of such Affiliates (1) engages in Competing Services; and (2) generates revenue from such Competing Services in an amount in excess of twenty-five percent (25%) of such Affiliate (on a consolidated basis).</w:t>
      </w:r>
    </w:p>
    <w:p>
      <w:pPr>
        <w:spacing w:after="0" w:line="188"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b w:val="1"/>
          <w:bCs w:val="1"/>
          <w:color w:val="auto"/>
        </w:rPr>
        <w:t>Damages</w:t>
      </w:r>
      <w:r>
        <w:rPr>
          <w:rFonts w:ascii="Arial" w:cs="Arial" w:eastAsia="Arial" w:hAnsi="Arial"/>
          <w:sz w:val="16"/>
          <w:szCs w:val="16"/>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or offering circular, free writing prospectus or other document relating to the Registrable Securities; (ii) an omission or alleged omission to state therein a material fact required to be stated therein, or necessary to make the statements therein not misleading; (iii) any violation or alleged violation by the indemnifying party (or any of its agents or Affiliates) of the Securities Act, the Exchange Act, any state securities law, or any rule or regulation promulgated under the Securities Act, the Exchange Act, or any state securities Law; or (iv) any information provided by the Company or at the instruction of the Company to any Person participating in the offer at the point of sale containing any untrue statement or alleged untrue statement of any material fact or omitting or allegedly omitting any material fact required to be included in such information or necessary to make the statements therein not misleading.</w:t>
      </w:r>
    </w:p>
    <w:p>
      <w:pPr>
        <w:spacing w:after="0" w:line="161" w:lineRule="exact"/>
        <w:rPr>
          <w:sz w:val="20"/>
          <w:szCs w:val="20"/>
          <w:color w:val="auto"/>
        </w:rPr>
      </w:pPr>
    </w:p>
    <w:p>
      <w:pPr>
        <w:ind w:right="160" w:firstLine="991"/>
        <w:spacing w:after="0" w:line="282"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162" w:lineRule="exact"/>
        <w:rPr>
          <w:sz w:val="20"/>
          <w:szCs w:val="20"/>
          <w:color w:val="auto"/>
        </w:rPr>
      </w:pPr>
    </w:p>
    <w:p>
      <w:pPr>
        <w:ind w:right="20" w:firstLine="991"/>
        <w:spacing w:after="0" w:line="266"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Direct Listing</w:t>
      </w:r>
      <w:r>
        <w:rPr>
          <w:rFonts w:ascii="Arial" w:cs="Arial" w:eastAsia="Arial" w:hAnsi="Arial"/>
          <w:sz w:val="18"/>
          <w:szCs w:val="18"/>
          <w:color w:val="auto"/>
        </w:rPr>
        <w:t>” shall have the meaning set forth in the Certificate of Incorporation. For the avoidance of doubt, a Direct Listing shall not be deemed to be an underwritten public offering of the Company’s Common Stock registered under the Securities Act. Any and all mentions of an underwritten offering or underwriters contained herein shall not apply to a Direct Listing.</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1.14 “</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48"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4" w:right="459" w:bottom="1440" w:gutter="0" w:footer="0" w:header="0"/>
        </w:sectPr>
      </w:pPr>
    </w:p>
    <w:bookmarkStart w:id="434" w:name="page435"/>
    <w:bookmarkEnd w:id="434"/>
    <w:p>
      <w:pPr>
        <w:ind w:right="400" w:firstLine="991"/>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1.16 “</w:t>
      </w:r>
      <w:r>
        <w:rPr>
          <w:rFonts w:ascii="Arial" w:cs="Arial" w:eastAsia="Arial" w:hAnsi="Arial"/>
          <w:sz w:val="18"/>
          <w:szCs w:val="18"/>
          <w:b w:val="1"/>
          <w:bCs w:val="1"/>
          <w:color w:val="auto"/>
        </w:rPr>
        <w:t>FOIA Party</w:t>
      </w:r>
      <w:r>
        <w:rPr>
          <w:rFonts w:ascii="Arial" w:cs="Arial" w:eastAsia="Arial" w:hAnsi="Arial"/>
          <w:sz w:val="18"/>
          <w:szCs w:val="18"/>
          <w:color w:val="auto"/>
        </w:rPr>
        <w:t>” means a Person that, in the determination of the Board of Directors, may be subject to, and thereby required to disclose non-public information furnished by or relating to the Company under, the Freedom of Information Act, 5 U.S.C. 552 (“</w:t>
      </w:r>
      <w:r>
        <w:rPr>
          <w:rFonts w:ascii="Arial" w:cs="Arial" w:eastAsia="Arial" w:hAnsi="Arial"/>
          <w:sz w:val="18"/>
          <w:szCs w:val="18"/>
          <w:b w:val="1"/>
          <w:bCs w:val="1"/>
          <w:color w:val="auto"/>
        </w:rPr>
        <w:t>FOIA</w:t>
      </w:r>
      <w:r>
        <w:rPr>
          <w:rFonts w:ascii="Arial" w:cs="Arial" w:eastAsia="Arial" w:hAnsi="Arial"/>
          <w:sz w:val="18"/>
          <w:szCs w:val="18"/>
          <w:color w:val="auto"/>
        </w:rPr>
        <w:t>”), any state public records access law, any state or other jurisdiction’s laws similar in intent or effect to FOIA, or any other similar statutory or regulatory requirement.</w:t>
      </w:r>
    </w:p>
    <w:p>
      <w:pPr>
        <w:spacing w:after="0" w:line="180" w:lineRule="exact"/>
        <w:rPr>
          <w:sz w:val="20"/>
          <w:szCs w:val="20"/>
          <w:color w:val="auto"/>
        </w:rPr>
      </w:pPr>
    </w:p>
    <w:p>
      <w:pPr>
        <w:ind w:right="340" w:firstLine="991"/>
        <w:spacing w:after="0" w:line="282"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1.20 “</w:t>
      </w:r>
      <w:r>
        <w:rPr>
          <w:rFonts w:ascii="Arial" w:cs="Arial" w:eastAsia="Arial" w:hAnsi="Arial"/>
          <w:sz w:val="16"/>
          <w:szCs w:val="16"/>
          <w:b w:val="1"/>
          <w:bCs w:val="1"/>
          <w:color w:val="auto"/>
        </w:rPr>
        <w:t>Goldman Director</w:t>
      </w:r>
      <w:r>
        <w:rPr>
          <w:rFonts w:ascii="Arial" w:cs="Arial" w:eastAsia="Arial" w:hAnsi="Arial"/>
          <w:sz w:val="16"/>
          <w:szCs w:val="16"/>
          <w:color w:val="auto"/>
        </w:rPr>
        <w:t>” means the director designated pursuant to Section 1.2(d) of the Voting Agreement (as defined in the Purchase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right="100" w:firstLine="991"/>
        <w:spacing w:after="0" w:line="281" w:lineRule="auto"/>
        <w:rPr>
          <w:sz w:val="20"/>
          <w:szCs w:val="20"/>
          <w:color w:val="auto"/>
        </w:rPr>
      </w:pPr>
      <w:r>
        <w:rPr>
          <w:rFonts w:ascii="Arial" w:cs="Arial" w:eastAsia="Arial" w:hAnsi="Arial"/>
          <w:sz w:val="17"/>
          <w:szCs w:val="17"/>
          <w:color w:val="auto"/>
        </w:rPr>
        <w:t>1.21 “</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the government of the United States or any other country, any state or other political subdivision thereof, any self-regulatory organization, any national securities exchange or trading system, and any entity exercising executive, legislative, judicial, regulatory or administrative functions of or pertaining to the government, and any corporation or other entity owned or controlled (whether through ownership of securities or other ownership interests, by contract or otherwise) by any of the foregoing.</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Registrable Securities who is a party to this Agreement.</w:t>
      </w:r>
    </w:p>
    <w:p>
      <w:pPr>
        <w:spacing w:after="0" w:line="225" w:lineRule="exact"/>
        <w:rPr>
          <w:sz w:val="20"/>
          <w:szCs w:val="20"/>
          <w:color w:val="auto"/>
        </w:rPr>
      </w:pPr>
    </w:p>
    <w:p>
      <w:pPr>
        <w:ind w:right="120" w:firstLine="991"/>
        <w:spacing w:after="0" w:line="347" w:lineRule="auto"/>
        <w:rPr>
          <w:sz w:val="20"/>
          <w:szCs w:val="20"/>
          <w:color w:val="auto"/>
        </w:rPr>
      </w:pPr>
      <w:r>
        <w:rPr>
          <w:rFonts w:ascii="Arial" w:cs="Arial" w:eastAsia="Arial" w:hAnsi="Arial"/>
          <w:sz w:val="16"/>
          <w:szCs w:val="16"/>
          <w:color w:val="auto"/>
        </w:rPr>
        <w:t>1.23 “</w:t>
      </w:r>
      <w:r>
        <w:rPr>
          <w:rFonts w:ascii="Arial" w:cs="Arial" w:eastAsia="Arial" w:hAnsi="Arial"/>
          <w:sz w:val="16"/>
          <w:szCs w:val="16"/>
          <w:b w:val="1"/>
          <w:b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225"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IPO</w:t>
      </w:r>
      <w:r>
        <w:rPr>
          <w:rFonts w:ascii="Arial" w:cs="Arial" w:eastAsia="Arial" w:hAnsi="Arial"/>
          <w:sz w:val="18"/>
          <w:szCs w:val="18"/>
          <w:color w:val="auto"/>
        </w:rPr>
        <w:t>” means, only if a Direct Listing has not occurred, the Company’s first underwritten public offering of its Common Stock under the Securities Act.</w:t>
      </w:r>
    </w:p>
    <w:p>
      <w:pPr>
        <w:spacing w:after="0" w:line="162" w:lineRule="exact"/>
        <w:rPr>
          <w:sz w:val="20"/>
          <w:szCs w:val="20"/>
          <w:color w:val="auto"/>
        </w:rPr>
      </w:pPr>
    </w:p>
    <w:p>
      <w:pPr>
        <w:ind w:right="480" w:firstLine="991"/>
        <w:spacing w:after="0" w:line="266"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Key Employee</w:t>
      </w:r>
      <w:r>
        <w:rPr>
          <w:rFonts w:ascii="Arial" w:cs="Arial" w:eastAsia="Arial" w:hAnsi="Arial"/>
          <w:sz w:val="18"/>
          <w:szCs w:val="18"/>
          <w:color w:val="auto"/>
        </w:rPr>
        <w:t>” means any executive-level employee (including, without limitation, division director and vice president-level positions) as well as any employee who, either alone or in concert with others, develops, invents, programs, or designs any Company Intellectual Property (as defined in the Purchase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0" w:right="459" w:bottom="1440" w:gutter="0" w:footer="0" w:header="0"/>
        </w:sectPr>
      </w:pPr>
    </w:p>
    <w:bookmarkStart w:id="435" w:name="page436"/>
    <w:bookmarkEnd w:id="435"/>
    <w:p>
      <w:pPr>
        <w:ind w:left="4" w:right="140" w:firstLine="991"/>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1.27 “</w:t>
      </w:r>
      <w:r>
        <w:rPr>
          <w:rFonts w:ascii="Arial" w:cs="Arial" w:eastAsia="Arial" w:hAnsi="Arial"/>
          <w:sz w:val="17"/>
          <w:szCs w:val="17"/>
          <w:b w:val="1"/>
          <w:bCs w:val="1"/>
          <w:color w:val="auto"/>
        </w:rPr>
        <w:t>Law</w:t>
      </w:r>
      <w:r>
        <w:rPr>
          <w:rFonts w:ascii="Arial" w:cs="Arial" w:eastAsia="Arial" w:hAnsi="Arial"/>
          <w:sz w:val="17"/>
          <w:szCs w:val="17"/>
          <w:color w:val="auto"/>
        </w:rPr>
        <w:t>” means any federal, state or local law, statute, ordinance, by-law, regulation, rule, treaty or order of any Governmental Authority which, although not necessarily having the force of law, is regarded by such Governmental Authority as requiring compliance as if it had the force of law, including, without limitation, the rules and regulations of a national securities exchange or trading system.</w:t>
      </w:r>
    </w:p>
    <w:p>
      <w:pPr>
        <w:spacing w:after="0" w:line="158" w:lineRule="exact"/>
        <w:rPr>
          <w:sz w:val="20"/>
          <w:szCs w:val="20"/>
          <w:color w:val="auto"/>
        </w:rPr>
      </w:pPr>
    </w:p>
    <w:p>
      <w:pPr>
        <w:ind w:left="4" w:right="200" w:firstLine="991"/>
        <w:spacing w:after="0" w:line="274" w:lineRule="auto"/>
        <w:rPr>
          <w:sz w:val="20"/>
          <w:szCs w:val="20"/>
          <w:color w:val="auto"/>
        </w:rPr>
      </w:pPr>
      <w:r>
        <w:rPr>
          <w:rFonts w:ascii="Arial" w:cs="Arial" w:eastAsia="Arial" w:hAnsi="Arial"/>
          <w:sz w:val="17"/>
          <w:szCs w:val="17"/>
          <w:color w:val="auto"/>
        </w:rPr>
        <w:t>1.28 “</w:t>
      </w:r>
      <w:r>
        <w:rPr>
          <w:rFonts w:ascii="Arial" w:cs="Arial" w:eastAsia="Arial" w:hAnsi="Arial"/>
          <w:sz w:val="17"/>
          <w:szCs w:val="17"/>
          <w:b w:val="1"/>
          <w:bCs w:val="1"/>
          <w:color w:val="auto"/>
        </w:rPr>
        <w:t>Major Investor</w:t>
      </w:r>
      <w:r>
        <w:rPr>
          <w:rFonts w:ascii="Arial" w:cs="Arial" w:eastAsia="Arial" w:hAnsi="Arial"/>
          <w:sz w:val="17"/>
          <w:szCs w:val="17"/>
          <w:color w:val="auto"/>
        </w:rPr>
        <w:t>” means any Investor that, individually or together with such Investor’s Affiliates, holds at least 600,000 shares of Registrable Securities (as adjusted for any stock split, stock dividend, combination, or other recapitalization or reclassification effected after the date hereof). For the purposes of this Agreement, each of Eureka Fund, Whale Rock and Sunley House Capital Master Limited Partnership will be considered a Major Investor for so long as such Investor and/or its Affiliates collectively hold such number of shares of Registrable Securities as originally purchased by such Investor and/or its Affiliates pursuant to the Purchase Agreement (as adjusted for any stock split, stock dividend, combination, or other recapitalization or reclassification effected after the date hereof).</w:t>
      </w:r>
    </w:p>
    <w:p>
      <w:pPr>
        <w:spacing w:after="0" w:line="173" w:lineRule="exact"/>
        <w:rPr>
          <w:sz w:val="20"/>
          <w:szCs w:val="20"/>
          <w:color w:val="auto"/>
        </w:rPr>
      </w:pPr>
    </w:p>
    <w:p>
      <w:pPr>
        <w:ind w:left="4" w:firstLine="991"/>
        <w:spacing w:after="0" w:line="266"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225" w:lineRule="exact"/>
        <w:rPr>
          <w:sz w:val="20"/>
          <w:szCs w:val="20"/>
          <w:color w:val="auto"/>
        </w:rPr>
      </w:pPr>
    </w:p>
    <w:p>
      <w:pPr>
        <w:ind w:left="4" w:right="40" w:firstLine="991"/>
        <w:spacing w:after="0" w:line="282"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Preferred Directors</w:t>
      </w:r>
      <w:r>
        <w:rPr>
          <w:rFonts w:ascii="Arial" w:cs="Arial" w:eastAsia="Arial" w:hAnsi="Arial"/>
          <w:sz w:val="18"/>
          <w:szCs w:val="18"/>
          <w:color w:val="auto"/>
        </w:rPr>
        <w:t>” means any director of the Company that the holders of record of shares of Preferred Stock are entitled to elect pursuant to the Certificate of Incorporation.</w:t>
      </w:r>
    </w:p>
    <w:p>
      <w:pPr>
        <w:spacing w:after="0" w:line="162" w:lineRule="exact"/>
        <w:rPr>
          <w:sz w:val="20"/>
          <w:szCs w:val="20"/>
          <w:color w:val="auto"/>
        </w:rPr>
      </w:pPr>
    </w:p>
    <w:p>
      <w:pPr>
        <w:jc w:val="both"/>
        <w:ind w:left="4" w:right="20" w:firstLine="991"/>
        <w:spacing w:after="0" w:line="347" w:lineRule="auto"/>
        <w:rPr>
          <w:sz w:val="20"/>
          <w:szCs w:val="20"/>
          <w:color w:val="auto"/>
        </w:rPr>
      </w:pPr>
      <w:r>
        <w:rPr>
          <w:rFonts w:ascii="Arial" w:cs="Arial" w:eastAsia="Arial" w:hAnsi="Arial"/>
          <w:sz w:val="16"/>
          <w:szCs w:val="16"/>
          <w:color w:val="auto"/>
        </w:rPr>
        <w:t>1.32 “</w:t>
      </w:r>
      <w:r>
        <w:rPr>
          <w:rFonts w:ascii="Arial" w:cs="Arial" w:eastAsia="Arial" w:hAnsi="Arial"/>
          <w:sz w:val="16"/>
          <w:szCs w:val="16"/>
          <w:b w:val="1"/>
          <w:bCs w:val="1"/>
          <w:color w:val="auto"/>
        </w:rPr>
        <w:t>Preferred Stock</w:t>
      </w:r>
      <w:r>
        <w:rPr>
          <w:rFonts w:ascii="Arial" w:cs="Arial" w:eastAsia="Arial" w:hAnsi="Arial"/>
          <w:sz w:val="16"/>
          <w:szCs w:val="16"/>
          <w:color w:val="auto"/>
        </w:rPr>
        <w:t>” means, collectively, the Series A Preferred Stock, the Series B Preferred Stock, the Series B1 Preferred Stock, the Series B1-NV Preferred Stock, the Series C Preferred Stock, the Series D Preferred Stock, the Series E Preferred Stock and the Series F Preferred Stock.</w:t>
      </w:r>
    </w:p>
    <w:p>
      <w:pPr>
        <w:spacing w:after="0" w:line="116" w:lineRule="exact"/>
        <w:rPr>
          <w:sz w:val="20"/>
          <w:szCs w:val="20"/>
          <w:color w:val="auto"/>
        </w:rPr>
      </w:pPr>
    </w:p>
    <w:p>
      <w:pPr>
        <w:ind w:left="4" w:firstLine="991"/>
        <w:spacing w:after="0" w:line="287" w:lineRule="auto"/>
        <w:rPr>
          <w:sz w:val="20"/>
          <w:szCs w:val="20"/>
          <w:color w:val="auto"/>
        </w:rPr>
      </w:pPr>
      <w:r>
        <w:rPr>
          <w:rFonts w:ascii="Arial" w:cs="Arial" w:eastAsia="Arial" w:hAnsi="Arial"/>
          <w:sz w:val="16"/>
          <w:szCs w:val="16"/>
          <w:color w:val="auto"/>
        </w:rPr>
        <w:t>1.33 “</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the Common Stock issuable or issued upon conversion of the Preferred Stock; (ii) any Common Stock, or any Common Stock issued or issuable (directly or indirectly) upon conversion and/or exercise of any other securities of the Company, acquired by the Investors on or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w:t>
      </w:r>
    </w:p>
    <w:p>
      <w:pPr>
        <w:spacing w:after="0" w:line="2" w:lineRule="exact"/>
        <w:rPr>
          <w:sz w:val="20"/>
          <w:szCs w:val="20"/>
          <w:color w:val="auto"/>
        </w:rPr>
      </w:pPr>
    </w:p>
    <w:p>
      <w:pPr>
        <w:ind w:left="4" w:right="40" w:hanging="4"/>
        <w:spacing w:after="0" w:line="255" w:lineRule="auto"/>
        <w:tabs>
          <w:tab w:leader="none" w:pos="21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and (ii) above; excluding in all cases, however, any Registrable Securities sold by a Person in a transaction in which the applicable rights under this Agreement are not assigned pursuant to Subsection 6.1, and excluding for purposes of Section 2 any shares for which registration rights have terminated pursuant to Subsection 2.13 of this Agreement.</w:t>
      </w:r>
    </w:p>
    <w:p>
      <w:pPr>
        <w:spacing w:after="0" w:line="186" w:lineRule="exact"/>
        <w:rPr>
          <w:sz w:val="20"/>
          <w:szCs w:val="20"/>
          <w:color w:val="auto"/>
        </w:rPr>
      </w:pPr>
    </w:p>
    <w:p>
      <w:pPr>
        <w:jc w:val="both"/>
        <w:ind w:left="4" w:right="140" w:firstLine="991"/>
        <w:spacing w:after="0" w:line="266"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4"/>
          </w:cols>
          <w:pgMar w:left="436" w:top="270" w:right="459" w:bottom="1440" w:gutter="0" w:footer="0" w:header="0"/>
        </w:sectPr>
      </w:pPr>
    </w:p>
    <w:bookmarkStart w:id="436" w:name="page437"/>
    <w:bookmarkEnd w:id="436"/>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1.35 “</w:t>
      </w:r>
      <w:r>
        <w:rPr>
          <w:rFonts w:ascii="Arial" w:cs="Arial" w:eastAsia="Arial" w:hAnsi="Arial"/>
          <w:sz w:val="17"/>
          <w:szCs w:val="17"/>
          <w:b w:val="1"/>
          <w:bCs w:val="1"/>
          <w:color w:val="auto"/>
        </w:rPr>
        <w:t>Restricted Securities</w:t>
      </w:r>
      <w:r>
        <w:rPr>
          <w:rFonts w:ascii="Arial" w:cs="Arial" w:eastAsia="Arial" w:hAnsi="Arial"/>
          <w:sz w:val="17"/>
          <w:szCs w:val="17"/>
          <w:color w:val="auto"/>
        </w:rPr>
        <w:t>” means the securities of the Company required to bear the legend set forth in Subsection 2.12(b) hereof.</w:t>
      </w:r>
    </w:p>
    <w:p>
      <w:pPr>
        <w:spacing w:after="0" w:line="237"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b w:val="1"/>
          <w:bCs w:val="1"/>
          <w:color w:val="auto"/>
        </w:rPr>
        <w:t>Regulated Investor</w:t>
      </w:r>
      <w:r>
        <w:rPr>
          <w:rFonts w:ascii="Arial" w:cs="Arial" w:eastAsia="Arial" w:hAnsi="Arial"/>
          <w:sz w:val="18"/>
          <w:szCs w:val="18"/>
          <w:color w:val="auto"/>
        </w:rPr>
        <w:t>” means any Investor that is a bank, bank holding company, financial holding company or an entity that is controlled by a bank, bank holding company or financial holding company, as such terms are defined under the BHCA, or an Affiliate of any such entity, including, without limitation, Goldman.</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1.38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225" w:lineRule="exact"/>
        <w:rPr>
          <w:sz w:val="20"/>
          <w:szCs w:val="20"/>
          <w:color w:val="auto"/>
        </w:rPr>
      </w:pPr>
    </w:p>
    <w:p>
      <w:pPr>
        <w:ind w:right="420" w:firstLine="991"/>
        <w:spacing w:after="0" w:line="282"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b w:val="1"/>
          <w:bCs w:val="1"/>
          <w:color w:val="auto"/>
        </w:rPr>
        <w:t>SEC Rule 144(b)(1)(i)</w:t>
      </w:r>
      <w:r>
        <w:rPr>
          <w:rFonts w:ascii="Arial" w:cs="Arial" w:eastAsia="Arial" w:hAnsi="Arial"/>
          <w:sz w:val="18"/>
          <w:szCs w:val="18"/>
          <w:color w:val="auto"/>
        </w:rPr>
        <w:t>” means subsection (b)(1)(i) of Rule 144 under the Securities Act as it applies to Persons who have held shares for more than one (1) year.</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1.40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1.41 “</w:t>
      </w:r>
      <w:r>
        <w:rPr>
          <w:rFonts w:ascii="Arial" w:cs="Arial" w:eastAsia="Arial" w:hAnsi="Arial"/>
          <w:sz w:val="18"/>
          <w:szCs w:val="18"/>
          <w:b w:val="1"/>
          <w:bCs w:val="1"/>
          <w:color w:val="auto"/>
        </w:rPr>
        <w:t>SEC Rule 415</w:t>
      </w:r>
      <w:r>
        <w:rPr>
          <w:rFonts w:ascii="Arial" w:cs="Arial" w:eastAsia="Arial" w:hAnsi="Arial"/>
          <w:sz w:val="18"/>
          <w:szCs w:val="18"/>
          <w:color w:val="auto"/>
        </w:rPr>
        <w:t>” means Rule 415 promulgated by the SEC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1.42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b w:val="1"/>
          <w:bCs w:val="1"/>
          <w:color w:val="auto"/>
        </w:rPr>
        <w:t>Selling Expenses</w:t>
      </w:r>
      <w:r>
        <w:rPr>
          <w:rFonts w:ascii="Arial" w:cs="Arial" w:eastAsia="Arial" w:hAnsi="Arial"/>
          <w:sz w:val="18"/>
          <w:szCs w:val="18"/>
          <w:color w:val="auto"/>
        </w:rPr>
        <w:t>”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Subsection 2.6.</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1.44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shares of the Company’s Series A Preferred Stock, par value $0.0001 per share.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1.45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shares of the Company’s Series B Preferred Stock, par value $0.0001 per share.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1.46 “</w:t>
      </w:r>
      <w:r>
        <w:rPr>
          <w:rFonts w:ascii="Arial" w:cs="Arial" w:eastAsia="Arial" w:hAnsi="Arial"/>
          <w:sz w:val="18"/>
          <w:szCs w:val="18"/>
          <w:b w:val="1"/>
          <w:bCs w:val="1"/>
          <w:color w:val="auto"/>
        </w:rPr>
        <w:t>Series B1 Preferred Stock</w:t>
      </w:r>
      <w:r>
        <w:rPr>
          <w:rFonts w:ascii="Arial" w:cs="Arial" w:eastAsia="Arial" w:hAnsi="Arial"/>
          <w:sz w:val="18"/>
          <w:szCs w:val="18"/>
          <w:color w:val="auto"/>
        </w:rPr>
        <w:t>” means shares of the Company’s Series B1 Preferred Stock, par value $0.0001 per share.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1.47 “</w:t>
      </w:r>
      <w:r>
        <w:rPr>
          <w:rFonts w:ascii="Arial" w:cs="Arial" w:eastAsia="Arial" w:hAnsi="Arial"/>
          <w:sz w:val="17"/>
          <w:szCs w:val="17"/>
          <w:b w:val="1"/>
          <w:bCs w:val="1"/>
          <w:color w:val="auto"/>
        </w:rPr>
        <w:t>Series B1-NV Preferred Stock</w:t>
      </w:r>
      <w:r>
        <w:rPr>
          <w:rFonts w:ascii="Arial" w:cs="Arial" w:eastAsia="Arial" w:hAnsi="Arial"/>
          <w:sz w:val="17"/>
          <w:szCs w:val="17"/>
          <w:color w:val="auto"/>
        </w:rPr>
        <w:t>” means shares of the Company’s Series B1-NV Preferred Stock, par value $0.0001 per share.</w:t>
      </w:r>
    </w:p>
    <w:p>
      <w:pPr>
        <w:spacing w:after="0" w:line="23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1.48 “</w:t>
      </w:r>
      <w:r>
        <w:rPr>
          <w:rFonts w:ascii="Arial" w:cs="Arial" w:eastAsia="Arial" w:hAnsi="Arial"/>
          <w:sz w:val="18"/>
          <w:szCs w:val="18"/>
          <w:b w:val="1"/>
          <w:bCs w:val="1"/>
          <w:color w:val="auto"/>
        </w:rPr>
        <w:t>Series C Preferred Stock</w:t>
      </w:r>
      <w:r>
        <w:rPr>
          <w:rFonts w:ascii="Arial" w:cs="Arial" w:eastAsia="Arial" w:hAnsi="Arial"/>
          <w:sz w:val="18"/>
          <w:szCs w:val="18"/>
          <w:color w:val="auto"/>
        </w:rPr>
        <w:t>” means shares of the Company’s Series C Preferred Stock, par value $0.0001 per share.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0" w:right="459" w:bottom="1440" w:gutter="0" w:footer="0" w:header="0"/>
        </w:sectPr>
      </w:pPr>
    </w:p>
    <w:bookmarkStart w:id="437" w:name="page438"/>
    <w:bookmarkEnd w:id="437"/>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1.49 “</w:t>
      </w:r>
      <w:r>
        <w:rPr>
          <w:rFonts w:ascii="Arial" w:cs="Arial" w:eastAsia="Arial" w:hAnsi="Arial"/>
          <w:sz w:val="18"/>
          <w:szCs w:val="18"/>
          <w:b w:val="1"/>
          <w:bCs w:val="1"/>
          <w:color w:val="auto"/>
        </w:rPr>
        <w:t>Series D Preferred Stock</w:t>
      </w:r>
      <w:r>
        <w:rPr>
          <w:rFonts w:ascii="Arial" w:cs="Arial" w:eastAsia="Arial" w:hAnsi="Arial"/>
          <w:sz w:val="18"/>
          <w:szCs w:val="18"/>
          <w:color w:val="auto"/>
        </w:rPr>
        <w:t>” means shares of the Company’s Series D Preferred Stock, par value $0.0001 per share.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1.50 “</w:t>
      </w:r>
      <w:r>
        <w:rPr>
          <w:rFonts w:ascii="Arial" w:cs="Arial" w:eastAsia="Arial" w:hAnsi="Arial"/>
          <w:sz w:val="18"/>
          <w:szCs w:val="18"/>
          <w:b w:val="1"/>
          <w:bCs w:val="1"/>
          <w:color w:val="auto"/>
        </w:rPr>
        <w:t>Series E Preferred Stock</w:t>
      </w:r>
      <w:r>
        <w:rPr>
          <w:rFonts w:ascii="Arial" w:cs="Arial" w:eastAsia="Arial" w:hAnsi="Arial"/>
          <w:sz w:val="18"/>
          <w:szCs w:val="18"/>
          <w:color w:val="auto"/>
        </w:rPr>
        <w:t>” means, collectively, shares of Series E-1 Preferred Stock and Series E-2 Preferred Stock.</w:t>
      </w:r>
    </w:p>
    <w:p>
      <w:pPr>
        <w:spacing w:after="0" w:line="225" w:lineRule="exact"/>
        <w:rPr>
          <w:sz w:val="20"/>
          <w:szCs w:val="20"/>
          <w:color w:val="auto"/>
        </w:rPr>
      </w:pPr>
    </w:p>
    <w:p>
      <w:pPr>
        <w:jc w:val="center"/>
        <w:ind w:right="56"/>
        <w:spacing w:after="0"/>
        <w:rPr>
          <w:sz w:val="20"/>
          <w:szCs w:val="20"/>
          <w:color w:val="auto"/>
        </w:rPr>
      </w:pPr>
      <w:r>
        <w:rPr>
          <w:rFonts w:ascii="Arial" w:cs="Arial" w:eastAsia="Arial" w:hAnsi="Arial"/>
          <w:sz w:val="18"/>
          <w:szCs w:val="18"/>
          <w:color w:val="auto"/>
        </w:rPr>
        <w:t>1.51 “</w:t>
      </w:r>
      <w:r>
        <w:rPr>
          <w:rFonts w:ascii="Arial" w:cs="Arial" w:eastAsia="Arial" w:hAnsi="Arial"/>
          <w:sz w:val="18"/>
          <w:szCs w:val="18"/>
          <w:b w:val="1"/>
          <w:bCs w:val="1"/>
          <w:color w:val="auto"/>
        </w:rPr>
        <w:t>Series E-1 Preferred Stock</w:t>
      </w:r>
      <w:r>
        <w:rPr>
          <w:rFonts w:ascii="Arial" w:cs="Arial" w:eastAsia="Arial" w:hAnsi="Arial"/>
          <w:sz w:val="18"/>
          <w:szCs w:val="18"/>
          <w:color w:val="auto"/>
        </w:rPr>
        <w:t>” means shares of the Company’s Series E-1 Preferred Stock, par value $0.0001 per share.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1.52 “</w:t>
      </w:r>
      <w:r>
        <w:rPr>
          <w:rFonts w:ascii="Arial" w:cs="Arial" w:eastAsia="Arial" w:hAnsi="Arial"/>
          <w:sz w:val="18"/>
          <w:szCs w:val="18"/>
          <w:b w:val="1"/>
          <w:bCs w:val="1"/>
          <w:color w:val="auto"/>
        </w:rPr>
        <w:t>Series E-2 Preferred Stock</w:t>
      </w:r>
      <w:r>
        <w:rPr>
          <w:rFonts w:ascii="Arial" w:cs="Arial" w:eastAsia="Arial" w:hAnsi="Arial"/>
          <w:sz w:val="18"/>
          <w:szCs w:val="18"/>
          <w:color w:val="auto"/>
        </w:rPr>
        <w:t>” means shares of the Company’s Series E-2 Preferred Stock, par value $0.0001 per share.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1.53 “</w:t>
      </w:r>
      <w:r>
        <w:rPr>
          <w:rFonts w:ascii="Arial" w:cs="Arial" w:eastAsia="Arial" w:hAnsi="Arial"/>
          <w:sz w:val="18"/>
          <w:szCs w:val="18"/>
          <w:b w:val="1"/>
          <w:bCs w:val="1"/>
          <w:color w:val="auto"/>
        </w:rPr>
        <w:t>Series F Preferred Stock</w:t>
      </w:r>
      <w:r>
        <w:rPr>
          <w:rFonts w:ascii="Arial" w:cs="Arial" w:eastAsia="Arial" w:hAnsi="Arial"/>
          <w:sz w:val="18"/>
          <w:szCs w:val="18"/>
          <w:color w:val="auto"/>
        </w:rPr>
        <w:t>” means, collectively, shares of Series F-1 Preferred Stock and Series F-2 Preferred Stock.</w:t>
      </w:r>
    </w:p>
    <w:p>
      <w:pPr>
        <w:spacing w:after="0" w:line="225" w:lineRule="exact"/>
        <w:rPr>
          <w:sz w:val="20"/>
          <w:szCs w:val="20"/>
          <w:color w:val="auto"/>
        </w:rPr>
      </w:pPr>
    </w:p>
    <w:p>
      <w:pPr>
        <w:jc w:val="center"/>
        <w:ind w:right="76"/>
        <w:spacing w:after="0"/>
        <w:rPr>
          <w:sz w:val="20"/>
          <w:szCs w:val="20"/>
          <w:color w:val="auto"/>
        </w:rPr>
      </w:pPr>
      <w:r>
        <w:rPr>
          <w:rFonts w:ascii="Arial" w:cs="Arial" w:eastAsia="Arial" w:hAnsi="Arial"/>
          <w:sz w:val="18"/>
          <w:szCs w:val="18"/>
          <w:color w:val="auto"/>
        </w:rPr>
        <w:t>1.54 “</w:t>
      </w:r>
      <w:r>
        <w:rPr>
          <w:rFonts w:ascii="Arial" w:cs="Arial" w:eastAsia="Arial" w:hAnsi="Arial"/>
          <w:sz w:val="18"/>
          <w:szCs w:val="18"/>
          <w:b w:val="1"/>
          <w:bCs w:val="1"/>
          <w:color w:val="auto"/>
        </w:rPr>
        <w:t>Series F-1 Preferred Stock</w:t>
      </w:r>
      <w:r>
        <w:rPr>
          <w:rFonts w:ascii="Arial" w:cs="Arial" w:eastAsia="Arial" w:hAnsi="Arial"/>
          <w:sz w:val="18"/>
          <w:szCs w:val="18"/>
          <w:color w:val="auto"/>
        </w:rPr>
        <w:t>” means shares of the Company’s Series F-1 Preferred Stock, par value $0.0001 per share.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1.55 “</w:t>
      </w:r>
      <w:r>
        <w:rPr>
          <w:rFonts w:ascii="Arial" w:cs="Arial" w:eastAsia="Arial" w:hAnsi="Arial"/>
          <w:sz w:val="18"/>
          <w:szCs w:val="18"/>
          <w:b w:val="1"/>
          <w:bCs w:val="1"/>
          <w:color w:val="auto"/>
        </w:rPr>
        <w:t>Series F-2 Preferred Stock</w:t>
      </w:r>
      <w:r>
        <w:rPr>
          <w:rFonts w:ascii="Arial" w:cs="Arial" w:eastAsia="Arial" w:hAnsi="Arial"/>
          <w:sz w:val="18"/>
          <w:szCs w:val="18"/>
          <w:color w:val="auto"/>
        </w:rPr>
        <w:t>” means shares of the Company’s Series F-2 Preferred Stock, par value $0.0001 per share.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1.56 “</w:t>
      </w:r>
      <w:r>
        <w:rPr>
          <w:rFonts w:ascii="Arial" w:cs="Arial" w:eastAsia="Arial" w:hAnsi="Arial"/>
          <w:sz w:val="17"/>
          <w:szCs w:val="17"/>
          <w:b w:val="1"/>
          <w:bCs w:val="1"/>
          <w:color w:val="auto"/>
        </w:rPr>
        <w:t>Spark Director</w:t>
      </w:r>
      <w:r>
        <w:rPr>
          <w:rFonts w:ascii="Arial" w:cs="Arial" w:eastAsia="Arial" w:hAnsi="Arial"/>
          <w:sz w:val="17"/>
          <w:szCs w:val="17"/>
          <w:color w:val="auto"/>
        </w:rPr>
        <w:t>” means the director designated pursuant to Section 1.2(a) of the Voting Agreement (as defined in the Purchase</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1.57 “</w:t>
      </w:r>
      <w:r>
        <w:rPr>
          <w:rFonts w:ascii="Arial" w:cs="Arial" w:eastAsia="Arial" w:hAnsi="Arial"/>
          <w:sz w:val="18"/>
          <w:szCs w:val="18"/>
          <w:b w:val="1"/>
          <w:bCs w:val="1"/>
          <w:color w:val="auto"/>
        </w:rPr>
        <w:t>WKSI</w:t>
      </w:r>
      <w:r>
        <w:rPr>
          <w:rFonts w:ascii="Arial" w:cs="Arial" w:eastAsia="Arial" w:hAnsi="Arial"/>
          <w:sz w:val="18"/>
          <w:szCs w:val="18"/>
          <w:color w:val="auto"/>
        </w:rPr>
        <w:t>” means a “well-known seasoned issuer” as defined in Rule 405 under the Securities Act.</w:t>
      </w:r>
    </w:p>
    <w:p>
      <w:pPr>
        <w:spacing w:after="0" w:line="337" w:lineRule="exact"/>
        <w:rPr>
          <w:sz w:val="20"/>
          <w:szCs w:val="20"/>
          <w:color w:val="auto"/>
        </w:rPr>
      </w:pPr>
    </w:p>
    <w:p>
      <w:pPr>
        <w:ind w:left="984" w:right="5340" w:hanging="544"/>
        <w:spacing w:after="0" w:line="402" w:lineRule="auto"/>
        <w:tabs>
          <w:tab w:leader="none" w:pos="748" w:val="left"/>
        </w:tabs>
        <w:numPr>
          <w:ilvl w:val="1"/>
          <w:numId w:val="302"/>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covenants and agrees as follows: 2.1 </w:t>
      </w:r>
      <w:r>
        <w:rPr>
          <w:rFonts w:ascii="Arial" w:cs="Arial" w:eastAsia="Arial" w:hAnsi="Arial"/>
          <w:sz w:val="18"/>
          <w:szCs w:val="18"/>
          <w:u w:val="single" w:color="auto"/>
          <w:color w:val="auto"/>
        </w:rPr>
        <w:t>Demand Registration.</w:t>
      </w:r>
    </w:p>
    <w:p>
      <w:pPr>
        <w:spacing w:after="0" w:line="62" w:lineRule="exact"/>
        <w:rPr>
          <w:rFonts w:ascii="Arial" w:cs="Arial" w:eastAsia="Arial" w:hAnsi="Arial"/>
          <w:sz w:val="18"/>
          <w:szCs w:val="18"/>
          <w:color w:val="auto"/>
        </w:rPr>
      </w:pPr>
    </w:p>
    <w:p>
      <w:pPr>
        <w:ind w:left="1804" w:hanging="372"/>
        <w:spacing w:after="0"/>
        <w:tabs>
          <w:tab w:leader="none" w:pos="1804" w:val="left"/>
        </w:tabs>
        <w:numPr>
          <w:ilvl w:val="2"/>
          <w:numId w:val="302"/>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xml:space="preserve"> If at any time after the earlier of (i) four (4) years after the date of this Agreement or (ii) one hundred eighty</w:t>
      </w:r>
    </w:p>
    <w:p>
      <w:pPr>
        <w:spacing w:after="0" w:line="46" w:lineRule="exact"/>
        <w:rPr>
          <w:rFonts w:ascii="Arial" w:cs="Arial" w:eastAsia="Arial" w:hAnsi="Arial"/>
          <w:sz w:val="16"/>
          <w:szCs w:val="16"/>
          <w:color w:val="auto"/>
        </w:rPr>
      </w:pPr>
    </w:p>
    <w:p>
      <w:pPr>
        <w:ind w:left="4" w:right="80" w:hanging="4"/>
        <w:spacing w:after="0" w:line="281" w:lineRule="auto"/>
        <w:tabs>
          <w:tab w:leader="none" w:pos="439" w:val="left"/>
        </w:tabs>
        <w:numPr>
          <w:ilvl w:val="0"/>
          <w:numId w:val="303"/>
        </w:numPr>
        <w:rPr>
          <w:rFonts w:ascii="Arial" w:cs="Arial" w:eastAsia="Arial" w:hAnsi="Arial"/>
          <w:sz w:val="16"/>
          <w:szCs w:val="16"/>
          <w:color w:val="auto"/>
        </w:rPr>
      </w:pPr>
      <w:r>
        <w:rPr>
          <w:rFonts w:ascii="Arial" w:cs="Arial" w:eastAsia="Arial" w:hAnsi="Arial"/>
          <w:sz w:val="16"/>
          <w:szCs w:val="16"/>
          <w:color w:val="auto"/>
        </w:rPr>
        <w:t>days after the effective date of the registration statement for the IPO, the Company receives a request from Holders of at least forty percent (40%) of the Registrable Securities then outstanding that the Company file a Form S-1 registration statement with respect to the Registrable Securities then outstanding having an anticipated aggregate offering price, net of Selling Expenses, of at least $10,000,000, then the Company shall (x) within ten</w:t>
      </w:r>
    </w:p>
    <w:p>
      <w:pPr>
        <w:spacing w:after="0" w:line="1" w:lineRule="exact"/>
        <w:rPr>
          <w:rFonts w:ascii="Arial" w:cs="Arial" w:eastAsia="Arial" w:hAnsi="Arial"/>
          <w:sz w:val="16"/>
          <w:szCs w:val="16"/>
          <w:color w:val="auto"/>
        </w:rPr>
      </w:pPr>
    </w:p>
    <w:p>
      <w:pPr>
        <w:ind w:left="4" w:hanging="4"/>
        <w:spacing w:after="0" w:line="292" w:lineRule="auto"/>
        <w:tabs>
          <w:tab w:leader="none" w:pos="349" w:val="left"/>
        </w:tabs>
        <w:numPr>
          <w:ilvl w:val="0"/>
          <w:numId w:val="304"/>
        </w:numPr>
        <w:rPr>
          <w:rFonts w:ascii="Arial" w:cs="Arial" w:eastAsia="Arial" w:hAnsi="Arial"/>
          <w:sz w:val="16"/>
          <w:szCs w:val="16"/>
          <w:color w:val="auto"/>
        </w:rPr>
      </w:pPr>
      <w:r>
        <w:rPr>
          <w:rFonts w:ascii="Arial" w:cs="Arial" w:eastAsia="Arial" w:hAnsi="Arial"/>
          <w:sz w:val="16"/>
          <w:szCs w:val="16"/>
          <w:color w:val="auto"/>
        </w:rPr>
        <w:t>days after the date such request is given, give notice thereof (the “</w:t>
      </w:r>
      <w:r>
        <w:rPr>
          <w:rFonts w:ascii="Arial" w:cs="Arial" w:eastAsia="Arial" w:hAnsi="Arial"/>
          <w:sz w:val="16"/>
          <w:szCs w:val="16"/>
          <w:b w:val="1"/>
          <w:bCs w:val="1"/>
          <w:color w:val="auto"/>
        </w:rPr>
        <w:t>Demand Notice</w:t>
      </w:r>
      <w:r>
        <w:rPr>
          <w:rFonts w:ascii="Arial" w:cs="Arial" w:eastAsia="Arial" w:hAnsi="Arial"/>
          <w:sz w:val="16"/>
          <w:szCs w:val="16"/>
          <w:color w:val="auto"/>
        </w:rPr>
        <w:t>”)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Subsection 2.1(c) and Subsection 2.3.</w:t>
      </w:r>
    </w:p>
    <w:p>
      <w:pPr>
        <w:spacing w:after="0" w:line="94" w:lineRule="exact"/>
        <w:rPr>
          <w:rFonts w:ascii="Arial" w:cs="Arial" w:eastAsia="Arial" w:hAnsi="Arial"/>
          <w:sz w:val="16"/>
          <w:szCs w:val="16"/>
          <w:color w:val="auto"/>
        </w:rPr>
      </w:pPr>
    </w:p>
    <w:p>
      <w:pPr>
        <w:ind w:left="5464" w:hanging="106"/>
        <w:spacing w:after="0"/>
        <w:tabs>
          <w:tab w:leader="none" w:pos="5464" w:val="left"/>
        </w:tabs>
        <w:numPr>
          <w:ilvl w:val="3"/>
          <w:numId w:val="304"/>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004"/>
          </w:cols>
          <w:pgMar w:left="436" w:top="270" w:right="459" w:bottom="1440" w:gutter="0" w:footer="0" w:header="0"/>
        </w:sectPr>
      </w:pPr>
    </w:p>
    <w:bookmarkStart w:id="438" w:name="page439"/>
    <w:bookmarkEnd w:id="438"/>
    <w:p>
      <w:pPr>
        <w:ind w:left="4" w:firstLine="1428"/>
        <w:spacing w:after="0" w:line="287" w:lineRule="auto"/>
        <w:tabs>
          <w:tab w:leader="none" w:pos="1826" w:val="left"/>
        </w:tabs>
        <w:numPr>
          <w:ilvl w:val="0"/>
          <w:numId w:val="30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S-3 Demand.</w:t>
      </w:r>
      <w:r>
        <w:rPr>
          <w:rFonts w:ascii="Arial" w:cs="Arial" w:eastAsia="Arial" w:hAnsi="Arial"/>
          <w:sz w:val="16"/>
          <w:szCs w:val="16"/>
          <w:color w:val="auto"/>
        </w:rPr>
        <w:t xml:space="preserve"> If at any time when it is eligible to use a Form S-3 registration statement, the Company receives a request from Holders of at least twenty percent (20%) of the Registrable Securities then outstanding that the Company file a Form S-3 registration statement, including for an offering to be made on a continuous or delayed basis pursuant to SEC Rule 415 under the Securities Act (or any similar rule that may be adopted by the SEC covering such Registrable Securities), with respect to outstanding Registrable Securities of such Holders having an anticipated aggregate offering price, net of Selling Expenses, of at least $1,000,000,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Subsection 2.1(c) and Subsection 2.3;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registration pursuant to this Subsection 2.1(b), (i) to the extent the Company is then a WKSI, it shall use its best efforts to file and cause to be immediately effective a registration statement that shall constitute an Automatic Registration Statement and (ii) if the Company is not then a WKSI, it shall use its best efforts to file the registration statement, in each case, within time periods specified in this Subsection 2.1(b).</w:t>
      </w:r>
    </w:p>
    <w:p>
      <w:pPr>
        <w:spacing w:after="0" w:line="168" w:lineRule="exact"/>
        <w:rPr>
          <w:sz w:val="20"/>
          <w:szCs w:val="20"/>
          <w:color w:val="auto"/>
        </w:rPr>
      </w:pPr>
    </w:p>
    <w:p>
      <w:pPr>
        <w:ind w:left="4" w:firstLine="1428"/>
        <w:spacing w:after="0" w:line="269" w:lineRule="auto"/>
        <w:tabs>
          <w:tab w:leader="none" w:pos="1816" w:val="left"/>
        </w:tabs>
        <w:numPr>
          <w:ilvl w:val="1"/>
          <w:numId w:val="306"/>
        </w:numPr>
        <w:rPr>
          <w:rFonts w:ascii="Arial" w:cs="Arial" w:eastAsia="Arial" w:hAnsi="Arial"/>
          <w:sz w:val="17"/>
          <w:szCs w:val="17"/>
          <w:color w:val="auto"/>
        </w:rPr>
      </w:pPr>
      <w:r>
        <w:rPr>
          <w:rFonts w:ascii="Arial" w:cs="Arial" w:eastAsia="Arial" w:hAnsi="Arial"/>
          <w:sz w:val="17"/>
          <w:szCs w:val="17"/>
          <w:color w:val="auto"/>
        </w:rPr>
        <w:t xml:space="preserve">Notwithstanding the foregoing obligations, if the Company furnishes to Holders requesting a registration pursuant to this Subsection 2.1 a certificate signed by the Company’s chief executive officer stating that in the good faith judgment of the Company’s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Company may not invoke this right more than once in any twelve (12) month period;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Company shall not register any securities for its own account or that of any other stockholder during such ninety (90) day period other than an Excluded Registration.</w:t>
      </w:r>
    </w:p>
    <w:p>
      <w:pPr>
        <w:spacing w:after="0" w:line="181" w:lineRule="exact"/>
        <w:rPr>
          <w:rFonts w:ascii="Arial" w:cs="Arial" w:eastAsia="Arial" w:hAnsi="Arial"/>
          <w:sz w:val="17"/>
          <w:szCs w:val="17"/>
          <w:color w:val="auto"/>
        </w:rPr>
      </w:pPr>
    </w:p>
    <w:p>
      <w:pPr>
        <w:ind w:left="4" w:firstLine="1428"/>
        <w:spacing w:after="0" w:line="291" w:lineRule="auto"/>
        <w:tabs>
          <w:tab w:leader="none" w:pos="1823" w:val="left"/>
        </w:tabs>
        <w:numPr>
          <w:ilvl w:val="1"/>
          <w:numId w:val="306"/>
        </w:numPr>
        <w:rPr>
          <w:rFonts w:ascii="Arial" w:cs="Arial" w:eastAsia="Arial" w:hAnsi="Arial"/>
          <w:sz w:val="16"/>
          <w:szCs w:val="16"/>
          <w:color w:val="auto"/>
        </w:rPr>
      </w:pPr>
      <w:r>
        <w:rPr>
          <w:rFonts w:ascii="Arial" w:cs="Arial" w:eastAsia="Arial" w:hAnsi="Arial"/>
          <w:sz w:val="16"/>
          <w:szCs w:val="16"/>
          <w:color w:val="auto"/>
        </w:rPr>
        <w:t>The Company shall not be obligated to effect, or to take any action to effect, any registration pursuant to Subsection 2.1(a) (i) during the period that is sixty (60) days before the Company’s good faith estimate of the date of filing of, and ending on a date that is one hundred eighty</w:t>
      </w:r>
    </w:p>
    <w:p>
      <w:pPr>
        <w:ind w:left="4" w:right="20" w:hanging="4"/>
        <w:spacing w:after="0" w:line="273" w:lineRule="auto"/>
        <w:tabs>
          <w:tab w:leader="none" w:pos="439" w:val="left"/>
        </w:tabs>
        <w:numPr>
          <w:ilvl w:val="0"/>
          <w:numId w:val="307"/>
        </w:numPr>
        <w:rPr>
          <w:rFonts w:ascii="Arial" w:cs="Arial" w:eastAsia="Arial" w:hAnsi="Arial"/>
          <w:sz w:val="17"/>
          <w:szCs w:val="17"/>
          <w:color w:val="auto"/>
        </w:rPr>
      </w:pPr>
      <w:r>
        <w:rPr>
          <w:rFonts w:ascii="Arial" w:cs="Arial" w:eastAsia="Arial" w:hAnsi="Arial"/>
          <w:sz w:val="17"/>
          <w:szCs w:val="17"/>
          <w:color w:val="auto"/>
        </w:rPr>
        <w:t xml:space="preserve">days after the effective date of, a Company-initiated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is actively employing in good faith commercially reasonable efforts to cause such registration statement to become effective; (ii) after the Company has effected two (2) registrations pursuant to Subsection 2.1(a); or (iii) if the Initiating Holders propose to dispose of shares of Registrable Securities that may be immediately registered on Form S-3 pursuant to a request made pursuant to Subsection 2.1(b). The Company shall not be obligated to effect, or to</w:t>
      </w:r>
    </w:p>
    <w:p>
      <w:pPr>
        <w:spacing w:after="0" w:line="108" w:lineRule="exact"/>
        <w:rPr>
          <w:rFonts w:ascii="Arial" w:cs="Arial" w:eastAsia="Arial" w:hAnsi="Arial"/>
          <w:sz w:val="17"/>
          <w:szCs w:val="17"/>
          <w:color w:val="auto"/>
        </w:rPr>
      </w:pPr>
    </w:p>
    <w:p>
      <w:pPr>
        <w:ind w:left="5464" w:hanging="106"/>
        <w:spacing w:after="0"/>
        <w:tabs>
          <w:tab w:leader="none" w:pos="5464" w:val="left"/>
        </w:tabs>
        <w:numPr>
          <w:ilvl w:val="2"/>
          <w:numId w:val="307"/>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004"/>
          </w:cols>
          <w:pgMar w:left="436" w:top="274" w:right="459" w:bottom="1440" w:gutter="0" w:footer="0" w:header="0"/>
        </w:sectPr>
      </w:pPr>
    </w:p>
    <w:bookmarkStart w:id="439" w:name="page440"/>
    <w:bookmarkEnd w:id="439"/>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take any action to effect, any registration pursuant to Subsection 2.1(b) (i) during the period 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or (ii) if the Company has effected two (2) registrations pursuant to Subsection 2.1(b) within the twelve (12) month period immediately preceding the date of such request. A registration shall not be counted as “effected” for purposes of this Subsection 2.1(d) until such time as the applicable registration statement has been declared effective by the SEC and shall have remained effective for one hundred eighty (180) days (excluding any periods of time during which such Registration Statement is tolled or suspended pursuant to Subsection 2.1(c) or this Subsection 2.1(d)) or such shorter period as may be required to sell all Registrable Securities included in such relevant Registration Statement, unless the Initiating Holders withdraw their request for such registration, elect not to pay the registration expenses therefor, and forfeit their right to one demand registration statement pursuant to Subsection 2.6, in which case such withdrawn registration statement shall be counted as “effected” for purposes of this Subsection 2.1(d). Notwithstanding the foregoing, in no event shall a registration be deemed to have been effected (i) if after it has become effective such registration is interfered with by any stop order, injunction or other order or requirement of the SEC or other Governmental Authority or court for any reason other than a misrepresentation or an omission by any Holder and, as a result thereof, the Registrable Securities requested to be registered cannot be completely distributed in accordance with the plan of distribution set forth in the related Registration Statement or (ii) if the conditions to closing specified in the purchase agreement or underwriting agreement entered into in connection with such registration are not satisfied or waived other than solely by reason of an act or omission by any Holder.</w:t>
      </w:r>
    </w:p>
    <w:p>
      <w:pPr>
        <w:spacing w:after="0" w:line="180" w:lineRule="exact"/>
        <w:rPr>
          <w:sz w:val="20"/>
          <w:szCs w:val="20"/>
          <w:color w:val="auto"/>
        </w:rPr>
      </w:pPr>
    </w:p>
    <w:p>
      <w:pPr>
        <w:ind w:left="4" w:right="20" w:firstLine="991"/>
        <w:spacing w:after="0" w:line="287"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Company Registration.</w:t>
      </w:r>
      <w:r>
        <w:rPr>
          <w:rFonts w:ascii="Arial" w:cs="Arial" w:eastAsia="Arial" w:hAnsi="Arial"/>
          <w:sz w:val="16"/>
          <w:szCs w:val="16"/>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or a registration for a Direct Listing), the Company shall, at such time, promptly but in no event less than five</w:t>
      </w:r>
    </w:p>
    <w:p>
      <w:pPr>
        <w:spacing w:after="0" w:line="2" w:lineRule="exact"/>
        <w:rPr>
          <w:sz w:val="20"/>
          <w:szCs w:val="20"/>
          <w:color w:val="auto"/>
        </w:rPr>
      </w:pPr>
    </w:p>
    <w:p>
      <w:pPr>
        <w:ind w:left="4" w:right="20" w:hanging="4"/>
        <w:spacing w:after="0" w:line="268" w:lineRule="auto"/>
        <w:tabs>
          <w:tab w:leader="none" w:pos="259" w:val="left"/>
        </w:tabs>
        <w:numPr>
          <w:ilvl w:val="0"/>
          <w:numId w:val="308"/>
        </w:numPr>
        <w:rPr>
          <w:rFonts w:ascii="Arial" w:cs="Arial" w:eastAsia="Arial" w:hAnsi="Arial"/>
          <w:sz w:val="17"/>
          <w:szCs w:val="17"/>
          <w:color w:val="auto"/>
        </w:rPr>
      </w:pPr>
      <w:r>
        <w:rPr>
          <w:rFonts w:ascii="Arial" w:cs="Arial" w:eastAsia="Arial" w:hAnsi="Arial"/>
          <w:sz w:val="17"/>
          <w:szCs w:val="17"/>
          <w:color w:val="auto"/>
        </w:rPr>
        <w:t>days in advance of filing such registration statement, give each Holder notice of such registration. Upon the request of each Holder given within twenty (20) days after such notice is given by the Company, the Company shall, subject to the provisions of Subsection 2.3, cause to be registered all of the Registrable Securities that each such Holder has requested to be included in such registration. Upon five (5) days prior written notice to each Holder, the Company shall have the right to terminate or withdraw any registration initiated by it under this Subsection 2.2 before the effective date of such registration, whether or not any Holder has elected to include Registrable Securities in such registration. The expenses (other than Selling Expenses) of such withdrawn registration shall be borne by the Company in accordance with Subsection 2.6. If a Holder decides not to include all of its Registrable Securities in any registration statement thereafter filed by the Company, such Holder shall nevertheless continue to have the right to include any Registrable Securities in a subsequent registration statement or registration statements as may be filed by the Company with respect to offerings of its securities, all upon the terms and conditions set forth herein.</w:t>
      </w:r>
    </w:p>
    <w:p>
      <w:pPr>
        <w:spacing w:after="0" w:line="113" w:lineRule="exact"/>
        <w:rPr>
          <w:rFonts w:ascii="Arial" w:cs="Arial" w:eastAsia="Arial" w:hAnsi="Arial"/>
          <w:sz w:val="17"/>
          <w:szCs w:val="17"/>
          <w:color w:val="auto"/>
        </w:rPr>
      </w:pPr>
    </w:p>
    <w:p>
      <w:pPr>
        <w:ind w:left="5464" w:hanging="106"/>
        <w:spacing w:after="0"/>
        <w:tabs>
          <w:tab w:leader="none" w:pos="5464" w:val="left"/>
        </w:tabs>
        <w:numPr>
          <w:ilvl w:val="1"/>
          <w:numId w:val="308"/>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04"/>
          </w:cols>
          <w:pgMar w:left="436" w:top="274" w:right="459" w:bottom="1440" w:gutter="0" w:footer="0" w:header="0"/>
        </w:sectPr>
      </w:pPr>
    </w:p>
    <w:bookmarkStart w:id="440" w:name="page441"/>
    <w:bookmarkEnd w:id="440"/>
    <w:p>
      <w:pPr>
        <w:spacing w:after="0"/>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w:t>
      </w:r>
      <w:r>
        <w:rPr>
          <w:sz w:val="20"/>
          <w:szCs w:val="20"/>
          <w:color w:val="auto"/>
        </w:rPr>
        <w:tab/>
      </w:r>
      <w:r>
        <w:rPr>
          <w:rFonts w:ascii="Arial" w:cs="Arial" w:eastAsia="Arial" w:hAnsi="Arial"/>
          <w:sz w:val="16"/>
          <w:szCs w:val="16"/>
          <w:u w:val="single" w:color="auto"/>
          <w:color w:val="auto"/>
        </w:rPr>
        <w:t>Underwriting Requirements.</w:t>
      </w:r>
    </w:p>
    <w:p>
      <w:pPr>
        <w:spacing w:after="0" w:line="117" w:lineRule="exact"/>
        <w:rPr>
          <w:sz w:val="20"/>
          <w:szCs w:val="20"/>
          <w:color w:val="auto"/>
        </w:rPr>
      </w:pPr>
    </w:p>
    <w:p>
      <w:pPr>
        <w:ind w:left="-980" w:right="20" w:firstLine="1428"/>
        <w:spacing w:after="0" w:line="268" w:lineRule="auto"/>
        <w:tabs>
          <w:tab w:leader="none" w:pos="832"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If, pursuant to Subsection 2.1, the Initiating Holders intend to distribute the Registrable Securities covered by their request by means of an underwriting, they shall so advise the Company as a part of their request made pursuant to Subsection 2.1,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Subsection 2.4(e)) enter into an underwriting agreement in customary form with the underwriter(s) selected for such underwriting. Notwithstanding any other provision of this Subsection 2.3,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number of Registrable Securities held by the Holders to be included in such underwriting shall not be reduced unless all other securities are first entirely excluded from the underwriting.</w:t>
      </w:r>
    </w:p>
    <w:p>
      <w:pPr>
        <w:spacing w:after="0" w:line="184" w:lineRule="exact"/>
        <w:rPr>
          <w:rFonts w:ascii="Arial" w:cs="Arial" w:eastAsia="Arial" w:hAnsi="Arial"/>
          <w:sz w:val="17"/>
          <w:szCs w:val="17"/>
          <w:color w:val="auto"/>
        </w:rPr>
      </w:pPr>
    </w:p>
    <w:p>
      <w:pPr>
        <w:ind w:left="-980" w:firstLine="1428"/>
        <w:spacing w:after="0" w:line="285" w:lineRule="auto"/>
        <w:tabs>
          <w:tab w:leader="none" w:pos="842" w:val="left"/>
        </w:tabs>
        <w:numPr>
          <w:ilvl w:val="0"/>
          <w:numId w:val="309"/>
        </w:numPr>
        <w:rPr>
          <w:rFonts w:ascii="Arial" w:cs="Arial" w:eastAsia="Arial" w:hAnsi="Arial"/>
          <w:sz w:val="16"/>
          <w:szCs w:val="16"/>
          <w:color w:val="auto"/>
        </w:rPr>
      </w:pPr>
      <w:r>
        <w:rPr>
          <w:rFonts w:ascii="Arial" w:cs="Arial" w:eastAsia="Arial" w:hAnsi="Arial"/>
          <w:sz w:val="16"/>
          <w:szCs w:val="16"/>
          <w:color w:val="auto"/>
        </w:rPr>
        <w:t>In connection with any offering involving an underwriting of shares of the Company’s capital stock pursuant to Subsection 2.2,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in writing by all such selling Holders.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Subsection 2.3(b) concerning apportionment, for any selling Holder that is a partnership, limited liability company, or corporation, the partners,</w:t>
      </w:r>
    </w:p>
    <w:p>
      <w:pPr>
        <w:spacing w:after="0" w:line="108" w:lineRule="exact"/>
        <w:rPr>
          <w:rFonts w:ascii="Arial" w:cs="Arial" w:eastAsia="Arial" w:hAnsi="Arial"/>
          <w:sz w:val="16"/>
          <w:szCs w:val="16"/>
          <w:color w:val="auto"/>
        </w:rPr>
      </w:pPr>
    </w:p>
    <w:p>
      <w:pPr>
        <w:ind w:left="4440" w:hanging="111"/>
        <w:spacing w:after="0"/>
        <w:tabs>
          <w:tab w:leader="none" w:pos="444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020"/>
          </w:cols>
          <w:pgMar w:left="1420" w:top="274" w:right="459" w:bottom="1440" w:gutter="0" w:footer="0" w:header="0"/>
        </w:sectPr>
      </w:pPr>
    </w:p>
    <w:bookmarkStart w:id="441" w:name="page442"/>
    <w:bookmarkEnd w:id="441"/>
    <w:p>
      <w:pPr>
        <w:ind w:right="2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71" w:lineRule="exact"/>
        <w:rPr>
          <w:sz w:val="20"/>
          <w:szCs w:val="20"/>
          <w:color w:val="auto"/>
        </w:rPr>
      </w:pPr>
    </w:p>
    <w:p>
      <w:pPr>
        <w:ind w:right="20" w:firstLine="1428"/>
        <w:spacing w:after="0" w:line="263" w:lineRule="auto"/>
        <w:tabs>
          <w:tab w:leader="none" w:pos="181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For purposes of Subsection 2.1, a registration shall not be counted as “effected” if, as a result of an exercise of the underwriter’s cutback provisions in Subsection 2.3(a), fewer than two-thirds of the total number of Registrable Securities that Holders have requested to be included in such registration statement are actually included.</w:t>
      </w:r>
    </w:p>
    <w:p>
      <w:pPr>
        <w:spacing w:after="0" w:line="184"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 xml:space="preserve">Obligations of the Company. </w:t>
      </w:r>
      <w:r>
        <w:rPr>
          <w:rFonts w:ascii="Arial" w:cs="Arial" w:eastAsia="Arial" w:hAnsi="Arial"/>
          <w:sz w:val="16"/>
          <w:szCs w:val="16"/>
          <w:color w:val="auto"/>
        </w:rPr>
        <w:t>Whenever required under this Section 2 to effect the registration of any Registrable Securities,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211" w:lineRule="exact"/>
        <w:rPr>
          <w:sz w:val="20"/>
          <w:szCs w:val="20"/>
          <w:color w:val="auto"/>
        </w:rPr>
      </w:pPr>
    </w:p>
    <w:p>
      <w:pPr>
        <w:ind w:firstLine="1428"/>
        <w:spacing w:after="0" w:line="290" w:lineRule="auto"/>
        <w:tabs>
          <w:tab w:leader="none" w:pos="1812"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and keep such registration statement effective for a period of up to one hundred twenty (120) days or, if earlier, until the distribution contemplated in the registration statement has been completed;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ninety (90) days, if necessary, to keep the registration statement effective until all such Registrable Securities are sold;</w:t>
      </w:r>
    </w:p>
    <w:p>
      <w:pPr>
        <w:spacing w:after="0" w:line="165" w:lineRule="exact"/>
        <w:rPr>
          <w:rFonts w:ascii="Arial" w:cs="Arial" w:eastAsia="Arial" w:hAnsi="Arial"/>
          <w:sz w:val="16"/>
          <w:szCs w:val="16"/>
          <w:color w:val="auto"/>
        </w:rPr>
      </w:pPr>
    </w:p>
    <w:p>
      <w:pPr>
        <w:ind w:firstLine="1428"/>
        <w:spacing w:after="0" w:line="269" w:lineRule="auto"/>
        <w:tabs>
          <w:tab w:leader="none" w:pos="1822"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 </w:t>
      </w:r>
      <w:r>
        <w:rPr>
          <w:rFonts w:ascii="Arial" w:cs="Arial" w:eastAsia="Arial" w:hAnsi="Arial"/>
          <w:sz w:val="17"/>
          <w:szCs w:val="17"/>
          <w:u w:val="single" w:color="auto"/>
          <w:color w:val="auto"/>
        </w:rPr>
        <w:t>provided, however</w:t>
      </w:r>
      <w:r>
        <w:rPr>
          <w:rFonts w:ascii="Arial" w:cs="Arial" w:eastAsia="Arial" w:hAnsi="Arial"/>
          <w:sz w:val="14"/>
          <w:szCs w:val="14"/>
          <w:u w:val="single" w:color="auto"/>
          <w:color w:val="auto"/>
        </w:rPr>
        <w:t>¸</w:t>
      </w:r>
      <w:r>
        <w:rPr>
          <w:rFonts w:ascii="Arial" w:cs="Arial" w:eastAsia="Arial" w:hAnsi="Arial"/>
          <w:sz w:val="17"/>
          <w:szCs w:val="17"/>
          <w:color w:val="auto"/>
        </w:rPr>
        <w:t xml:space="preserve"> that as far in advance as reasonably practicable before filing any registration statement or any supplement or amendment thereto (for purposes of this Subsection 2.4, supplements and amendments shall not be deemed to include any filing that the Company is required to make pursuant to the Exchange Act), the Company shall furnish to each Regulated Investor and representatives of each such Regulated Investor copies of all documents proposed to be filed (including, without limitation, all exhibits and documents to be incorporated by reference therein, subject to (x) confidentiality obligations binding upon the Company and (y) redaction of competitively sensitive information to the extent such Regulated Investor is a Competitor) and provide each Regulated Investor and each such Regulated Investor’s representatives the opportunity to object to any information pertaining to such Regulated Investor (or any of such Regulated Investor’s Affiliates) and its plan of distribution that is contained therein, and the Company shall, subject to applicable Law, make any corrections reasonably requested by the Regulated Investors prior to filing such registration statement or supplement or amendment thereto;</w:t>
      </w:r>
    </w:p>
    <w:p>
      <w:pPr>
        <w:spacing w:after="0" w:line="114" w:lineRule="exact"/>
        <w:rPr>
          <w:rFonts w:ascii="Arial" w:cs="Arial" w:eastAsia="Arial" w:hAnsi="Arial"/>
          <w:sz w:val="17"/>
          <w:szCs w:val="17"/>
          <w:color w:val="auto"/>
        </w:rPr>
      </w:pPr>
    </w:p>
    <w:p>
      <w:pPr>
        <w:ind w:left="5420" w:hanging="108"/>
        <w:spacing w:after="0"/>
        <w:tabs>
          <w:tab w:leader="none" w:pos="54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80"/>
          </w:cols>
          <w:pgMar w:left="440" w:top="274" w:right="479" w:bottom="1440" w:gutter="0" w:footer="0" w:header="0"/>
        </w:sectPr>
      </w:pPr>
    </w:p>
    <w:bookmarkStart w:id="442" w:name="page443"/>
    <w:bookmarkEnd w:id="442"/>
    <w:p>
      <w:pPr>
        <w:jc w:val="both"/>
        <w:ind w:left="-1000" w:right="240" w:firstLine="1428"/>
        <w:spacing w:after="0" w:line="342" w:lineRule="auto"/>
        <w:tabs>
          <w:tab w:leader="none" w:pos="822" w:val="left"/>
        </w:tabs>
        <w:numPr>
          <w:ilvl w:val="0"/>
          <w:numId w:val="3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furnish to the selling Holders such number of copies of a prospectus, including a preliminary prospectus, as required by the Securities Act, and such other documents as the Holders may reasonably request in order to facilitate their disposition of their Registrable Securities;</w:t>
      </w:r>
    </w:p>
    <w:p>
      <w:pPr>
        <w:spacing w:after="0" w:line="123" w:lineRule="exact"/>
        <w:rPr>
          <w:rFonts w:ascii="Arial" w:cs="Arial" w:eastAsia="Arial" w:hAnsi="Arial"/>
          <w:sz w:val="16"/>
          <w:szCs w:val="16"/>
          <w:color w:val="auto"/>
        </w:rPr>
      </w:pPr>
    </w:p>
    <w:p>
      <w:pPr>
        <w:ind w:left="-1000" w:right="60" w:firstLine="1428"/>
        <w:spacing w:after="0" w:line="279" w:lineRule="auto"/>
        <w:tabs>
          <w:tab w:leader="none" w:pos="812" w:val="left"/>
        </w:tabs>
        <w:numPr>
          <w:ilvl w:val="0"/>
          <w:numId w:val="312"/>
        </w:numPr>
        <w:rPr>
          <w:rFonts w:ascii="Arial" w:cs="Arial" w:eastAsia="Arial" w:hAnsi="Arial"/>
          <w:sz w:val="17"/>
          <w:szCs w:val="17"/>
          <w:color w:val="auto"/>
        </w:rPr>
      </w:pPr>
      <w:r>
        <w:rPr>
          <w:rFonts w:ascii="Arial" w:cs="Arial" w:eastAsia="Arial" w:hAnsi="Arial"/>
          <w:sz w:val="17"/>
          <w:szCs w:val="17"/>
          <w:color w:val="auto"/>
        </w:rPr>
        <w:t>use its commercially reasonable efforts to register and qualify the securities covered by such registration statement under such other securities or blue-sky laws of such jurisdictions as shall be reasonably requested by the selling Holders; provided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1" w:lineRule="exact"/>
        <w:rPr>
          <w:rFonts w:ascii="Arial" w:cs="Arial" w:eastAsia="Arial" w:hAnsi="Arial"/>
          <w:sz w:val="17"/>
          <w:szCs w:val="17"/>
          <w:color w:val="auto"/>
        </w:rPr>
      </w:pPr>
    </w:p>
    <w:p>
      <w:pPr>
        <w:ind w:left="-1000" w:right="160" w:firstLine="1428"/>
        <w:spacing w:after="0" w:line="254" w:lineRule="auto"/>
        <w:tabs>
          <w:tab w:leader="none" w:pos="79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 and if requested by the underwriter(s) deliver to the underwriter(s) thereof, among other items delivered pursuant to such underwriting agreement, (i) a letter, dated as of such date, from the Company’s independent certified public accountants in form and substance as is customarily given by independent certified public accountants to underwriters in an underwritten public offering, addressed to the underwriter(s) and (ii) an opinion, dated as of such date, of counsel representing the Company for purposes of such underwritten public offering, in form, scope and substance as is customarily given in an underwritten public offering, including, without limitation, a standard “10b-5” opinion for such offering;</w:t>
      </w:r>
    </w:p>
    <w:p>
      <w:pPr>
        <w:spacing w:after="0" w:line="194" w:lineRule="exact"/>
        <w:rPr>
          <w:rFonts w:ascii="Arial" w:cs="Arial" w:eastAsia="Arial" w:hAnsi="Arial"/>
          <w:sz w:val="18"/>
          <w:szCs w:val="18"/>
          <w:color w:val="auto"/>
        </w:rPr>
      </w:pPr>
    </w:p>
    <w:p>
      <w:pPr>
        <w:ind w:left="-1000" w:right="20" w:firstLine="1428"/>
        <w:spacing w:after="0" w:line="263" w:lineRule="auto"/>
        <w:tabs>
          <w:tab w:leader="none" w:pos="82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3" w:lineRule="exact"/>
        <w:rPr>
          <w:rFonts w:ascii="Arial" w:cs="Arial" w:eastAsia="Arial" w:hAnsi="Arial"/>
          <w:sz w:val="18"/>
          <w:szCs w:val="18"/>
          <w:color w:val="auto"/>
        </w:rPr>
      </w:pPr>
    </w:p>
    <w:p>
      <w:pPr>
        <w:ind w:left="-1000" w:right="40" w:firstLine="1428"/>
        <w:spacing w:after="0" w:line="277" w:lineRule="auto"/>
        <w:tabs>
          <w:tab w:leader="none" w:pos="82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left="-1000" w:firstLine="1428"/>
        <w:spacing w:after="0" w:line="255" w:lineRule="auto"/>
        <w:tabs>
          <w:tab w:leader="none" w:pos="78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2" w:lineRule="exact"/>
        <w:rPr>
          <w:rFonts w:ascii="Arial" w:cs="Arial" w:eastAsia="Arial" w:hAnsi="Arial"/>
          <w:sz w:val="18"/>
          <w:szCs w:val="18"/>
          <w:color w:val="auto"/>
        </w:rPr>
      </w:pPr>
    </w:p>
    <w:p>
      <w:pPr>
        <w:ind w:left="-1000" w:right="220" w:firstLine="1428"/>
        <w:spacing w:after="0" w:line="308" w:lineRule="auto"/>
        <w:tabs>
          <w:tab w:leader="none" w:pos="782" w:val="left"/>
        </w:tabs>
        <w:numPr>
          <w:ilvl w:val="0"/>
          <w:numId w:val="312"/>
        </w:numPr>
        <w:rPr>
          <w:rFonts w:ascii="Arial" w:cs="Arial" w:eastAsia="Arial" w:hAnsi="Arial"/>
          <w:sz w:val="17"/>
          <w:szCs w:val="17"/>
          <w:color w:val="auto"/>
        </w:rPr>
      </w:pPr>
      <w:r>
        <w:rPr>
          <w:rFonts w:ascii="Arial" w:cs="Arial" w:eastAsia="Arial" w:hAnsi="Arial"/>
          <w:sz w:val="17"/>
          <w:szCs w:val="17"/>
          <w:color w:val="auto"/>
        </w:rPr>
        <w:t>notify each selling Holder, promptly after the Company receives notice thereof, of the time when such registration statement has been declared effective or a supplement to any prospectus forming a part of such registration statement has been filed;</w:t>
      </w:r>
    </w:p>
    <w:p>
      <w:pPr>
        <w:spacing w:after="0" w:line="78" w:lineRule="exact"/>
        <w:rPr>
          <w:rFonts w:ascii="Arial" w:cs="Arial" w:eastAsia="Arial" w:hAnsi="Arial"/>
          <w:sz w:val="17"/>
          <w:szCs w:val="17"/>
          <w:color w:val="auto"/>
        </w:rPr>
      </w:pPr>
    </w:p>
    <w:p>
      <w:pPr>
        <w:ind w:left="4420" w:hanging="111"/>
        <w:spacing w:after="0"/>
        <w:tabs>
          <w:tab w:leader="none" w:pos="442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9940"/>
          </w:cols>
          <w:pgMar w:left="1440" w:top="274" w:right="519" w:bottom="1440" w:gutter="0" w:footer="0" w:header="0"/>
        </w:sectPr>
      </w:pPr>
    </w:p>
    <w:bookmarkStart w:id="443" w:name="page444"/>
    <w:bookmarkEnd w:id="443"/>
    <w:p>
      <w:pPr>
        <w:ind w:right="280" w:firstLine="1428"/>
        <w:spacing w:after="0" w:line="279" w:lineRule="auto"/>
        <w:tabs>
          <w:tab w:leader="none" w:pos="1782" w:val="left"/>
        </w:tabs>
        <w:numPr>
          <w:ilvl w:val="0"/>
          <w:numId w:val="3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notify each Holder of Registrable Securities covered by such registration statement at any time when a prospectus relating thereto is required to be delivered under the Securities Act of the occurrence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light of the circumstances then existing; and</w:t>
      </w:r>
    </w:p>
    <w:p>
      <w:pPr>
        <w:spacing w:after="0" w:line="171" w:lineRule="exact"/>
        <w:rPr>
          <w:rFonts w:ascii="Arial" w:cs="Arial" w:eastAsia="Arial" w:hAnsi="Arial"/>
          <w:sz w:val="17"/>
          <w:szCs w:val="17"/>
          <w:color w:val="auto"/>
        </w:rPr>
      </w:pPr>
    </w:p>
    <w:p>
      <w:pPr>
        <w:ind w:right="320" w:firstLine="1428"/>
        <w:spacing w:after="0" w:line="277" w:lineRule="auto"/>
        <w:tabs>
          <w:tab w:leader="none" w:pos="182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84"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Section 2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7"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xml:space="preserve"> All expenses (other than Selling Expenses) incurred in connection with registrations, filings, or qualifications pursuant to this Section 2, including all registration, filing, and qualification fees; printers’ and accounting fees; fees and disbursements of counsel for the Company; and the reasonable fees and disbursements of one counsel for the selling Holders (“</w:t>
      </w:r>
      <w:r>
        <w:rPr>
          <w:rFonts w:ascii="Arial" w:cs="Arial" w:eastAsia="Arial" w:hAnsi="Arial"/>
          <w:sz w:val="16"/>
          <w:szCs w:val="16"/>
          <w:b w:val="1"/>
          <w:bCs w:val="1"/>
          <w:color w:val="auto"/>
        </w:rPr>
        <w:t>Selling Holder Counsel</w:t>
      </w:r>
      <w:r>
        <w:rPr>
          <w:rFonts w:ascii="Arial" w:cs="Arial" w:eastAsia="Arial" w:hAnsi="Arial"/>
          <w:sz w:val="16"/>
          <w:szCs w:val="16"/>
          <w:color w:val="auto"/>
        </w:rPr>
        <w:t xml:space="preserve">”), shall be borne and paid by the Company;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Company shall not be required to pay for any expenses of any registration proceeding begun pursuant to Subsection 2.1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Subsection 2.1(a) or Subsection 2.1(b), as the case may be;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at the time of such withdrawal, (x) the Holders shall have learned of a material adverse change in the condition (financial or otherwise), business, or prospects of the Company from that known to the Holders at the time of their request and have withdrawn the request with reasonable promptness after learning of such information or (y) the registration is interfered with by any stop order, injunction or other requirement of the SEC or any other Governmental Authority for any reason other than a misrepresentation or omission by any Holder, then the Holders shall not be required to pay any of such expenses and shall not forfeit their right to one registration pursuant to Subsection 2.1(a) or Subsection 2.1(b). All Selling Expenses relating to Registrable Securities registered pursuant to this Section 2 shall be borne and paid by the Holders pro rata on the basis of the number of Registrable Securities registered on their behalf.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000"/>
          </w:cols>
          <w:pgMar w:left="440" w:top="274" w:right="459" w:bottom="1440" w:gutter="0" w:footer="0" w:header="0"/>
        </w:sectPr>
      </w:pPr>
    </w:p>
    <w:bookmarkStart w:id="444" w:name="page445"/>
    <w:bookmarkEnd w:id="444"/>
    <w:p>
      <w:pPr>
        <w:ind w:right="4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2.7 </w:t>
      </w:r>
      <w:r>
        <w:rPr>
          <w:rFonts w:ascii="Arial" w:cs="Arial" w:eastAsia="Arial" w:hAnsi="Arial"/>
          <w:sz w:val="18"/>
          <w:szCs w:val="18"/>
          <w:u w:val="single" w:color="auto"/>
          <w:color w:val="auto"/>
        </w:rPr>
        <w:t>Delay of Registration.</w:t>
      </w:r>
      <w:r>
        <w:rPr>
          <w:rFonts w:ascii="Arial" w:cs="Arial" w:eastAsia="Arial" w:hAnsi="Arial"/>
          <w:sz w:val="18"/>
          <w:szCs w:val="18"/>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Section 2.</w:t>
      </w:r>
    </w:p>
    <w:p>
      <w:pPr>
        <w:spacing w:after="0" w:line="184"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 xml:space="preserve">Indemnification. </w:t>
      </w:r>
      <w:r>
        <w:rPr>
          <w:rFonts w:ascii="Arial" w:cs="Arial" w:eastAsia="Arial" w:hAnsi="Arial"/>
          <w:sz w:val="16"/>
          <w:szCs w:val="16"/>
          <w:color w:val="auto"/>
        </w:rPr>
        <w:t>If any Registrable Securities are included in a registration statement under this Section 2:</w:t>
      </w:r>
    </w:p>
    <w:p>
      <w:pPr>
        <w:spacing w:after="0" w:line="225" w:lineRule="exact"/>
        <w:rPr>
          <w:sz w:val="20"/>
          <w:szCs w:val="20"/>
          <w:color w:val="auto"/>
        </w:rPr>
      </w:pPr>
    </w:p>
    <w:p>
      <w:pPr>
        <w:ind w:firstLine="1428"/>
        <w:spacing w:after="0" w:line="286" w:lineRule="auto"/>
        <w:tabs>
          <w:tab w:leader="none" w:pos="1808"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will indemnify and hold harmless each selling Holder, and the Affiliates, partners, members, officers, directors, employees, and stockholders of each such Holder; legal counsel and accountants for each such Holder; any underwriter (as defined in the Securities Act) for each such Holder; and each Person, if any, who otherwise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indemnity agreement contained in this Subsection 2.8(a) shall not apply to amounts paid in settlement of any such claim or proceeding if such settlement is effected without the consent of the Company, which consent shall not be unreasonably withheld, conditioned or delayed,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 unless the Holder, underwriter, controlling Person or other aforementioned Person furnished in writing to the Company an explicit notice particularly identifying the incorrect or misleading information prior to the filing of any such registration statement, amendment thereto or other document or supplement information expressly for use in such Registration Statement or other document or supplement which corrected or made not misleading information previously furnished to the Company, and the Company failed to include such information therein.</w:t>
      </w:r>
    </w:p>
    <w:p>
      <w:pPr>
        <w:spacing w:after="0" w:line="170" w:lineRule="exact"/>
        <w:rPr>
          <w:rFonts w:ascii="Arial" w:cs="Arial" w:eastAsia="Arial" w:hAnsi="Arial"/>
          <w:sz w:val="16"/>
          <w:szCs w:val="16"/>
          <w:color w:val="auto"/>
        </w:rPr>
      </w:pPr>
    </w:p>
    <w:p>
      <w:pPr>
        <w:ind w:right="80" w:firstLine="1428"/>
        <w:spacing w:after="0" w:line="288" w:lineRule="auto"/>
        <w:tabs>
          <w:tab w:leader="none" w:pos="1819"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indemnity agreement contained in this Subsection 2.8(b) shall not apply to amounts paid in settlement of any such claim or proceeding if such settlement is effected without the consent of the Holder, which consent shall not be unreasonably withheld;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the aggregate amounts</w:t>
      </w:r>
    </w:p>
    <w:p>
      <w:pPr>
        <w:spacing w:after="0" w:line="100" w:lineRule="exact"/>
        <w:rPr>
          <w:rFonts w:ascii="Arial" w:cs="Arial" w:eastAsia="Arial" w:hAnsi="Arial"/>
          <w:sz w:val="16"/>
          <w:szCs w:val="16"/>
          <w:color w:val="auto"/>
        </w:rPr>
      </w:pPr>
    </w:p>
    <w:p>
      <w:pPr>
        <w:ind w:left="5420" w:hanging="111"/>
        <w:spacing w:after="0"/>
        <w:tabs>
          <w:tab w:leader="none" w:pos="542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000"/>
          </w:cols>
          <w:pgMar w:left="440" w:top="274" w:right="459" w:bottom="1440" w:gutter="0" w:footer="0" w:header="0"/>
        </w:sectPr>
      </w:pPr>
    </w:p>
    <w:bookmarkStart w:id="445" w:name="page446"/>
    <w:bookmarkEnd w:id="445"/>
    <w:p>
      <w:pPr>
        <w:ind w:left="4"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payable by any Holder by way of indemnity or contribution under Subsections 2.8(b) and 2.8(d) exceed the proceeds from the offering received by such Holder (net of any Selling Expenses paid by such Holder), except in the case of fraud or willful misconduct by such Holder;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indemnity agreement contained in this Subsection 2.8(b) shall not apply to the extent that such Holder has furnished in writing to the Company an explicit notice particularly identifying the incorrect or misleading information prior to the filing of any such registration statement, amendment thereto or other document or supplement information which corrected or made not misleading information previously furnished to the Company, and the Company failed to include such information therein.</w:t>
      </w:r>
    </w:p>
    <w:p>
      <w:pPr>
        <w:spacing w:after="0" w:line="192" w:lineRule="exact"/>
        <w:rPr>
          <w:sz w:val="20"/>
          <w:szCs w:val="20"/>
          <w:color w:val="auto"/>
        </w:rPr>
      </w:pPr>
    </w:p>
    <w:p>
      <w:pPr>
        <w:ind w:left="4" w:firstLine="1428"/>
        <w:spacing w:after="0" w:line="269" w:lineRule="auto"/>
        <w:tabs>
          <w:tab w:leader="none" w:pos="1816" w:val="left"/>
        </w:tabs>
        <w:numPr>
          <w:ilvl w:val="0"/>
          <w:numId w:val="315"/>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Subsection 2.8 of notice of the commencement of any action (including any governmental action) for which a party may be entitled to indemnification hereunder, such indemnified party will, if a claim in respect thereof is to be made against any indemnifying party under this Subsection 2.8,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Subsection 2.8, to the extent that such failure materially prejudices the indemnifying party’s ability to defend such action. The failure to give notice to the indemnifying party will not relieve it of any liability that it may have to any indemnified party otherwise than under this Subsection 2.8.</w:t>
      </w:r>
    </w:p>
    <w:p>
      <w:pPr>
        <w:spacing w:after="0" w:line="179" w:lineRule="exact"/>
        <w:rPr>
          <w:sz w:val="20"/>
          <w:szCs w:val="20"/>
          <w:color w:val="auto"/>
        </w:rPr>
      </w:pPr>
    </w:p>
    <w:p>
      <w:pPr>
        <w:jc w:val="both"/>
        <w:ind w:left="4" w:right="80" w:firstLine="1428"/>
        <w:spacing w:after="0" w:line="286" w:lineRule="auto"/>
        <w:tabs>
          <w:tab w:leader="none" w:pos="1812" w:val="left"/>
        </w:tabs>
        <w:numPr>
          <w:ilvl w:val="1"/>
          <w:numId w:val="316"/>
        </w:numPr>
        <w:rPr>
          <w:rFonts w:ascii="Arial" w:cs="Arial" w:eastAsia="Arial" w:hAnsi="Arial"/>
          <w:sz w:val="16"/>
          <w:szCs w:val="16"/>
          <w:color w:val="auto"/>
        </w:rPr>
      </w:pPr>
      <w:r>
        <w:rPr>
          <w:rFonts w:ascii="Arial" w:cs="Arial" w:eastAsia="Arial" w:hAnsi="Arial"/>
          <w:sz w:val="16"/>
          <w:szCs w:val="16"/>
          <w:color w:val="auto"/>
        </w:rPr>
        <w:t>To provide for just and equitable contribution to joint liability under the Securities Act in any case in which either (i) any party otherwise entitled to indemnification hereunder makes a claim for indemnification pursuant to this Subsection 2.8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Subsection 2.8 provides for indemnification in such case, or</w:t>
      </w:r>
    </w:p>
    <w:p>
      <w:pPr>
        <w:spacing w:after="0" w:line="1" w:lineRule="exact"/>
        <w:rPr>
          <w:rFonts w:ascii="Arial" w:cs="Arial" w:eastAsia="Arial" w:hAnsi="Arial"/>
          <w:sz w:val="16"/>
          <w:szCs w:val="16"/>
          <w:color w:val="auto"/>
        </w:rPr>
      </w:pPr>
    </w:p>
    <w:p>
      <w:pPr>
        <w:ind w:left="4" w:hanging="4"/>
        <w:spacing w:after="0" w:line="269" w:lineRule="auto"/>
        <w:tabs>
          <w:tab w:leader="none" w:pos="269" w:val="left"/>
        </w:tabs>
        <w:numPr>
          <w:ilvl w:val="0"/>
          <w:numId w:val="317"/>
        </w:numPr>
        <w:rPr>
          <w:rFonts w:ascii="Arial" w:cs="Arial" w:eastAsia="Arial" w:hAnsi="Arial"/>
          <w:sz w:val="17"/>
          <w:szCs w:val="17"/>
          <w:color w:val="auto"/>
        </w:rPr>
      </w:pPr>
      <w:r>
        <w:rPr>
          <w:rFonts w:ascii="Arial" w:cs="Arial" w:eastAsia="Arial" w:hAnsi="Arial"/>
          <w:sz w:val="17"/>
          <w:szCs w:val="17"/>
          <w:color w:val="auto"/>
        </w:rPr>
        <w:t>contribution under the Securities Act may be required on the part of any party hereto for which indemnification is provided under this Subsection 2.8,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w:t>
      </w:r>
    </w:p>
    <w:p>
      <w:pPr>
        <w:spacing w:after="0" w:line="112" w:lineRule="exact"/>
        <w:rPr>
          <w:rFonts w:ascii="Arial" w:cs="Arial" w:eastAsia="Arial" w:hAnsi="Arial"/>
          <w:sz w:val="17"/>
          <w:szCs w:val="17"/>
          <w:color w:val="auto"/>
        </w:rPr>
      </w:pPr>
    </w:p>
    <w:p>
      <w:pPr>
        <w:ind w:left="5424" w:hanging="111"/>
        <w:spacing w:after="0"/>
        <w:tabs>
          <w:tab w:leader="none" w:pos="5424" w:val="left"/>
        </w:tabs>
        <w:numPr>
          <w:ilvl w:val="2"/>
          <w:numId w:val="317"/>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004"/>
          </w:cols>
          <w:pgMar w:left="436" w:top="274" w:right="459" w:bottom="1440" w:gutter="0" w:footer="0" w:header="0"/>
        </w:sectPr>
      </w:pPr>
    </w:p>
    <w:bookmarkStart w:id="446" w:name="page447"/>
    <w:bookmarkEnd w:id="446"/>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party and the parties’ relative intent, knowledge, access to information, and opportunity to correct or prevent such statement or omission;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any such case, (x) no Holder will be required to contribute any amount in excess of the proceeds from the offering received by such Holder (net of any Selling Expenses paid by such Holder),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 Holder’s liability pursuant to this Subsection 2.8(d), when combined with the amounts paid or payable by such Holder pursuant to Subsection 2.8(b), exceed the proceeds from the offering received by such Holder (net of any Selling Expenses paid by such Holder), except in the case of willful misconduct or fraud by such Holder.</w:t>
      </w:r>
    </w:p>
    <w:p>
      <w:pPr>
        <w:spacing w:after="0" w:line="177" w:lineRule="exact"/>
        <w:rPr>
          <w:sz w:val="20"/>
          <w:szCs w:val="20"/>
          <w:color w:val="auto"/>
        </w:rPr>
      </w:pPr>
    </w:p>
    <w:p>
      <w:pPr>
        <w:ind w:right="140" w:firstLine="1428"/>
        <w:spacing w:after="0" w:line="263" w:lineRule="auto"/>
        <w:tabs>
          <w:tab w:leader="none" w:pos="181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4" w:lineRule="exact"/>
        <w:rPr>
          <w:sz w:val="20"/>
          <w:szCs w:val="20"/>
          <w:color w:val="auto"/>
        </w:rPr>
      </w:pPr>
    </w:p>
    <w:p>
      <w:pPr>
        <w:jc w:val="both"/>
        <w:ind w:firstLine="1428"/>
        <w:spacing w:after="0" w:line="263" w:lineRule="auto"/>
        <w:tabs>
          <w:tab w:leader="none" w:pos="178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Unless otherwise superseded by an underwriting agreement entered into in connection with the underwritten public offering, the obligations of the Company and Holders under this Subsection 2.8 shall survive the completion of any offering of Registrable Securities in a registration under this Section 2, and otherwise shall survive the termination of this Agreement.</w:t>
      </w:r>
    </w:p>
    <w:p>
      <w:pPr>
        <w:spacing w:after="0" w:line="184"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xml:space="preserve">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4" w:lineRule="exact"/>
        <w:rPr>
          <w:sz w:val="20"/>
          <w:szCs w:val="20"/>
          <w:color w:val="auto"/>
        </w:rPr>
      </w:pPr>
    </w:p>
    <w:p>
      <w:pPr>
        <w:ind w:right="140" w:firstLine="1428"/>
        <w:spacing w:after="0" w:line="277" w:lineRule="auto"/>
        <w:tabs>
          <w:tab w:leader="none" w:pos="187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first registration statement filed by the Company under the Securities Act;</w:t>
      </w:r>
    </w:p>
    <w:p>
      <w:pPr>
        <w:spacing w:after="0" w:line="170" w:lineRule="exact"/>
        <w:rPr>
          <w:rFonts w:ascii="Arial" w:cs="Arial" w:eastAsia="Arial" w:hAnsi="Arial"/>
          <w:sz w:val="18"/>
          <w:szCs w:val="18"/>
          <w:color w:val="auto"/>
        </w:rPr>
      </w:pPr>
    </w:p>
    <w:p>
      <w:pPr>
        <w:ind w:right="300" w:firstLine="1428"/>
        <w:spacing w:after="0" w:line="342" w:lineRule="auto"/>
        <w:tabs>
          <w:tab w:leader="none" w:pos="1822" w:val="left"/>
        </w:tabs>
        <w:numPr>
          <w:ilvl w:val="0"/>
          <w:numId w:val="320"/>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23" w:lineRule="exact"/>
        <w:rPr>
          <w:rFonts w:ascii="Arial" w:cs="Arial" w:eastAsia="Arial" w:hAnsi="Arial"/>
          <w:sz w:val="16"/>
          <w:szCs w:val="16"/>
          <w:color w:val="auto"/>
        </w:rPr>
      </w:pPr>
    </w:p>
    <w:p>
      <w:pPr>
        <w:ind w:right="20" w:firstLine="1428"/>
        <w:spacing w:after="0" w:line="254" w:lineRule="auto"/>
        <w:tabs>
          <w:tab w:leader="none" w:pos="182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under the Securities Act),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w:t>
      </w:r>
    </w:p>
    <w:p>
      <w:pPr>
        <w:spacing w:after="0" w:line="127" w:lineRule="exact"/>
        <w:rPr>
          <w:rFonts w:ascii="Arial" w:cs="Arial" w:eastAsia="Arial" w:hAnsi="Arial"/>
          <w:sz w:val="18"/>
          <w:szCs w:val="18"/>
          <w:color w:val="auto"/>
        </w:rPr>
      </w:pPr>
    </w:p>
    <w:p>
      <w:pPr>
        <w:ind w:left="5420" w:hanging="111"/>
        <w:spacing w:after="0"/>
        <w:tabs>
          <w:tab w:leader="none" w:pos="542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000"/>
          </w:cols>
          <w:pgMar w:left="440" w:top="274" w:right="459" w:bottom="1440" w:gutter="0" w:footer="0" w:header="0"/>
        </w:sectPr>
      </w:pPr>
    </w:p>
    <w:bookmarkStart w:id="447" w:name="page448"/>
    <w:bookmarkEnd w:id="447"/>
    <w:p>
      <w:pPr>
        <w:ind w:left="4"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such securities without registration (at any time after the Company has become subject to the reporting requirements under the Exchange Act) or pursuant to Form S-3 (at any time after the Company so qualifies to use such form).</w:t>
      </w:r>
    </w:p>
    <w:p>
      <w:pPr>
        <w:spacing w:after="0" w:line="170" w:lineRule="exact"/>
        <w:rPr>
          <w:sz w:val="20"/>
          <w:szCs w:val="20"/>
          <w:color w:val="auto"/>
        </w:rPr>
      </w:pPr>
    </w:p>
    <w:p>
      <w:pPr>
        <w:ind w:left="4" w:right="160" w:firstLine="991"/>
        <w:spacing w:after="0" w:line="287"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color w:val="auto"/>
        </w:rPr>
        <w:t xml:space="preserve"> From and after the date of this Agreement, the Company shall not, without the prior written consent of the Holders of a majority of the Registrable Securities then outstanding (excluding any shares of Series E-2 Preferred Stock and Series F-2 Preferred Stock then outstanding), enter into any agreement with any holder or prospective holder of any securities of the Company that</w:t>
      </w:r>
    </w:p>
    <w:p>
      <w:pPr>
        <w:spacing w:after="0" w:line="2" w:lineRule="exact"/>
        <w:rPr>
          <w:sz w:val="20"/>
          <w:szCs w:val="20"/>
          <w:color w:val="auto"/>
        </w:rPr>
      </w:pPr>
    </w:p>
    <w:p>
      <w:pPr>
        <w:ind w:left="4" w:right="60" w:hanging="4"/>
        <w:spacing w:after="0" w:line="273" w:lineRule="auto"/>
        <w:tabs>
          <w:tab w:leader="none" w:pos="219" w:val="left"/>
        </w:tabs>
        <w:numPr>
          <w:ilvl w:val="0"/>
          <w:numId w:val="321"/>
        </w:numPr>
        <w:rPr>
          <w:rFonts w:ascii="Arial" w:cs="Arial" w:eastAsia="Arial" w:hAnsi="Arial"/>
          <w:sz w:val="17"/>
          <w:szCs w:val="17"/>
          <w:color w:val="auto"/>
        </w:rPr>
      </w:pPr>
      <w:r>
        <w:rPr>
          <w:rFonts w:ascii="Arial" w:cs="Arial" w:eastAsia="Arial" w:hAnsi="Arial"/>
          <w:sz w:val="17"/>
          <w:szCs w:val="17"/>
          <w:color w:val="auto"/>
        </w:rPr>
        <w:t xml:space="preserve">would allow such holder or prospective holder to include such securities in any registration on other than a subordinate basis after all Holders have had the opportunity to include in the registration and offering all Registrable Securities they wish to so include or (ii) would allow such holder or prospective holder to initiate a demand for registration of any securities held by such holder or prospective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limitation shall not apply to any additional Investor who becomes a party to this Agreement in accordance with Subsection 6.9.</w:t>
      </w:r>
    </w:p>
    <w:p>
      <w:pPr>
        <w:spacing w:after="0" w:line="176" w:lineRule="exact"/>
        <w:rPr>
          <w:sz w:val="20"/>
          <w:szCs w:val="20"/>
          <w:color w:val="auto"/>
        </w:rPr>
      </w:pPr>
    </w:p>
    <w:p>
      <w:pPr>
        <w:ind w:left="4" w:right="300" w:firstLine="991"/>
        <w:spacing w:after="0" w:line="28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xml:space="preserve"> Each Holder hereby agrees that it will not, without the prior written consent of the managing underwriter, during the period commencing on the date of the final prospectus relating to a Qualified Public Offering (as defined in the Certificate of Incorporation) and ending on the date specified by the Company and the managing underwriter (such period not to exceed one hundred eighty</w:t>
      </w:r>
    </w:p>
    <w:p>
      <w:pPr>
        <w:spacing w:after="0" w:line="2" w:lineRule="exact"/>
        <w:rPr>
          <w:sz w:val="20"/>
          <w:szCs w:val="20"/>
          <w:color w:val="auto"/>
        </w:rPr>
      </w:pPr>
    </w:p>
    <w:p>
      <w:pPr>
        <w:ind w:left="4" w:hanging="4"/>
        <w:spacing w:after="0" w:line="284" w:lineRule="auto"/>
        <w:tabs>
          <w:tab w:leader="none" w:pos="439" w:val="left"/>
        </w:tabs>
        <w:numPr>
          <w:ilvl w:val="0"/>
          <w:numId w:val="322"/>
        </w:numPr>
        <w:rPr>
          <w:rFonts w:ascii="Arial" w:cs="Arial" w:eastAsia="Arial" w:hAnsi="Arial"/>
          <w:sz w:val="16"/>
          <w:szCs w:val="16"/>
          <w:color w:val="auto"/>
        </w:rPr>
      </w:pPr>
      <w:r>
        <w:rPr>
          <w:rFonts w:ascii="Arial" w:cs="Arial" w:eastAsia="Arial" w:hAnsi="Arial"/>
          <w:sz w:val="16"/>
          <w:szCs w:val="16"/>
          <w:color w:val="auto"/>
        </w:rPr>
        <w:t xml:space="preserve">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Subsection 2.11 (w) shall not apply (1) to shares of Common Stock acquired by any Holder or any of its Affiliates at or in connection with the closing of a Qualified Public Offering other than shares acquired upon conversion of any shares of Preferred Stock or (2) to any shares of Common Stock (or any securities convertible into or exercisable or exchangeable for shares of Common Stock) acquired by a Holder following the effective date of the registration statement of the Company in connection with a Qualified Public Offering, (x) shall apply only to a Qualified Public Offering; (y) shall not apply to the sale of any shares to an underwriter pursuant to an underwriting agreement or the transfer of any shares to any trust for the direct or indirect benefit of the Holder or the immediate family of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of the trust agrees to be bound in writing by the restrictions set forth herein,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transfer shall not involve a disposition for value, and (z) shall be applicable to the Holders only if all officers and directors are subject to the same restrictions and the Company obtains a similar agreement from all stockholders individually owning more than one percent (1%) of the Company’s outstanding Common Stock (after giving effect to conversion into Common Stock of all outstanding Preferred Stock). Notwithstanding anything contained in this Subsection 2.11 to the contrary, the Company and each other party hereto acknowledge and agree that any agreement that any Holder enters into pursuant to this Subsection 2.11 shall not restrict any of such Holder’s (or any of such Holder’s Affiliates’)</w:t>
      </w:r>
    </w:p>
    <w:p>
      <w:pPr>
        <w:spacing w:after="0" w:line="104" w:lineRule="exact"/>
        <w:rPr>
          <w:rFonts w:ascii="Arial" w:cs="Arial" w:eastAsia="Arial" w:hAnsi="Arial"/>
          <w:sz w:val="16"/>
          <w:szCs w:val="16"/>
          <w:color w:val="auto"/>
        </w:rPr>
      </w:pPr>
    </w:p>
    <w:p>
      <w:pPr>
        <w:ind w:left="5424" w:hanging="111"/>
        <w:spacing w:after="0"/>
        <w:tabs>
          <w:tab w:leader="none" w:pos="5424" w:val="left"/>
        </w:tabs>
        <w:numPr>
          <w:ilvl w:val="1"/>
          <w:numId w:val="322"/>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004"/>
          </w:cols>
          <w:pgMar w:left="436" w:top="274" w:right="459" w:bottom="1440" w:gutter="0" w:footer="0" w:header="0"/>
        </w:sectPr>
      </w:pPr>
    </w:p>
    <w:bookmarkStart w:id="448" w:name="page449"/>
    <w:bookmarkEnd w:id="448"/>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brokerage, investment advisory, financial advisory, anti-raid advisory, principaling, merger advisory, financing, asset management, trading, market making, arbitrage, investment activity and other similar activities conducted in the ordinary course of business. The underwriters in connection with such registration are intended third-party beneficiaries of this Subsection 2.11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Subsection 2.11 or that are necessary to give further effect thereto. Any discretionary waiver or termination of the restrictions of any or all of such agreements by the Company or the underwriters shall apply pro rata to all Holders. The foregoing provisions of this Section 2.11 shall not apply to a Direct Listing and shall only be applicable to a Qualified Public Offering if the Company has not already completed a Direct Listing.</w:t>
      </w:r>
    </w:p>
    <w:p>
      <w:pPr>
        <w:spacing w:after="0" w:line="28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Restrictions on Transfer.</w:t>
      </w:r>
    </w:p>
    <w:p>
      <w:pPr>
        <w:spacing w:after="0" w:line="117" w:lineRule="exact"/>
        <w:rPr>
          <w:sz w:val="20"/>
          <w:szCs w:val="20"/>
          <w:color w:val="auto"/>
        </w:rPr>
      </w:pPr>
    </w:p>
    <w:p>
      <w:pPr>
        <w:ind w:right="100" w:firstLine="1428"/>
        <w:spacing w:after="0" w:line="275" w:lineRule="auto"/>
        <w:tabs>
          <w:tab w:leader="none" w:pos="1822" w:val="left"/>
        </w:tabs>
        <w:numPr>
          <w:ilvl w:val="0"/>
          <w:numId w:val="323"/>
        </w:numPr>
        <w:rPr>
          <w:rFonts w:ascii="Arial" w:cs="Arial" w:eastAsia="Arial" w:hAnsi="Arial"/>
          <w:sz w:val="17"/>
          <w:szCs w:val="17"/>
          <w:color w:val="auto"/>
        </w:rPr>
      </w:pPr>
      <w:r>
        <w:rPr>
          <w:rFonts w:ascii="Arial" w:cs="Arial" w:eastAsia="Arial" w:hAnsi="Arial"/>
          <w:sz w:val="17"/>
          <w:szCs w:val="17"/>
          <w:color w:val="auto"/>
        </w:rPr>
        <w:t>Shares of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shares of Preferred Stock and the Registrable Securities held by such Holder to agree to take and hold such securities subject to the provisions and upon the conditions specified in this Agreement.</w:t>
      </w:r>
    </w:p>
    <w:p>
      <w:pPr>
        <w:spacing w:after="0" w:line="176" w:lineRule="exact"/>
        <w:rPr>
          <w:rFonts w:ascii="Arial" w:cs="Arial" w:eastAsia="Arial" w:hAnsi="Arial"/>
          <w:sz w:val="17"/>
          <w:szCs w:val="17"/>
          <w:color w:val="auto"/>
        </w:rPr>
      </w:pPr>
    </w:p>
    <w:p>
      <w:pPr>
        <w:ind w:firstLine="1428"/>
        <w:spacing w:after="0" w:line="259" w:lineRule="auto"/>
        <w:tabs>
          <w:tab w:leader="none" w:pos="182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Each certificate or instrument representing (i) shares of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Subsection 2.12(c)) be stamped or otherwise imprinted with a legend substantially in the following form:</w:t>
      </w:r>
    </w:p>
    <w:p>
      <w:pPr>
        <w:spacing w:after="0" w:line="79" w:lineRule="exact"/>
        <w:rPr>
          <w:sz w:val="20"/>
          <w:szCs w:val="20"/>
          <w:color w:val="auto"/>
        </w:rPr>
      </w:pPr>
    </w:p>
    <w:p>
      <w:pPr>
        <w:ind w:left="980" w:right="18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980" w:right="320"/>
        <w:spacing w:after="0" w:line="263"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000"/>
          </w:cols>
          <w:pgMar w:left="440" w:top="274" w:right="459" w:bottom="1440" w:gutter="0" w:footer="0" w:header="0"/>
        </w:sectPr>
      </w:pPr>
    </w:p>
    <w:bookmarkStart w:id="449" w:name="page450"/>
    <w:bookmarkEnd w:id="449"/>
    <w:p>
      <w:pPr>
        <w:ind w:right="5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Holders consent to the Company making a notation in its records and giving instructions to any transfer agent of the Restricted Securities in order to implement the restrictions on transfer set forth in this Subsection 2.12.</w:t>
      </w:r>
    </w:p>
    <w:p>
      <w:pPr>
        <w:spacing w:after="0" w:line="170" w:lineRule="exact"/>
        <w:rPr>
          <w:sz w:val="20"/>
          <w:szCs w:val="20"/>
          <w:color w:val="auto"/>
        </w:rPr>
      </w:pPr>
    </w:p>
    <w:p>
      <w:pPr>
        <w:ind w:firstLine="1428"/>
        <w:spacing w:after="0" w:line="285" w:lineRule="auto"/>
        <w:tabs>
          <w:tab w:leader="none" w:pos="1819" w:val="left"/>
        </w:tabs>
        <w:numPr>
          <w:ilvl w:val="0"/>
          <w:numId w:val="324"/>
        </w:numPr>
        <w:rPr>
          <w:rFonts w:ascii="Arial" w:cs="Arial" w:eastAsia="Arial" w:hAnsi="Arial"/>
          <w:sz w:val="16"/>
          <w:szCs w:val="16"/>
          <w:color w:val="auto"/>
        </w:rPr>
      </w:pPr>
      <w:r>
        <w:rPr>
          <w:rFonts w:ascii="Arial" w:cs="Arial" w:eastAsia="Arial" w:hAnsi="Arial"/>
          <w:sz w:val="16"/>
          <w:szCs w:val="16"/>
          <w:color w:val="auto"/>
        </w:rPr>
        <w:t xml:space="preserve">The holder of each certificate representing Restricted Securities, by acceptance thereof, agrees to comply in all respects with the provisions of this Section 2. Other than transfers pursuant to Subsection 2.12(f) below,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transferee agrees in writing to be subject to the terms of this Subsection 2.12. Each certificate or instrument evidencing the Restricted Securities transferred as above provided shall bear, except if such transfer is made pursuant to SEC Rule 144, the appropriate restrictive legend set forth in Subsection 2.12(b), except that such certificate or instrument shall not bear such restrictive legend if, in the opinion of counsel for such Holder and the Company, such legend is not required in order to establish compliance with any provisions of the Securities Act.</w:t>
      </w:r>
    </w:p>
    <w:p>
      <w:pPr>
        <w:spacing w:after="0" w:line="174" w:lineRule="exact"/>
        <w:rPr>
          <w:sz w:val="20"/>
          <w:szCs w:val="20"/>
          <w:color w:val="auto"/>
        </w:rPr>
      </w:pPr>
    </w:p>
    <w:p>
      <w:pPr>
        <w:ind w:right="240" w:firstLine="1428"/>
        <w:spacing w:after="0" w:line="273" w:lineRule="auto"/>
        <w:tabs>
          <w:tab w:leader="none" w:pos="1792" w:val="left"/>
        </w:tabs>
        <w:numPr>
          <w:ilvl w:val="0"/>
          <w:numId w:val="325"/>
        </w:numPr>
        <w:rPr>
          <w:rFonts w:ascii="Arial" w:cs="Arial" w:eastAsia="Arial" w:hAnsi="Arial"/>
          <w:sz w:val="17"/>
          <w:szCs w:val="17"/>
          <w:color w:val="auto"/>
        </w:rPr>
      </w:pPr>
      <w:r>
        <w:rPr>
          <w:rFonts w:ascii="Arial" w:cs="Arial" w:eastAsia="Arial" w:hAnsi="Arial"/>
          <w:sz w:val="17"/>
          <w:szCs w:val="17"/>
          <w:color w:val="auto"/>
        </w:rPr>
        <w:t>Notwithstanding anything contained in this Agreement to the contrary, F-Prime may transfer its Restricted Securities to any Affiliate or charitable organization without the prior written consent of the managing underwriter; provided that (i) such Affiliate or charitable organization shall agree in a written instrument delivered to the Company (and, with respect to this Subsection 2.12, the underwriters) to be bound by and subject to the terms and conditions of this Agreement, including the provisions of this Subsection 2.12 and (ii) if such transfer is made to a charitable organization, no filing under Section 16(a) of the Exchange Act, reporting a reduction in beneficial ownership of shares of Common Stock, shall be required or shall be voluntarily made during the restricted period referred to above.</w:t>
      </w:r>
    </w:p>
    <w:p>
      <w:pPr>
        <w:spacing w:after="0" w:line="173" w:lineRule="exact"/>
        <w:rPr>
          <w:rFonts w:ascii="Arial" w:cs="Arial" w:eastAsia="Arial" w:hAnsi="Arial"/>
          <w:sz w:val="17"/>
          <w:szCs w:val="17"/>
          <w:color w:val="auto"/>
        </w:rPr>
      </w:pPr>
    </w:p>
    <w:p>
      <w:pPr>
        <w:jc w:val="both"/>
        <w:ind w:right="100" w:firstLine="1428"/>
        <w:spacing w:after="0" w:line="314" w:lineRule="auto"/>
        <w:tabs>
          <w:tab w:leader="none" w:pos="1819"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Company agrees that, if any Regulated Investor or any of such Regulated Investor’s Affiliates (each a “</w:t>
      </w:r>
      <w:r>
        <w:rPr>
          <w:rFonts w:ascii="Arial" w:cs="Arial" w:eastAsia="Arial" w:hAnsi="Arial"/>
          <w:sz w:val="16"/>
          <w:szCs w:val="16"/>
          <w:b w:val="1"/>
          <w:bCs w:val="1"/>
          <w:color w:val="auto"/>
        </w:rPr>
        <w:t>RI Entity</w:t>
      </w:r>
      <w:r>
        <w:rPr>
          <w:rFonts w:ascii="Arial" w:cs="Arial" w:eastAsia="Arial" w:hAnsi="Arial"/>
          <w:sz w:val="16"/>
          <w:szCs w:val="16"/>
          <w:color w:val="auto"/>
        </w:rPr>
        <w:t>”) could reasonably be deemed to be an “underwriter,” as defined in Section 2(a)(11) of the Securities Act, in connection with any registration of the Company’s securities held or owned, beneficially or otherwise, by any RI Entity pursuant to this Agreement, and any amendment or supplement thereof (any such</w:t>
      </w:r>
    </w:p>
    <w:p>
      <w:pPr>
        <w:spacing w:after="0" w:line="78" w:lineRule="exact"/>
        <w:rPr>
          <w:rFonts w:ascii="Arial" w:cs="Arial" w:eastAsia="Arial" w:hAnsi="Arial"/>
          <w:sz w:val="16"/>
          <w:szCs w:val="16"/>
          <w:color w:val="auto"/>
        </w:rPr>
      </w:pPr>
    </w:p>
    <w:p>
      <w:pPr>
        <w:ind w:left="5420" w:hanging="111"/>
        <w:spacing w:after="0"/>
        <w:tabs>
          <w:tab w:leader="none" w:pos="54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000"/>
          </w:cols>
          <w:pgMar w:left="440" w:top="274" w:right="459" w:bottom="1440" w:gutter="0" w:footer="0" w:header="0"/>
        </w:sectPr>
      </w:pPr>
    </w:p>
    <w:bookmarkStart w:id="450" w:name="page451"/>
    <w:bookmarkEnd w:id="45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statement or amendment or supplement a “</w:t>
      </w:r>
      <w:r>
        <w:rPr>
          <w:rFonts w:ascii="Arial" w:cs="Arial" w:eastAsia="Arial" w:hAnsi="Arial"/>
          <w:sz w:val="17"/>
          <w:szCs w:val="17"/>
          <w:b w:val="1"/>
          <w:bCs w:val="1"/>
          <w:color w:val="auto"/>
        </w:rPr>
        <w:t>RI Underwriter Registration Statement</w:t>
      </w:r>
      <w:r>
        <w:rPr>
          <w:rFonts w:ascii="Arial" w:cs="Arial" w:eastAsia="Arial" w:hAnsi="Arial"/>
          <w:sz w:val="17"/>
          <w:szCs w:val="17"/>
          <w:color w:val="auto"/>
        </w:rPr>
        <w:t>”), then the Company will (i) cooperate with each such RI Entity in allowing each such RI Entity to conduct customary “underwriter’s due diligence” with respect to the Company and satisfy its obligations in respect thereof and (ii) enter into an underwriting agreement with such RI Entity or RI Entities containing customary terms and conditions. In addition, at the request of any Regulated Investor with an RI Entity who is or could reasonably be deemed to be an “underwriter” pursuant to this Section 2.12(e), the Company will furnish to each such Regulated Investor, on the date of the effectiveness of any RI Underwriter Registration Statement (x) a letter, dated as of such date, from the Company’s independent certified public accountants in form and substance as is customarily given by independent certified public accountants to underwriters in an underwritten public offering, addressed to each such Regulated Investor and (y) an opinion, dated as of such date, of counsel representing the Company for purposes of such RI Underwriter Registration Statement, in form, scope and substance as is customarily given in an underwritten public offering, including, without limitation, a standard “10b-5” opinion for such offering, addressed to each such Regulated Investor. The Company will also permit legal counsel to each such Regulated Investor, which may be in-house or outside counsel, to review and comment upon any such RI Underwriter Registration Statement at least five business days prior to its filing with the SEC and all amendments and supplements to any such RI Underwriter Registration Statement within a reasonable number of days prior to their filing with the SEC and not file any RI Underwriter Registration Statement or amendment or supplement thereto in a form to which such legal counsel to any such Regulated Investor reasonably objects.</w:t>
      </w:r>
    </w:p>
    <w:p>
      <w:pPr>
        <w:spacing w:after="0" w:line="188" w:lineRule="exact"/>
        <w:rPr>
          <w:sz w:val="20"/>
          <w:szCs w:val="20"/>
          <w:color w:val="auto"/>
        </w:rPr>
      </w:pPr>
    </w:p>
    <w:p>
      <w:pPr>
        <w:ind w:right="60" w:firstLine="1428"/>
        <w:spacing w:after="0" w:line="255" w:lineRule="auto"/>
        <w:tabs>
          <w:tab w:leader="none" w:pos="1792"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if a Regulated Investor determines in its sole discretion that a transfer of any Company securities is required, necessary or appropriate (i) pursuant to any applicable Law or as required by any Governmental Authority, or (ii) because continuing to retain such securities (A) would be impermissible or unduly burdensome under applicable Law or such Regulated Investor’s policies and procedures or (B) otherwise presents a legal, operational, regulatory or reputational risk to such Regulated Investor, in each case, such Regulated Investor will not be restricted (including, without limitation, pursuant to the provisions of this Subsection 2.12) from transferring any such securities.</w:t>
      </w:r>
    </w:p>
    <w:p>
      <w:pPr>
        <w:spacing w:after="0" w:line="192"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Subsection 2.1 or Subsection 2.2 shall terminate upon the earliest to occur of:</w:t>
      </w:r>
    </w:p>
    <w:p>
      <w:pPr>
        <w:spacing w:after="0" w:line="170" w:lineRule="exact"/>
        <w:rPr>
          <w:sz w:val="20"/>
          <w:szCs w:val="20"/>
          <w:color w:val="auto"/>
        </w:rPr>
      </w:pPr>
    </w:p>
    <w:p>
      <w:pPr>
        <w:ind w:left="1780" w:hanging="352"/>
        <w:spacing w:after="0"/>
        <w:tabs>
          <w:tab w:leader="none" w:pos="17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Certificate of Incorporation;</w:t>
      </w:r>
    </w:p>
    <w:p>
      <w:pPr>
        <w:spacing w:after="0" w:line="225" w:lineRule="exact"/>
        <w:rPr>
          <w:rFonts w:ascii="Arial" w:cs="Arial" w:eastAsia="Arial" w:hAnsi="Arial"/>
          <w:sz w:val="18"/>
          <w:szCs w:val="18"/>
          <w:color w:val="auto"/>
        </w:rPr>
      </w:pPr>
    </w:p>
    <w:p>
      <w:pPr>
        <w:ind w:right="140" w:firstLine="1428"/>
        <w:spacing w:after="0" w:line="259" w:lineRule="auto"/>
        <w:tabs>
          <w:tab w:leader="none" w:pos="180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as to any Holder, such earlier time after the IPO or Direct Listing (whichever occurs first) at which such Holder (i) can sell all shares held by it in compliance with Rule 144(b)(1)(i) or (ii) holds one percent (1%) or less of the Company’s outstanding Common Stock and all Registrable Securities held by such Holder (together with any Affiliate of the Holder with whom such Holder must aggregate its sales under Rule 144) can be sold in any three (3) month period without registration in compliance with Rule 144; and</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000"/>
          </w:cols>
          <w:pgMar w:left="440" w:top="270" w:right="459" w:bottom="1440" w:gutter="0" w:footer="0" w:header="0"/>
        </w:sectPr>
      </w:pPr>
    </w:p>
    <w:bookmarkStart w:id="451" w:name="page452"/>
    <w:bookmarkEnd w:id="451"/>
    <w:p>
      <w:pPr>
        <w:ind w:left="1804" w:hanging="372"/>
        <w:spacing w:after="0"/>
        <w:tabs>
          <w:tab w:leader="none" w:pos="1804" w:val="left"/>
        </w:tabs>
        <w:numPr>
          <w:ilvl w:val="1"/>
          <w:numId w:val="3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fifth anniversary of the IPO or Direct Listing, whichever occurs first.</w:t>
      </w:r>
    </w:p>
    <w:p>
      <w:pPr>
        <w:spacing w:after="0" w:line="333" w:lineRule="exact"/>
        <w:rPr>
          <w:rFonts w:ascii="Arial" w:cs="Arial" w:eastAsia="Arial" w:hAnsi="Arial"/>
          <w:sz w:val="18"/>
          <w:szCs w:val="18"/>
          <w:color w:val="auto"/>
        </w:rPr>
      </w:pPr>
    </w:p>
    <w:p>
      <w:pPr>
        <w:ind w:left="764" w:hanging="324"/>
        <w:spacing w:after="0"/>
        <w:tabs>
          <w:tab w:leader="none" w:pos="764"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p>
    <w:p>
      <w:pPr>
        <w:spacing w:after="0" w:line="117" w:lineRule="exact"/>
        <w:rPr>
          <w:sz w:val="20"/>
          <w:szCs w:val="20"/>
          <w:color w:val="auto"/>
        </w:rPr>
      </w:pPr>
    </w:p>
    <w:p>
      <w:pPr>
        <w:ind w:left="4" w:right="260" w:firstLine="991"/>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xml:space="preserve"> The Company shall deliver to each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of Directors has not reasonably determined that such Major Investor is a Competitor of the Company:</w:t>
      </w:r>
    </w:p>
    <w:p>
      <w:pPr>
        <w:spacing w:after="0" w:line="170" w:lineRule="exact"/>
        <w:rPr>
          <w:sz w:val="20"/>
          <w:szCs w:val="20"/>
          <w:color w:val="auto"/>
        </w:rPr>
      </w:pPr>
    </w:p>
    <w:p>
      <w:pPr>
        <w:ind w:left="1784" w:hanging="352"/>
        <w:spacing w:after="0"/>
        <w:tabs>
          <w:tab w:leader="none" w:pos="1784" w:val="left"/>
        </w:tabs>
        <w:numPr>
          <w:ilvl w:val="1"/>
          <w:numId w:val="330"/>
        </w:numPr>
        <w:rPr>
          <w:rFonts w:ascii="Arial" w:cs="Arial" w:eastAsia="Arial" w:hAnsi="Arial"/>
          <w:sz w:val="16"/>
          <w:szCs w:val="16"/>
          <w:color w:val="auto"/>
        </w:rPr>
      </w:pPr>
      <w:r>
        <w:rPr>
          <w:rFonts w:ascii="Arial" w:cs="Arial" w:eastAsia="Arial" w:hAnsi="Arial"/>
          <w:sz w:val="16"/>
          <w:szCs w:val="16"/>
          <w:color w:val="auto"/>
        </w:rPr>
        <w:t>as soon as practicable, but in any event within one hundred twenty (120) days after the end of each fiscal year of the Company,</w:t>
      </w:r>
    </w:p>
    <w:p>
      <w:pPr>
        <w:spacing w:after="0" w:line="46" w:lineRule="exact"/>
        <w:rPr>
          <w:rFonts w:ascii="Arial" w:cs="Arial" w:eastAsia="Arial" w:hAnsi="Arial"/>
          <w:sz w:val="16"/>
          <w:szCs w:val="16"/>
          <w:color w:val="auto"/>
        </w:rPr>
      </w:pPr>
    </w:p>
    <w:p>
      <w:pPr>
        <w:ind w:left="4" w:hanging="4"/>
        <w:spacing w:after="0" w:line="281" w:lineRule="auto"/>
        <w:tabs>
          <w:tab w:leader="none" w:pos="219" w:val="left"/>
        </w:tabs>
        <w:numPr>
          <w:ilvl w:val="0"/>
          <w:numId w:val="331"/>
        </w:numPr>
        <w:rPr>
          <w:rFonts w:ascii="Arial" w:cs="Arial" w:eastAsia="Arial" w:hAnsi="Arial"/>
          <w:sz w:val="16"/>
          <w:szCs w:val="16"/>
          <w:color w:val="auto"/>
        </w:rPr>
      </w:pPr>
      <w:r>
        <w:rPr>
          <w:rFonts w:ascii="Arial" w:cs="Arial" w:eastAsia="Arial" w:hAnsi="Arial"/>
          <w:sz w:val="16"/>
          <w:szCs w:val="16"/>
          <w:color w:val="auto"/>
        </w:rPr>
        <w:t>a balance sheet as of the end of such year, (ii) statements of income and of cash flows for such year, and a comparison between (x) the actual amounts as of and for such fiscal year and (y) the comparable amounts for the prior year and as included in the Budget (as defined in Subsection 3.1(e)) for such year, with an explanation of any material differences between such amounts and a schedule as to the sources and applications of funds for such year, and</w:t>
      </w:r>
    </w:p>
    <w:p>
      <w:pPr>
        <w:spacing w:after="0" w:line="1" w:lineRule="exact"/>
        <w:rPr>
          <w:rFonts w:ascii="Arial" w:cs="Arial" w:eastAsia="Arial" w:hAnsi="Arial"/>
          <w:sz w:val="16"/>
          <w:szCs w:val="16"/>
          <w:color w:val="auto"/>
        </w:rPr>
      </w:pPr>
    </w:p>
    <w:p>
      <w:pPr>
        <w:ind w:left="4" w:hanging="4"/>
        <w:spacing w:after="0" w:line="255" w:lineRule="auto"/>
        <w:tabs>
          <w:tab w:leader="none" w:pos="319"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 statement of stockholders’ equity as of the end of such year, all such financial statements, unaudited and audited versions, certified by independent public accountants of nationally recognized standing selected by the Company within ninety days (90) and one hundred and twenty days (120), respectively, after the end of each fiscal year of the Company;</w:t>
      </w:r>
    </w:p>
    <w:p>
      <w:pPr>
        <w:spacing w:after="0" w:line="189" w:lineRule="exact"/>
        <w:rPr>
          <w:rFonts w:ascii="Arial" w:cs="Arial" w:eastAsia="Arial" w:hAnsi="Arial"/>
          <w:sz w:val="18"/>
          <w:szCs w:val="18"/>
          <w:color w:val="auto"/>
        </w:rPr>
      </w:pPr>
    </w:p>
    <w:p>
      <w:pPr>
        <w:ind w:left="4" w:right="60" w:firstLine="1428"/>
        <w:spacing w:after="0" w:line="301" w:lineRule="auto"/>
        <w:tabs>
          <w:tab w:leader="none" w:pos="1826" w:val="left"/>
        </w:tabs>
        <w:numPr>
          <w:ilvl w:val="1"/>
          <w:numId w:val="332"/>
        </w:numPr>
        <w:rPr>
          <w:rFonts w:ascii="Arial" w:cs="Arial" w:eastAsia="Arial" w:hAnsi="Arial"/>
          <w:sz w:val="16"/>
          <w:szCs w:val="16"/>
          <w:color w:val="auto"/>
        </w:rPr>
      </w:pPr>
      <w:r>
        <w:rPr>
          <w:rFonts w:ascii="Arial" w:cs="Arial" w:eastAsia="Arial" w:hAnsi="Arial"/>
          <w:sz w:val="16"/>
          <w:szCs w:val="16"/>
          <w:color w:val="auto"/>
        </w:rPr>
        <w:t>as soon as practicable, but in any event within forty-five (45) days after the end of each of the first three (3) quarters of each fiscal year of the Company, unaudited statements of income and of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57" w:lineRule="exact"/>
        <w:rPr>
          <w:rFonts w:ascii="Arial" w:cs="Arial" w:eastAsia="Arial" w:hAnsi="Arial"/>
          <w:sz w:val="16"/>
          <w:szCs w:val="16"/>
          <w:color w:val="auto"/>
        </w:rPr>
      </w:pPr>
    </w:p>
    <w:p>
      <w:pPr>
        <w:ind w:left="4" w:right="120" w:firstLine="1428"/>
        <w:spacing w:after="0" w:line="269" w:lineRule="auto"/>
        <w:tabs>
          <w:tab w:leader="none" w:pos="1826" w:val="left"/>
        </w:tabs>
        <w:numPr>
          <w:ilvl w:val="1"/>
          <w:numId w:val="332"/>
        </w:numPr>
        <w:rPr>
          <w:rFonts w:ascii="Arial" w:cs="Arial" w:eastAsia="Arial" w:hAnsi="Arial"/>
          <w:sz w:val="17"/>
          <w:szCs w:val="17"/>
          <w:color w:val="auto"/>
        </w:rPr>
      </w:pPr>
      <w:r>
        <w:rPr>
          <w:rFonts w:ascii="Arial" w:cs="Arial" w:eastAsia="Arial" w:hAnsi="Arial"/>
          <w:sz w:val="17"/>
          <w:szCs w:val="17"/>
          <w:color w:val="auto"/>
        </w:rPr>
        <w:t xml:space="preserve">as soon as practicable, but in any event within forty-five (45) days after the end of each of the first three (3) quarters of each fiscal year of the Company and, in the case of a Major Investor who is also a Regulated Investor, within five (5) days of the written request by such Regulated Investor,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and the name of each holder thereof and his, her or its respective holdings, all in sufficient detail as to permit the Major Investors to calculate their respective percentage equity ownership in the Company, and certified by the chief financial officer or chief executive officer of the Company as being true, complete, and correct;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the Company may withhold listing the name of any employee, advisor or consultant as a holder of an option to purchase shares of the Company’s capital stock from such capitalization table;</w:t>
      </w:r>
    </w:p>
    <w:p>
      <w:pPr>
        <w:spacing w:after="0" w:line="185" w:lineRule="exact"/>
        <w:rPr>
          <w:rFonts w:ascii="Arial" w:cs="Arial" w:eastAsia="Arial" w:hAnsi="Arial"/>
          <w:sz w:val="17"/>
          <w:szCs w:val="17"/>
          <w:color w:val="auto"/>
        </w:rPr>
      </w:pPr>
    </w:p>
    <w:p>
      <w:pPr>
        <w:ind w:left="4" w:right="200" w:firstLine="1428"/>
        <w:spacing w:after="0" w:line="277" w:lineRule="auto"/>
        <w:tabs>
          <w:tab w:leader="none" w:pos="1866"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of the end of each month, an unaudited income statement and statement of cash flows for such</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2"/>
          <w:numId w:val="332"/>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004"/>
          </w:cols>
          <w:pgMar w:left="436" w:top="274" w:right="459" w:bottom="1440" w:gutter="0" w:footer="0" w:header="0"/>
        </w:sectPr>
      </w:pPr>
    </w:p>
    <w:bookmarkStart w:id="452" w:name="page453"/>
    <w:bookmarkEnd w:id="452"/>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month, and an unaudited balance sheet and statement of stockholders’ equity as of the end of such month, all prepared in accordance with GAAP (except that such financial statements may (i) be subject to normal year-end audit adjustments and (ii) not contain all notes thereto that may be required in accordance with GAAP);</w:t>
      </w:r>
    </w:p>
    <w:p>
      <w:pPr>
        <w:spacing w:after="0" w:line="184" w:lineRule="exact"/>
        <w:rPr>
          <w:sz w:val="20"/>
          <w:szCs w:val="20"/>
          <w:color w:val="auto"/>
        </w:rPr>
      </w:pPr>
    </w:p>
    <w:p>
      <w:pPr>
        <w:ind w:left="4" w:right="60" w:firstLine="1428"/>
        <w:spacing w:after="0" w:line="311" w:lineRule="auto"/>
        <w:tabs>
          <w:tab w:leader="none" w:pos="1796"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as soon as practicable, but in any event thirty (30) days before the end of each fiscal year, a budget and business plan for the next fiscal year (collectively, the “</w:t>
      </w:r>
      <w:r>
        <w:rPr>
          <w:rFonts w:ascii="Arial" w:cs="Arial" w:eastAsia="Arial" w:hAnsi="Arial"/>
          <w:sz w:val="16"/>
          <w:szCs w:val="16"/>
          <w:b w:val="1"/>
          <w:bCs w:val="1"/>
          <w:color w:val="auto"/>
        </w:rPr>
        <w:t>Budget</w:t>
      </w:r>
      <w:r>
        <w:rPr>
          <w:rFonts w:ascii="Arial" w:cs="Arial" w:eastAsia="Arial" w:hAnsi="Arial"/>
          <w:sz w:val="16"/>
          <w:szCs w:val="16"/>
          <w:color w:val="auto"/>
        </w:rPr>
        <w:t>”), approved by the Board of Directors and prepared on a monthly basis, including balance sheets, income statements, and statements of cash flow for such months and, promptly after prepared, any other budgets or revised budgets prepared by the Company;</w:t>
      </w:r>
    </w:p>
    <w:p>
      <w:pPr>
        <w:spacing w:after="0" w:line="149" w:lineRule="exact"/>
        <w:rPr>
          <w:sz w:val="20"/>
          <w:szCs w:val="20"/>
          <w:color w:val="auto"/>
        </w:rPr>
      </w:pPr>
    </w:p>
    <w:p>
      <w:pPr>
        <w:ind w:left="4" w:right="760" w:firstLine="1428"/>
        <w:spacing w:after="0" w:line="277" w:lineRule="auto"/>
        <w:tabs>
          <w:tab w:leader="none" w:pos="182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such other information as a Regulated Investor may from time to time reasonably request relating to the Company’s compliance with applicable Law; and</w:t>
      </w:r>
    </w:p>
    <w:p>
      <w:pPr>
        <w:spacing w:after="0" w:line="170" w:lineRule="exact"/>
        <w:rPr>
          <w:rFonts w:ascii="Arial" w:cs="Arial" w:eastAsia="Arial" w:hAnsi="Arial"/>
          <w:sz w:val="18"/>
          <w:szCs w:val="18"/>
          <w:color w:val="auto"/>
        </w:rPr>
      </w:pPr>
    </w:p>
    <w:p>
      <w:pPr>
        <w:jc w:val="both"/>
        <w:ind w:left="4" w:right="100" w:firstLine="1428"/>
        <w:spacing w:after="0" w:line="257" w:lineRule="auto"/>
        <w:tabs>
          <w:tab w:leader="none" w:pos="182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Company shall not be obligated under this Subsection 3.1 to provide information (i) that the Board of Directors reasonably determines in good faith to be a trade secret or confidential information (unless covered by an enforceable confidentiality agreement, in form reasonably acceptable to the Company) or (ii) the disclosure of which would adversely affect the attorney-client privilege between the Company and its counsel.</w:t>
      </w:r>
    </w:p>
    <w:p>
      <w:pPr>
        <w:spacing w:after="0" w:line="188" w:lineRule="exact"/>
        <w:rPr>
          <w:sz w:val="20"/>
          <w:szCs w:val="20"/>
          <w:color w:val="auto"/>
        </w:rPr>
      </w:pPr>
    </w:p>
    <w:p>
      <w:pPr>
        <w:ind w:left="4" w:right="160" w:firstLine="991"/>
        <w:spacing w:after="0" w:line="263"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4" w:lineRule="exact"/>
        <w:rPr>
          <w:sz w:val="20"/>
          <w:szCs w:val="20"/>
          <w:color w:val="auto"/>
        </w:rPr>
      </w:pPr>
    </w:p>
    <w:p>
      <w:pPr>
        <w:ind w:left="4" w:right="40" w:firstLine="991"/>
        <w:spacing w:after="0" w:line="257" w:lineRule="auto"/>
        <w:rPr>
          <w:sz w:val="20"/>
          <w:szCs w:val="20"/>
          <w:color w:val="auto"/>
        </w:rPr>
      </w:pPr>
      <w:r>
        <w:rPr>
          <w:rFonts w:ascii="Arial" w:cs="Arial" w:eastAsia="Arial" w:hAnsi="Arial"/>
          <w:sz w:val="18"/>
          <w:szCs w:val="18"/>
          <w:color w:val="auto"/>
        </w:rPr>
        <w:t xml:space="preserve">Notwithstanding anything else in this Subsection 3.1 to the contrary, the Company may cease providing the information set forth in this Subsection 3.1 during the period starting with the date thirty (30)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Subsection 3.1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jc w:val="both"/>
        <w:ind w:left="4" w:right="40" w:firstLine="991"/>
        <w:spacing w:after="0" w:line="287" w:lineRule="auto"/>
        <w:rPr>
          <w:sz w:val="20"/>
          <w:szCs w:val="20"/>
          <w:color w:val="auto"/>
        </w:rPr>
      </w:pPr>
      <w:r>
        <w:rPr>
          <w:rFonts w:ascii="Arial" w:cs="Arial" w:eastAsia="Arial" w:hAnsi="Arial"/>
          <w:sz w:val="16"/>
          <w:szCs w:val="16"/>
          <w:color w:val="auto"/>
        </w:rPr>
        <w:t>Notwithstanding anything else in this Agreement to the contrary, at any time any Regulated Investor holds any shares of capital stock of the Company, and without regard as to whether a determination by the Board of Directors that such Regulated Investor is a Competitor has been made, the Company shall provide to each such Regulated Investor (x) the information specified in clauses (a), (b), (c), (e) and (f) of this Subsection 3.1 and</w:t>
      </w:r>
    </w:p>
    <w:p>
      <w:pPr>
        <w:spacing w:after="0" w:line="2" w:lineRule="exact"/>
        <w:rPr>
          <w:sz w:val="20"/>
          <w:szCs w:val="20"/>
          <w:color w:val="auto"/>
        </w:rPr>
      </w:pPr>
    </w:p>
    <w:p>
      <w:pPr>
        <w:ind w:left="4" w:right="80" w:hanging="4"/>
        <w:spacing w:after="0" w:line="253" w:lineRule="auto"/>
        <w:tabs>
          <w:tab w:leader="none" w:pos="259"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such other information as such Regulated Investor may from time to time request as and if necessary, in the reasonable determination of such Regulated Investor, to comply with the Exchange Act, the BHCA or any other applicable Law (such information, the “</w:t>
      </w:r>
      <w:r>
        <w:rPr>
          <w:rFonts w:ascii="Arial" w:cs="Arial" w:eastAsia="Arial" w:hAnsi="Arial"/>
          <w:sz w:val="18"/>
          <w:szCs w:val="18"/>
          <w:b w:val="1"/>
          <w:bCs w:val="1"/>
          <w:color w:val="auto"/>
        </w:rPr>
        <w:t>Limited Information</w:t>
      </w:r>
      <w:r>
        <w:rPr>
          <w:rFonts w:ascii="Arial" w:cs="Arial" w:eastAsia="Arial" w:hAnsi="Arial"/>
          <w:sz w:val="18"/>
          <w:szCs w:val="18"/>
          <w:color w:val="auto"/>
        </w:rPr>
        <w:t>”). To the extent applicable, the Company may redact from the Limited Information any information or materials solely and exclusively to the extent (i) such Regulated Investor has been determined to be a Competitor</w:t>
      </w:r>
    </w:p>
    <w:p>
      <w:pPr>
        <w:spacing w:after="0" w:line="125" w:lineRule="exact"/>
        <w:rPr>
          <w:rFonts w:ascii="Arial" w:cs="Arial" w:eastAsia="Arial" w:hAnsi="Arial"/>
          <w:sz w:val="18"/>
          <w:szCs w:val="18"/>
          <w:color w:val="auto"/>
        </w:rPr>
      </w:pPr>
    </w:p>
    <w:p>
      <w:pPr>
        <w:ind w:left="5424" w:hanging="111"/>
        <w:spacing w:after="0"/>
        <w:tabs>
          <w:tab w:leader="none" w:pos="5424" w:val="left"/>
        </w:tabs>
        <w:numPr>
          <w:ilvl w:val="1"/>
          <w:numId w:val="335"/>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904"/>
          </w:cols>
          <w:pgMar w:left="436" w:top="274" w:right="559" w:bottom="1440" w:gutter="0" w:footer="0" w:header="0"/>
        </w:sectPr>
      </w:pPr>
    </w:p>
    <w:bookmarkStart w:id="453" w:name="page454"/>
    <w:bookmarkEnd w:id="453"/>
    <w:p>
      <w:pPr>
        <w:ind w:left="4"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hereunder and (ii) such information or materials contain competitively sensitive commercial information;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in no event shall any information provided pursuant to clauses (a), (b) or (c) of this Subsection 3.1 be redacted under any circumstances.</w:t>
      </w:r>
    </w:p>
    <w:p>
      <w:pPr>
        <w:spacing w:after="0" w:line="170" w:lineRule="exact"/>
        <w:rPr>
          <w:sz w:val="20"/>
          <w:szCs w:val="20"/>
          <w:color w:val="auto"/>
        </w:rPr>
      </w:pPr>
    </w:p>
    <w:p>
      <w:pPr>
        <w:ind w:left="4" w:right="40" w:firstLine="991"/>
        <w:spacing w:after="0" w:line="289"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Inspection.</w:t>
      </w:r>
      <w:r>
        <w:rPr>
          <w:rFonts w:ascii="Arial" w:cs="Arial" w:eastAsia="Arial" w:hAnsi="Arial"/>
          <w:sz w:val="16"/>
          <w:szCs w:val="16"/>
          <w:color w:val="auto"/>
        </w:rPr>
        <w:t xml:space="preserve"> The Company shall permit each Regulated Investor, so long as it continues to hold any Registrable Securities, and each Major Investor, provided that the Board of Directors has not reasonably determined that such Regulated Investor or Major Investor is a Competitor of the Company, at such Major Investor’s expense, to visit and inspect the properties, facilities and other assets of the Company and its subsidiaries; examine books of account and records of the Company and each of its subsidiaries as well as each of their respective financial processes, operations and controls; and discuss the affairs, finances, and accounts of the Company and each of its subsidiaries with the Company’s officers, during normal business hours of the Company as may be reasonably requested by the Major Investor;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Company shall not be obligated pursuant to this Subsection 3.2 to provide access to any information that the Board of Directors reasonably and in good faith considers to be a trade secret or confidential information (unless covered by an enforceable confidentiality agreement, in form reasonably acceptable to the Company) or the disclosure of which would adversely affect the attorney-client privilege between the Company and its counsel.</w:t>
      </w:r>
    </w:p>
    <w:p>
      <w:pPr>
        <w:spacing w:after="0" w:line="166" w:lineRule="exact"/>
        <w:rPr>
          <w:sz w:val="20"/>
          <w:szCs w:val="20"/>
          <w:color w:val="auto"/>
        </w:rPr>
      </w:pPr>
    </w:p>
    <w:p>
      <w:pPr>
        <w:ind w:left="4" w:right="160" w:firstLine="991"/>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Termination of Information.</w:t>
      </w:r>
      <w:r>
        <w:rPr>
          <w:rFonts w:ascii="Arial" w:cs="Arial" w:eastAsia="Arial" w:hAnsi="Arial"/>
          <w:sz w:val="18"/>
          <w:szCs w:val="18"/>
          <w:color w:val="auto"/>
        </w:rPr>
        <w:t xml:space="preserve"> The covenants set forth in Subsection 3.1 and Subsection 3.2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Certificate of Incorporation, whichever event occurs first.</w:t>
      </w:r>
    </w:p>
    <w:p>
      <w:pPr>
        <w:spacing w:after="0" w:line="187"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severally and not jointly,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was in the public domain prior to the time it was furnished to such Investor, (b) is known or becomes known to the public in general (other than as a result of a breach of this Subsection 3.4 by such Investor), (c) is or has been independently developed or conceived by the Investor without use of the Company’s confidential information, (d) was in such Investor’s possession or known by such Investor without restriction prior to receipt from the Company or (e) is or has been made known or disclosed to the Investor by a third party without a breach of any obligation of confidentiality such third party may have to the Company;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(A)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Subsection 3.4;</w:t>
      </w:r>
    </w:p>
    <w:p>
      <w:pPr>
        <w:spacing w:after="0" w:line="5" w:lineRule="exact"/>
        <w:rPr>
          <w:sz w:val="20"/>
          <w:szCs w:val="20"/>
          <w:color w:val="auto"/>
        </w:rPr>
      </w:pPr>
    </w:p>
    <w:p>
      <w:pPr>
        <w:ind w:left="4" w:right="20" w:hanging="4"/>
        <w:spacing w:after="0" w:line="273" w:lineRule="auto"/>
        <w:tabs>
          <w:tab w:leader="none" w:pos="319" w:val="left"/>
        </w:tabs>
        <w:numPr>
          <w:ilvl w:val="0"/>
          <w:numId w:val="336"/>
        </w:numPr>
        <w:rPr>
          <w:rFonts w:ascii="Arial" w:cs="Arial" w:eastAsia="Arial" w:hAnsi="Arial"/>
          <w:sz w:val="17"/>
          <w:szCs w:val="17"/>
          <w:color w:val="auto"/>
        </w:rPr>
      </w:pPr>
      <w:r>
        <w:rPr>
          <w:rFonts w:ascii="Arial" w:cs="Arial" w:eastAsia="Arial" w:hAnsi="Arial"/>
          <w:sz w:val="17"/>
          <w:szCs w:val="17"/>
          <w:color w:val="auto"/>
        </w:rPr>
        <w:t xml:space="preserve">to any existing or prospective Affiliate, partner, member, stockholder, or wholly owned subsidiary of such Investor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informs such Person that such information is confidential and directs such Person to maintain the confidentiality of such information; or (iv) as may otherwise be required by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Investor promptly notifies the Company of such disclosure and takes reasonable steps to minimize the extent of any such required disclosure and (B) notwithstanding anything in this</w:t>
      </w:r>
    </w:p>
    <w:p>
      <w:pPr>
        <w:spacing w:after="0" w:line="108" w:lineRule="exact"/>
        <w:rPr>
          <w:rFonts w:ascii="Arial" w:cs="Arial" w:eastAsia="Arial" w:hAnsi="Arial"/>
          <w:sz w:val="17"/>
          <w:szCs w:val="17"/>
          <w:color w:val="auto"/>
        </w:rPr>
      </w:pPr>
    </w:p>
    <w:p>
      <w:pPr>
        <w:ind w:left="5424" w:hanging="111"/>
        <w:spacing w:after="0"/>
        <w:tabs>
          <w:tab w:leader="none" w:pos="5424" w:val="left"/>
        </w:tabs>
        <w:numPr>
          <w:ilvl w:val="1"/>
          <w:numId w:val="336"/>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004"/>
          </w:cols>
          <w:pgMar w:left="436" w:top="274" w:right="459" w:bottom="1440" w:gutter="0" w:footer="0" w:header="0"/>
        </w:sectPr>
      </w:pPr>
    </w:p>
    <w:bookmarkStart w:id="454" w:name="page455"/>
    <w:bookmarkEnd w:id="454"/>
    <w:p>
      <w:pPr>
        <w:ind w:left="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 or any other agreement to which the Company is a party or by which it is bound, each Regulated Investor and Affiliate thereof, without prior written notice to the Company or any other Person, may disclose any confidential information to any Governmental Authority or examiner of or related to a Governmental Authority with competent jurisdiction over such Regulated Investor (or any of such Regulated Investor’s Affiliates), regardless of whether or not such Regulated Investor (or any of its Affiliates, as applicable) is required to make such disclosure by the BHCA or any other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with respect to communications made in connection with routine regulatory oversight, and solely to the extent (i) permitted by applicable Law and (ii) such Regulated Investor discloses any confidential information of the Company in response to a targeted request related to the Company by any such Governmental Authority or examiner of or related to a Governmental Authority, such Regulated Investor shall use commercially reasonable efforts to notify the Company following any such disclosure.</w:t>
      </w:r>
    </w:p>
    <w:p>
      <w:pPr>
        <w:spacing w:after="0" w:line="286" w:lineRule="exact"/>
        <w:rPr>
          <w:sz w:val="20"/>
          <w:szCs w:val="20"/>
          <w:color w:val="auto"/>
        </w:rPr>
      </w:pPr>
    </w:p>
    <w:p>
      <w:pPr>
        <w:ind w:left="764" w:hanging="324"/>
        <w:spacing w:after="0"/>
        <w:tabs>
          <w:tab w:leader="none" w:pos="764"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p>
    <w:p>
      <w:pPr>
        <w:spacing w:after="0" w:line="117" w:lineRule="exact"/>
        <w:rPr>
          <w:sz w:val="20"/>
          <w:szCs w:val="20"/>
          <w:color w:val="auto"/>
        </w:rPr>
      </w:pPr>
    </w:p>
    <w:p>
      <w:pPr>
        <w:ind w:left="4" w:right="40" w:firstLine="991"/>
        <w:spacing w:after="0" w:line="28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xml:space="preserve"> Subject to the terms and conditions of this Subsection 4.1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Major Investor (“</w:t>
      </w:r>
      <w:r>
        <w:rPr>
          <w:rFonts w:ascii="Arial" w:cs="Arial" w:eastAsia="Arial" w:hAnsi="Arial"/>
          <w:sz w:val="16"/>
          <w:szCs w:val="16"/>
          <w:b w:val="1"/>
          <w:bCs w:val="1"/>
          <w:color w:val="auto"/>
        </w:rPr>
        <w:t>Investor Beneficial Owners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Affiliate or Investor Beneficial Owner: (x) is not a Competitor or FOIA Party, unless such party’s purchase of New Securities is otherwise consented to by the Board of Directors,</w:t>
      </w:r>
    </w:p>
    <w:p>
      <w:pPr>
        <w:spacing w:after="0" w:line="4" w:lineRule="exact"/>
        <w:rPr>
          <w:sz w:val="20"/>
          <w:szCs w:val="20"/>
          <w:color w:val="auto"/>
        </w:rPr>
      </w:pPr>
    </w:p>
    <w:p>
      <w:pPr>
        <w:ind w:left="4" w:hanging="4"/>
        <w:spacing w:after="0" w:line="271" w:lineRule="auto"/>
        <w:tabs>
          <w:tab w:leader="none" w:pos="259" w:val="left"/>
        </w:tabs>
        <w:numPr>
          <w:ilvl w:val="0"/>
          <w:numId w:val="338"/>
        </w:numPr>
        <w:rPr>
          <w:rFonts w:ascii="Arial" w:cs="Arial" w:eastAsia="Arial" w:hAnsi="Arial"/>
          <w:sz w:val="17"/>
          <w:szCs w:val="17"/>
          <w:color w:val="auto"/>
        </w:rPr>
      </w:pPr>
      <w:r>
        <w:rPr>
          <w:rFonts w:ascii="Arial" w:cs="Arial" w:eastAsia="Arial" w:hAnsi="Arial"/>
          <w:sz w:val="17"/>
          <w:szCs w:val="17"/>
          <w:color w:val="auto"/>
        </w:rPr>
        <w:t>agrees to enter into this Agreement and each of the Seventh Amended and Restated Voting Agreement and the Seventh Amended and Restated Right of First Refusal and Co-Sale Agreement of even date herewith among the Company, the Investors and the other parties named therein, as an “</w:t>
      </w:r>
      <w:r>
        <w:rPr>
          <w:rFonts w:ascii="Arial" w:cs="Arial" w:eastAsia="Arial" w:hAnsi="Arial"/>
          <w:sz w:val="17"/>
          <w:szCs w:val="17"/>
          <w:b w:val="1"/>
          <w:bCs w:val="1"/>
          <w:color w:val="auto"/>
        </w:rPr>
        <w:t>Investor</w:t>
      </w:r>
      <w:r>
        <w:rPr>
          <w:rFonts w:ascii="Arial" w:cs="Arial" w:eastAsia="Arial" w:hAnsi="Arial"/>
          <w:sz w:val="17"/>
          <w:szCs w:val="17"/>
          <w:color w:val="auto"/>
        </w:rPr>
        <w:t xml:space="preserve">” under each such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Competitor or FOIA Party shall not be entitled to any rights as a Major Investor under Subsections 3.1, 3.2 and 4.1 hereof), and (z) agrees to purchase at least such number of New Securities as are allocable hereunder to the Major Investor holding the fewest number of Preferred Stock and any other Derivative Securities.</w:t>
      </w:r>
    </w:p>
    <w:p>
      <w:pPr>
        <w:spacing w:after="0" w:line="174" w:lineRule="exact"/>
        <w:rPr>
          <w:rFonts w:ascii="Arial" w:cs="Arial" w:eastAsia="Arial" w:hAnsi="Arial"/>
          <w:sz w:val="17"/>
          <w:szCs w:val="17"/>
          <w:color w:val="auto"/>
        </w:rPr>
      </w:pPr>
    </w:p>
    <w:p>
      <w:pPr>
        <w:jc w:val="both"/>
        <w:ind w:left="4" w:right="340" w:firstLine="1428"/>
        <w:spacing w:after="0" w:line="266" w:lineRule="auto"/>
        <w:tabs>
          <w:tab w:leader="none" w:pos="1823"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79" w:lineRule="exact"/>
        <w:rPr>
          <w:rFonts w:ascii="Arial" w:cs="Arial" w:eastAsia="Arial" w:hAnsi="Arial"/>
          <w:sz w:val="18"/>
          <w:szCs w:val="18"/>
          <w:color w:val="auto"/>
        </w:rPr>
      </w:pPr>
    </w:p>
    <w:p>
      <w:pPr>
        <w:ind w:left="4" w:right="200" w:firstLine="1428"/>
        <w:spacing w:after="0" w:line="255" w:lineRule="auto"/>
        <w:tabs>
          <w:tab w:leader="none" w:pos="1786" w:val="left"/>
        </w:tabs>
        <w:numPr>
          <w:ilvl w:val="1"/>
          <w:numId w:val="338"/>
        </w:numPr>
        <w:rPr>
          <w:rFonts w:ascii="Arial" w:cs="Arial" w:eastAsia="Arial" w:hAnsi="Arial"/>
          <w:sz w:val="18"/>
          <w:szCs w:val="18"/>
          <w:color w:val="auto"/>
        </w:rPr>
      </w:pPr>
      <w:r>
        <w:rPr>
          <w:rFonts w:ascii="Arial" w:cs="Arial" w:eastAsia="Arial" w:hAnsi="Arial"/>
          <w:sz w:val="18"/>
          <w:szCs w:val="18"/>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issued and held, or issuable (directly or indirectly) upon conversion and/or exercise, as applicable, of the Preferred Stock and any other Derivative Securities then held, by such Major Investor bears to the total Common Stock of the Company then-outstanding (assuming full conversion and/or exercise, as applicable, of all Preferred Stock and other Derivative Securities) (the “</w:t>
      </w:r>
      <w:r>
        <w:rPr>
          <w:rFonts w:ascii="Arial" w:cs="Arial" w:eastAsia="Arial" w:hAnsi="Arial"/>
          <w:sz w:val="18"/>
          <w:szCs w:val="18"/>
          <w:b w:val="1"/>
          <w:bCs w:val="1"/>
          <w:color w:val="auto"/>
        </w:rPr>
        <w:t>Pro Rata Percentage</w:t>
      </w:r>
      <w:r>
        <w:rPr>
          <w:rFonts w:ascii="Arial" w:cs="Arial" w:eastAsia="Arial" w:hAnsi="Arial"/>
          <w:sz w:val="18"/>
          <w:szCs w:val="18"/>
          <w:color w:val="auto"/>
        </w:rPr>
        <w:t>”). At the expiration</w:t>
      </w:r>
    </w:p>
    <w:p>
      <w:pPr>
        <w:spacing w:after="0" w:line="124" w:lineRule="exact"/>
        <w:rPr>
          <w:rFonts w:ascii="Arial" w:cs="Arial" w:eastAsia="Arial" w:hAnsi="Arial"/>
          <w:sz w:val="18"/>
          <w:szCs w:val="18"/>
          <w:color w:val="auto"/>
        </w:rPr>
      </w:pPr>
    </w:p>
    <w:p>
      <w:pPr>
        <w:ind w:left="5424" w:hanging="111"/>
        <w:spacing w:after="0"/>
        <w:tabs>
          <w:tab w:leader="none" w:pos="5424" w:val="left"/>
        </w:tabs>
        <w:numPr>
          <w:ilvl w:val="2"/>
          <w:numId w:val="338"/>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984"/>
          </w:cols>
          <w:pgMar w:left="436" w:top="274" w:right="479" w:bottom="1440" w:gutter="0" w:footer="0" w:header="0"/>
        </w:sectPr>
      </w:pPr>
    </w:p>
    <w:bookmarkStart w:id="455" w:name="page456"/>
    <w:bookmarkEnd w:id="455"/>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such twenty (20) day period, the Company shall promptly notify in writing each Major Investor that elects to purchase or acquire all the shares available to it (each, a “</w:t>
      </w:r>
      <w:r>
        <w:rPr>
          <w:rFonts w:ascii="Arial" w:cs="Arial" w:eastAsia="Arial" w:hAnsi="Arial"/>
          <w:sz w:val="17"/>
          <w:szCs w:val="17"/>
          <w:b w:val="1"/>
          <w:bCs w:val="1"/>
          <w:color w:val="auto"/>
        </w:rPr>
        <w:t>Fully Exercising Investor</w:t>
      </w:r>
      <w:r>
        <w:rPr>
          <w:rFonts w:ascii="Arial" w:cs="Arial" w:eastAsia="Arial" w:hAnsi="Arial"/>
          <w:sz w:val="17"/>
          <w:szCs w:val="17"/>
          <w:color w:val="auto"/>
        </w:rPr>
        <w:t>”)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Subsection 4.1(b) shall occur within the later of ninety (90) days of the date that the Offer Notice is given and the date of initial sale of New Securities pursuant to Subsection 4.1(c).</w:t>
      </w:r>
    </w:p>
    <w:p>
      <w:pPr>
        <w:spacing w:after="0" w:line="185" w:lineRule="exact"/>
        <w:rPr>
          <w:sz w:val="20"/>
          <w:szCs w:val="20"/>
          <w:color w:val="auto"/>
        </w:rPr>
      </w:pPr>
    </w:p>
    <w:p>
      <w:pPr>
        <w:ind w:firstLine="1428"/>
        <w:spacing w:after="0" w:line="293" w:lineRule="auto"/>
        <w:tabs>
          <w:tab w:leader="none" w:pos="1812" w:val="left"/>
        </w:tabs>
        <w:numPr>
          <w:ilvl w:val="0"/>
          <w:numId w:val="339"/>
        </w:numPr>
        <w:rPr>
          <w:rFonts w:ascii="Arial" w:cs="Arial" w:eastAsia="Arial" w:hAnsi="Arial"/>
          <w:sz w:val="16"/>
          <w:szCs w:val="16"/>
          <w:color w:val="auto"/>
        </w:rPr>
      </w:pPr>
      <w:r>
        <w:rPr>
          <w:rFonts w:ascii="Arial" w:cs="Arial" w:eastAsia="Arial" w:hAnsi="Arial"/>
          <w:sz w:val="16"/>
          <w:szCs w:val="16"/>
          <w:color w:val="auto"/>
        </w:rPr>
        <w:t>If all New Securities referred to in the Offer Notice are not elected to be purchased or acquired as provided in Subsection 4.1(b), the Company may, during the ninety (90) day period following the expiration of the periods provided in Subsection 4.1(b),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Subsection 4.1.</w:t>
      </w:r>
    </w:p>
    <w:p>
      <w:pPr>
        <w:spacing w:after="0" w:line="164" w:lineRule="exact"/>
        <w:rPr>
          <w:sz w:val="20"/>
          <w:szCs w:val="20"/>
          <w:color w:val="auto"/>
        </w:rPr>
      </w:pPr>
    </w:p>
    <w:p>
      <w:pPr>
        <w:ind w:right="60" w:firstLine="1428"/>
        <w:spacing w:after="0" w:line="259" w:lineRule="auto"/>
        <w:tabs>
          <w:tab w:leader="none" w:pos="1779"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right of first offer in this Subsection 4.1 shall not be applicable to (i) Exempted Securities (as defined in the Certificate of Incorporation); (ii) shares of Common Stock issued in the IPO; (iii) the issuance of shares of Series F Preferred Stock to Additional Purchasers pursuant to Subsection 1.3 of the Purchase Agreement; and (iv) the issuance of securities pursuant to a Direct Listing in which the Company sells shares of Common Stock registered under the Securities Act pursuant to such Direct Listing.</w:t>
      </w:r>
    </w:p>
    <w:p>
      <w:pPr>
        <w:spacing w:after="0" w:line="186" w:lineRule="exact"/>
        <w:rPr>
          <w:rFonts w:ascii="Arial" w:cs="Arial" w:eastAsia="Arial" w:hAnsi="Arial"/>
          <w:sz w:val="18"/>
          <w:szCs w:val="18"/>
          <w:color w:val="auto"/>
        </w:rPr>
      </w:pPr>
    </w:p>
    <w:p>
      <w:pPr>
        <w:ind w:right="60" w:firstLine="1428"/>
        <w:spacing w:after="0" w:line="293" w:lineRule="auto"/>
        <w:tabs>
          <w:tab w:leader="none" w:pos="182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Notwithstanding any provision hereof to the contrary, in lieu of complying with the provisions of this Subsection 4.1, the Company may elect to give written notice to each of the Major Investors within thirty (30) days after the issuance of New Securities. Such notice shall describe the type, price, and terms of the New Securities and the other material terms and conditions of such issuance. Each Major Investor shall have twenty (20) days from the date such notice is given to elect to purchase up to the number of New Securities that would, if purchased by such Major Investor, maintain such Major Investor’s percentage-ownership position, calculated as set forth in Subsection 4.1(b), before giving effect to the issuance of such New Securities. The closing of such sale shall occur within sixty (60) days of the date notice is given to the Major Investors.</w:t>
      </w:r>
    </w:p>
    <w:p>
      <w:pPr>
        <w:spacing w:after="0" w:line="164" w:lineRule="exact"/>
        <w:rPr>
          <w:rFonts w:ascii="Arial" w:cs="Arial" w:eastAsia="Arial" w:hAnsi="Arial"/>
          <w:sz w:val="16"/>
          <w:szCs w:val="16"/>
          <w:color w:val="auto"/>
        </w:rPr>
      </w:pPr>
    </w:p>
    <w:p>
      <w:pPr>
        <w:ind w:right="180" w:firstLine="1428"/>
        <w:spacing w:after="0" w:line="277" w:lineRule="auto"/>
        <w:tabs>
          <w:tab w:leader="none" w:pos="178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In the event that any Regulated Investor is a Major Investor, then, upon such Regulated Investor’s request, the Company shall create a class of shares (the “</w:t>
      </w:r>
      <w:r>
        <w:rPr>
          <w:rFonts w:ascii="Arial" w:cs="Arial" w:eastAsia="Arial" w:hAnsi="Arial"/>
          <w:sz w:val="18"/>
          <w:szCs w:val="18"/>
          <w:b w:val="1"/>
          <w:bCs w:val="1"/>
          <w:color w:val="auto"/>
        </w:rPr>
        <w:t>BHCA</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000"/>
          </w:cols>
          <w:pgMar w:left="440" w:top="274" w:right="459" w:bottom="1440" w:gutter="0" w:footer="0" w:header="0"/>
        </w:sectPr>
      </w:pPr>
    </w:p>
    <w:bookmarkStart w:id="456" w:name="page457"/>
    <w:bookmarkEnd w:id="456"/>
    <w:p>
      <w:pPr>
        <w:ind w:left="4" w:right="22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Securities</w:t>
      </w:r>
      <w:r>
        <w:rPr>
          <w:rFonts w:ascii="Arial" w:cs="Arial" w:eastAsia="Arial" w:hAnsi="Arial"/>
          <w:sz w:val="16"/>
          <w:szCs w:val="16"/>
          <w:color w:val="auto"/>
        </w:rPr>
        <w:t>”) identical to the shares being offered pursuant to this Section 4 in all respects, except that such BHCA New Securities shall not have</w:t>
      </w:r>
      <w:r>
        <w:rPr>
          <w:rFonts w:ascii="Arial" w:cs="Arial" w:eastAsia="Arial" w:hAnsi="Arial"/>
          <w:sz w:val="16"/>
          <w:szCs w:val="16"/>
          <w:b w:val="1"/>
          <w:bCs w:val="1"/>
          <w:color w:val="auto"/>
        </w:rPr>
        <w:t xml:space="preserve"> </w:t>
      </w:r>
      <w:r>
        <w:rPr>
          <w:rFonts w:ascii="Arial" w:cs="Arial" w:eastAsia="Arial" w:hAnsi="Arial"/>
          <w:sz w:val="16"/>
          <w:szCs w:val="16"/>
          <w:color w:val="auto"/>
        </w:rPr>
        <w:t>any voting rights or other rights as such Major Investor may request, so that such Major Investor may purchase such BHCA New Securities.</w:t>
      </w:r>
    </w:p>
    <w:p>
      <w:pPr>
        <w:spacing w:after="0" w:line="120"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covenants set forth in Subsection 4.1 shall terminate and be of no further force or effect (i) immediately before the consummation of the IPO, (ii) when the Company first becomes subject to the periodic reporting requirements of Section 12(g) or 15(d) of the Exchange Act, (iii) upon a Deemed Liquidation Event, as such term is defined in the Certificate of Incorporation, or (iv) immediately before the consummation of a Direct Listing, whichever event occurs first.</w:t>
      </w:r>
    </w:p>
    <w:p>
      <w:pPr>
        <w:spacing w:after="0" w:line="295" w:lineRule="exact"/>
        <w:rPr>
          <w:sz w:val="20"/>
          <w:szCs w:val="20"/>
          <w:color w:val="auto"/>
        </w:rPr>
      </w:pPr>
    </w:p>
    <w:p>
      <w:pPr>
        <w:ind w:left="764" w:hanging="324"/>
        <w:spacing w:after="0"/>
        <w:tabs>
          <w:tab w:leader="none" w:pos="764"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p>
    <w:p>
      <w:pPr>
        <w:spacing w:after="0" w:line="117"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 xml:space="preserve">Insurance. </w:t>
      </w:r>
      <w:r>
        <w:rPr>
          <w:rFonts w:ascii="Arial" w:cs="Arial" w:eastAsia="Arial" w:hAnsi="Arial"/>
          <w:sz w:val="16"/>
          <w:szCs w:val="16"/>
          <w:color w:val="auto"/>
        </w:rPr>
        <w:t>The Company shall use its commercially reasonable efforts to maintain from financially sound and reputable insurers</w:t>
      </w:r>
    </w:p>
    <w:p>
      <w:pPr>
        <w:spacing w:after="0" w:line="23" w:lineRule="exact"/>
        <w:rPr>
          <w:sz w:val="20"/>
          <w:szCs w:val="20"/>
          <w:color w:val="auto"/>
        </w:rPr>
      </w:pPr>
    </w:p>
    <w:p>
      <w:pPr>
        <w:ind w:left="4" w:right="120" w:hanging="4"/>
        <w:spacing w:after="0" w:line="271" w:lineRule="auto"/>
        <w:tabs>
          <w:tab w:leader="none" w:pos="219" w:val="left"/>
        </w:tabs>
        <w:numPr>
          <w:ilvl w:val="0"/>
          <w:numId w:val="342"/>
        </w:numPr>
        <w:rPr>
          <w:rFonts w:ascii="Arial" w:cs="Arial" w:eastAsia="Arial" w:hAnsi="Arial"/>
          <w:sz w:val="17"/>
          <w:szCs w:val="17"/>
          <w:color w:val="auto"/>
        </w:rPr>
      </w:pPr>
      <w:r>
        <w:rPr>
          <w:rFonts w:ascii="Arial" w:cs="Arial" w:eastAsia="Arial" w:hAnsi="Arial"/>
          <w:sz w:val="17"/>
          <w:szCs w:val="17"/>
          <w:color w:val="auto"/>
        </w:rPr>
        <w:t>Directors and Officers liability insurance and (ii) term “key-person” insurance on the chief executive officer of the Company, each in an amount and on terms and conditions satisfactory to the Board of Directors (including at least two (2) of the Preferred Directors), and shall use its commercially reasonable efforts to cause such insurance policies to be maintained until such time as the Board of Directors determines that such insurance should be discontinued. The key-person policy shall name the Company as loss payee, and neither policy shall be cancelled or materially modified by the Company without prior approval by the Board of Directors, including at least two (2) of the Preferred Directors.</w:t>
      </w:r>
    </w:p>
    <w:p>
      <w:pPr>
        <w:spacing w:after="0" w:line="178" w:lineRule="exact"/>
        <w:rPr>
          <w:sz w:val="20"/>
          <w:szCs w:val="20"/>
          <w:color w:val="auto"/>
        </w:rPr>
      </w:pPr>
    </w:p>
    <w:p>
      <w:pPr>
        <w:ind w:left="4" w:right="20" w:firstLine="991"/>
        <w:spacing w:after="0" w:line="29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xml:space="preserve">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one (1) year non-solicitation and non-competition agreement. In addition, the Company shall not, and shall not permit any of its subsidiaries to, amend, modify, terminate, waive, or otherwise alter, in whole or in part, any of the above-referenced agreements or any restricted stock agreement between the Company (or any of its subsidiaries) and any employee, consultant or contractor, without the consent of the Board of Directors, including at least two (2) of the Preferred Directors.</w:t>
      </w:r>
    </w:p>
    <w:p>
      <w:pPr>
        <w:spacing w:after="0" w:line="164"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Employee Stock.</w:t>
      </w:r>
      <w:r>
        <w:rPr>
          <w:rFonts w:ascii="Arial" w:cs="Arial" w:eastAsia="Arial" w:hAnsi="Arial"/>
          <w:sz w:val="17"/>
          <w:szCs w:val="17"/>
          <w:color w:val="auto"/>
        </w:rPr>
        <w:t xml:space="preserve"> Unless otherwise approved by the Board of Directors, including at least two (2) of the Preferred Directors, all future employees and consultants of the Company or any of its subsidiaries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Subsection 2.11. In addition, unless otherwise approved by the Board of Directors, including at least two (2) of the Preferred Directors, the Company shall retain a “right of first refusal” on employee transfers until the Company’s IPO and shall have the right to repurchase unvested shares at cost upon termination of employment of a holder of restricted stock.</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004"/>
          </w:cols>
          <w:pgMar w:left="436" w:top="270" w:right="459" w:bottom="1440" w:gutter="0" w:footer="0" w:header="0"/>
        </w:sectPr>
      </w:pPr>
    </w:p>
    <w:bookmarkStart w:id="457" w:name="page458"/>
    <w:bookmarkEnd w:id="457"/>
    <w:p>
      <w:pPr>
        <w:ind w:right="2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Arial" w:cs="Arial" w:eastAsia="Arial" w:hAnsi="Arial"/>
          <w:sz w:val="16"/>
          <w:szCs w:val="16"/>
          <w:u w:val="single" w:color="auto"/>
          <w:color w:val="auto"/>
        </w:rPr>
        <w:t>United States Real Property Interest.</w:t>
      </w:r>
      <w:r>
        <w:rPr>
          <w:rFonts w:ascii="Arial" w:cs="Arial" w:eastAsia="Arial" w:hAnsi="Arial"/>
          <w:sz w:val="16"/>
          <w:szCs w:val="16"/>
          <w:color w:val="auto"/>
        </w:rPr>
        <w:t xml:space="preserve"> Promptly following (and in any event within ten (10) days after receipt of) written request by an Investor, the Company shall provide such Investor with a written statement informing such Investor whether such Investor’s interest in the Company constitutes a United States real property interest. The Company’s determination shall comply with the requirements of Treasury Regulation</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Section 1.897-2(h)(1) or any successor regulation, and the Company shall provide timely notice to the Internal Revenue Service, in accordance with and to the extent required by Treasury Regulation Section 1.8972(h)(2) or any successor regulation, that such statement has been made. The Company’s obligation to furnish such written statement shall continue notwithstanding the fact that a class of the Company’s stock may be regularly traded on an established securities market or the fact that there is no Preferred Stock then outstanding.</w:t>
      </w:r>
    </w:p>
    <w:p>
      <w:pPr>
        <w:spacing w:after="0" w:line="284"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Board Matters.</w:t>
      </w:r>
    </w:p>
    <w:p>
      <w:pPr>
        <w:spacing w:after="0" w:line="117" w:lineRule="exact"/>
        <w:rPr>
          <w:sz w:val="20"/>
          <w:szCs w:val="20"/>
          <w:color w:val="auto"/>
        </w:rPr>
      </w:pPr>
    </w:p>
    <w:p>
      <w:pPr>
        <w:ind w:right="80" w:firstLine="1428"/>
        <w:spacing w:after="0" w:line="293" w:lineRule="auto"/>
        <w:tabs>
          <w:tab w:leader="none" w:pos="1812"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Unless otherwise determined by the vote of a majority of the directors then in office, including at least two (2) of the Preferred Directors, the Board of Directors shall meet at least every eight (8) weeks in accordance with an agreed-upon schedule;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of Directors shall meet no less than once each fiscal quarter. The Company shall reimburse the nonemployee directors for all reasonable out-of-pocket travel expenses incurred (consistent with the Company’s travel policy) in connection with attending meetings of the Board of Directors. The Bain Director, Spark Director and Goldman Director shall each have the right, in their sole and absolute discretion, to serve on all committees (either in existence as of the date of this Agreement or formed following the date of this Agreement) of the Board of Directors.</w:t>
      </w:r>
    </w:p>
    <w:p>
      <w:pPr>
        <w:spacing w:after="0" w:line="164" w:lineRule="exact"/>
        <w:rPr>
          <w:sz w:val="20"/>
          <w:szCs w:val="20"/>
          <w:color w:val="auto"/>
        </w:rPr>
      </w:pPr>
    </w:p>
    <w:p>
      <w:pPr>
        <w:ind w:firstLine="1428"/>
        <w:spacing w:after="0" w:line="257" w:lineRule="auto"/>
        <w:tabs>
          <w:tab w:leader="none" w:pos="1888"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Company shall not enter into any contract or agreement with any officer, director, Stockholder, Affiliate or employee of the Company or any subsidiary or any of their respective Affiliates (each a “</w:t>
      </w:r>
      <w:r>
        <w:rPr>
          <w:rFonts w:ascii="Arial" w:cs="Arial" w:eastAsia="Arial" w:hAnsi="Arial"/>
          <w:sz w:val="18"/>
          <w:szCs w:val="18"/>
          <w:b w:val="1"/>
          <w:bCs w:val="1"/>
          <w:color w:val="auto"/>
        </w:rPr>
        <w:t>Related Person</w:t>
      </w:r>
      <w:r>
        <w:rPr>
          <w:rFonts w:ascii="Arial" w:cs="Arial" w:eastAsia="Arial" w:hAnsi="Arial"/>
          <w:sz w:val="18"/>
          <w:szCs w:val="18"/>
          <w:color w:val="auto"/>
        </w:rPr>
        <w:t>”), other than any contract or agreement (i) entered into with such Related Person on terms not less favorable to the Company or subsidiary, as the case may be, than would be obtained in a transaction with a person which is not a Related Person and (ii) approved by the vote of a majority of the directors then in office, including at least two (2) of the Preferred Directors.</w:t>
      </w:r>
    </w:p>
    <w:p>
      <w:pPr>
        <w:spacing w:after="0" w:line="296"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Successor Indemnification; Fund Indemnification.</w:t>
      </w:r>
    </w:p>
    <w:p>
      <w:pPr>
        <w:spacing w:after="0" w:line="117" w:lineRule="exact"/>
        <w:rPr>
          <w:sz w:val="20"/>
          <w:szCs w:val="20"/>
          <w:color w:val="auto"/>
        </w:rPr>
      </w:pPr>
    </w:p>
    <w:p>
      <w:pPr>
        <w:ind w:right="80" w:firstLine="1428"/>
        <w:spacing w:after="0" w:line="257" w:lineRule="auto"/>
        <w:tabs>
          <w:tab w:leader="none" w:pos="181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120" w:lineRule="exact"/>
        <w:rPr>
          <w:rFonts w:ascii="Arial" w:cs="Arial" w:eastAsia="Arial" w:hAnsi="Arial"/>
          <w:sz w:val="18"/>
          <w:szCs w:val="18"/>
          <w:color w:val="auto"/>
        </w:rPr>
      </w:pPr>
    </w:p>
    <w:p>
      <w:pPr>
        <w:ind w:left="5420" w:hanging="111"/>
        <w:spacing w:after="0"/>
        <w:tabs>
          <w:tab w:leader="none" w:pos="542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000"/>
          </w:cols>
          <w:pgMar w:left="440" w:top="274" w:right="459" w:bottom="1440" w:gutter="0" w:footer="0" w:header="0"/>
        </w:sectPr>
      </w:pPr>
    </w:p>
    <w:bookmarkStart w:id="458" w:name="page459"/>
    <w:bookmarkEnd w:id="458"/>
    <w:p>
      <w:pPr>
        <w:ind w:left="-980" w:right="60" w:firstLine="1428"/>
        <w:spacing w:after="0" w:line="286" w:lineRule="auto"/>
        <w:tabs>
          <w:tab w:leader="none" w:pos="839" w:val="left"/>
        </w:tabs>
        <w:numPr>
          <w:ilvl w:val="0"/>
          <w:numId w:val="3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hereby acknowledges that one (1) or more of the directors nominated to serve on the Board of Directors by the Investors (each a “</w:t>
      </w:r>
      <w:r>
        <w:rPr>
          <w:rFonts w:ascii="Arial" w:cs="Arial" w:eastAsia="Arial" w:hAnsi="Arial"/>
          <w:sz w:val="16"/>
          <w:szCs w:val="16"/>
          <w:b w:val="1"/>
          <w:bCs w:val="1"/>
          <w:color w:val="auto"/>
        </w:rPr>
        <w:t>Fund Director</w:t>
      </w:r>
      <w:r>
        <w:rPr>
          <w:rFonts w:ascii="Arial" w:cs="Arial" w:eastAsia="Arial" w:hAnsi="Arial"/>
          <w:sz w:val="16"/>
          <w:szCs w:val="16"/>
          <w:color w:val="auto"/>
        </w:rPr>
        <w:t>”) may have certain rights to indemnification, advancement of expenses and/or insurance provided by one or more of the Investors and certain of their Affiliates (collectively, the “</w:t>
      </w:r>
      <w:r>
        <w:rPr>
          <w:rFonts w:ascii="Arial" w:cs="Arial" w:eastAsia="Arial" w:hAnsi="Arial"/>
          <w:sz w:val="16"/>
          <w:szCs w:val="16"/>
          <w:b w:val="1"/>
          <w:bCs w:val="1"/>
          <w:color w:val="auto"/>
        </w:rPr>
        <w:t>Fund Indemnitors</w:t>
      </w:r>
      <w:r>
        <w:rPr>
          <w:rFonts w:ascii="Arial" w:cs="Arial" w:eastAsia="Arial" w:hAnsi="Arial"/>
          <w:sz w:val="16"/>
          <w:szCs w:val="16"/>
          <w:color w:val="auto"/>
        </w:rPr>
        <w:t>”). The Company hereby agrees (a) that it is the indemnitor of first resort (i.e.,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28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Observation Rights.</w:t>
      </w:r>
    </w:p>
    <w:p>
      <w:pPr>
        <w:spacing w:after="0" w:line="117" w:lineRule="exact"/>
        <w:rPr>
          <w:sz w:val="20"/>
          <w:szCs w:val="20"/>
          <w:color w:val="auto"/>
        </w:rPr>
      </w:pPr>
    </w:p>
    <w:p>
      <w:pPr>
        <w:ind w:left="-980" w:firstLine="1428"/>
        <w:spacing w:after="0" w:line="253" w:lineRule="auto"/>
        <w:tabs>
          <w:tab w:leader="none" w:pos="93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 xml:space="preserve">For so long as Temasek and its Affiliates continue to own beneficially at least 441,667 shares of Common Stock of the Company (including shares of Common Stock issued or issuable upon conversion of Preferred Stock), which number is subject to appropriate adjustment for all stock splits, dividends, combinations, recapitalizations and the like, and Temasek is not represented on the Board of Directors, the Company shall invite a representative of Temasek to attend all meetings of its Board of Directors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such representative shall agree to hold in confidence all information so provided;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Company reserves the right to withhold any information and to exclude such representative from any meeting or portion thereof if the Board of Directors reasonably determines in good faith (based on the advice of the Company’s legal counsel) that access to such information or attendance at such meeting would adversely affect the attorney-client privilege between the Company and its counsel or result in disclosure of trade secrets.</w:t>
      </w:r>
    </w:p>
    <w:p>
      <w:pPr>
        <w:spacing w:after="0" w:line="194" w:lineRule="exact"/>
        <w:rPr>
          <w:rFonts w:ascii="Arial" w:cs="Arial" w:eastAsia="Arial" w:hAnsi="Arial"/>
          <w:sz w:val="18"/>
          <w:szCs w:val="18"/>
          <w:color w:val="auto"/>
        </w:rPr>
      </w:pPr>
    </w:p>
    <w:p>
      <w:pPr>
        <w:ind w:left="-980" w:right="140" w:firstLine="1428"/>
        <w:spacing w:after="0" w:line="257" w:lineRule="auto"/>
        <w:tabs>
          <w:tab w:leader="none" w:pos="91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For so long as Goldman, together with its Affiliates, continues to own beneficially at least 585,637 shares of Common Stock of the Company (including shares of Common Stock issued or issuable upon conversion of Preferred Stock), which number is subject to appropriate adjustment for all stock splits, dividends, combinations, recapitalizations and the like, and Goldman is not represented on the Board of Directors, the Company shall invite a representative of Goldman (the “</w:t>
      </w:r>
      <w:r>
        <w:rPr>
          <w:rFonts w:ascii="Arial" w:cs="Arial" w:eastAsia="Arial" w:hAnsi="Arial"/>
          <w:sz w:val="18"/>
          <w:szCs w:val="18"/>
          <w:b w:val="1"/>
          <w:bCs w:val="1"/>
          <w:color w:val="auto"/>
        </w:rPr>
        <w:t>Goldman Observer</w:t>
      </w:r>
      <w:r>
        <w:rPr>
          <w:rFonts w:ascii="Arial" w:cs="Arial" w:eastAsia="Arial" w:hAnsi="Arial"/>
          <w:sz w:val="18"/>
          <w:szCs w:val="18"/>
          <w:color w:val="auto"/>
        </w:rPr>
        <w:t>”) to attend all meetings of its Board of Directors in a nonvoting observer capacity and, in this respect, shall give such representative</w:t>
      </w:r>
    </w:p>
    <w:p>
      <w:pPr>
        <w:spacing w:after="0" w:line="120" w:lineRule="exact"/>
        <w:rPr>
          <w:rFonts w:ascii="Arial" w:cs="Arial" w:eastAsia="Arial" w:hAnsi="Arial"/>
          <w:sz w:val="18"/>
          <w:szCs w:val="18"/>
          <w:color w:val="auto"/>
        </w:rPr>
      </w:pPr>
    </w:p>
    <w:p>
      <w:pPr>
        <w:ind w:left="4440" w:hanging="111"/>
        <w:spacing w:after="0"/>
        <w:tabs>
          <w:tab w:leader="none" w:pos="444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000"/>
          </w:cols>
          <w:pgMar w:left="1420" w:top="274" w:right="479" w:bottom="1440" w:gutter="0" w:footer="0" w:header="0"/>
        </w:sectPr>
      </w:pPr>
    </w:p>
    <w:bookmarkStart w:id="459" w:name="page460"/>
    <w:bookmarkEnd w:id="45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copies of all notices, minutes, consents and other materials that it provides to its directors at the same time and in the same manner as provided to such directors;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such representative shall agree to hold in confidence all information so provided;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Company reserves the right to withhold any information and to exclude such representative from any meeting or portion thereof if the Board of Directors reasonably determines in good faith (based on the advice of the Company’s legal counsel) that access to such information or attendance at such meeting or portion thereof would adversely affect the attorney-client privilege between the Company and its counsel or result in disclosure of trade secrets.</w:t>
      </w:r>
    </w:p>
    <w:p>
      <w:pPr>
        <w:spacing w:after="0" w:line="192" w:lineRule="exact"/>
        <w:rPr>
          <w:sz w:val="20"/>
          <w:szCs w:val="20"/>
          <w:color w:val="auto"/>
        </w:rPr>
      </w:pPr>
    </w:p>
    <w:p>
      <w:pPr>
        <w:ind w:firstLine="1979"/>
        <w:spacing w:after="0" w:line="269" w:lineRule="auto"/>
        <w:tabs>
          <w:tab w:leader="none" w:pos="2362" w:val="left"/>
        </w:tabs>
        <w:numPr>
          <w:ilvl w:val="0"/>
          <w:numId w:val="348"/>
        </w:numPr>
        <w:rPr>
          <w:rFonts w:ascii="Arial" w:cs="Arial" w:eastAsia="Arial" w:hAnsi="Arial"/>
          <w:sz w:val="17"/>
          <w:szCs w:val="17"/>
          <w:color w:val="auto"/>
        </w:rPr>
      </w:pPr>
      <w:r>
        <w:rPr>
          <w:rFonts w:ascii="Arial" w:cs="Arial" w:eastAsia="Arial" w:hAnsi="Arial"/>
          <w:sz w:val="17"/>
          <w:szCs w:val="17"/>
          <w:color w:val="auto"/>
        </w:rPr>
        <w:t>For so long as F-Prime, together with its Affiliates, continues to own beneficially at least 621,694 shares of Common Stock of the Company (including shares of Common Stock issued or issuable upon conversion of Preferred Stock), which number is subject to appropriate adjustment for all stock splits, dividends, combinations, recapitalizations and the like, and F-Prime is not represented on the Board of Directors, the Company shall invite a representative of F-Prime (the “</w:t>
      </w:r>
      <w:r>
        <w:rPr>
          <w:rFonts w:ascii="Arial" w:cs="Arial" w:eastAsia="Arial" w:hAnsi="Arial"/>
          <w:sz w:val="17"/>
          <w:szCs w:val="17"/>
          <w:b w:val="1"/>
          <w:bCs w:val="1"/>
          <w:color w:val="auto"/>
        </w:rPr>
        <w:t>F-Prime Observer</w:t>
      </w:r>
      <w:r>
        <w:rPr>
          <w:rFonts w:ascii="Arial" w:cs="Arial" w:eastAsia="Arial" w:hAnsi="Arial"/>
          <w:sz w:val="17"/>
          <w:szCs w:val="17"/>
          <w:color w:val="auto"/>
        </w:rPr>
        <w:t xml:space="preserve">”) to attend all meetings of its Board of Directors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such representative shall agree to hold in confidence all information so provided;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Company reserves the right to withhold any information and to exclude such representative from any meeting or portion thereof if the Board of Directors reasonably determines in good faith (based on the advice of the Company’s legal counsel) that access to such information or attendance at such meeting or portion thereof would adversely affect the attorney-client privilege between the Company and its counsel or result in disclosure of trade secrets.</w:t>
      </w:r>
    </w:p>
    <w:p>
      <w:pPr>
        <w:spacing w:after="0" w:line="185"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Notice of Licensing.</w:t>
      </w:r>
      <w:r>
        <w:rPr>
          <w:rFonts w:ascii="Arial" w:cs="Arial" w:eastAsia="Arial" w:hAnsi="Arial"/>
          <w:sz w:val="18"/>
          <w:szCs w:val="18"/>
          <w:color w:val="auto"/>
        </w:rPr>
        <w:t xml:space="preserve"> The Company shall notify each of the Investors in writing promptly of any determination by the Company that it should take any material steps towards the registration or licensing of the Company as a money transmitter, seller or issuer of payment instruments, seller or issuer of stored value/prepaid access or currency exchanger, in each case, under any Laws of any jurisdiction, and shall not take any such material steps towards such registration or licensing prior to the date that is two (2) weeks after providing such notice without the prior written consent of the Board of Directors.</w:t>
      </w:r>
    </w:p>
    <w:p>
      <w:pPr>
        <w:spacing w:after="0" w:line="188"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FCPA.</w:t>
      </w:r>
      <w:r>
        <w:rPr>
          <w:rFonts w:ascii="Arial" w:cs="Arial" w:eastAsia="Arial" w:hAnsi="Arial"/>
          <w:sz w:val="17"/>
          <w:szCs w:val="17"/>
          <w:color w:val="auto"/>
        </w:rPr>
        <w:t xml:space="preserve"> The Company represents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such term is defined in the U.S.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in each case, in violation of the FCPA, the U.K. Bribery Act, or any other applicable anti-bribery or anti-corruption law. The Company further represents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000"/>
          </w:cols>
          <w:pgMar w:left="440" w:top="274" w:right="459" w:bottom="1440" w:gutter="0" w:footer="0" w:header="0"/>
        </w:sectPr>
      </w:pPr>
    </w:p>
    <w:bookmarkStart w:id="460" w:name="page461"/>
    <w:bookmarkEnd w:id="460"/>
    <w:p>
      <w:pPr>
        <w:ind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allegation, voluntary disclosure, investigation, prosecution or other enforcement action related to the FCPA or any other applicable anti-corruption law.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anti-bribery and anti-corruption laws.</w:t>
      </w:r>
    </w:p>
    <w:p>
      <w:pPr>
        <w:spacing w:after="0" w:line="178"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Notification of Certain Events.</w:t>
      </w:r>
      <w:r>
        <w:rPr>
          <w:rFonts w:ascii="Arial" w:cs="Arial" w:eastAsia="Arial" w:hAnsi="Arial"/>
          <w:sz w:val="17"/>
          <w:szCs w:val="17"/>
          <w:color w:val="auto"/>
        </w:rPr>
        <w:t xml:space="preserve"> Each Existing Investor hereby represents to the Company and each holder of Series F Preferred Stock that such Existing Investor has not made any claims, and is not aware of any facts or circumstances that could reasonably be expected to give rise to a claim, against the Company under any purchase agreement pursuant to which such Existing Investor acquired shares of Preferred Stock. The Company shall notify the holders of Series F Preferred Stock in writing as promptly as practicable following the occurrence of (a) the commencement of any proceeding, against or affecting the Company which, if adversely determined, would reasonably be expected to have a material adverse effect on the Company, or (b) any material default under any indebtedness of the Company.</w:t>
      </w:r>
    </w:p>
    <w:p>
      <w:pPr>
        <w:spacing w:after="0" w:line="178"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Section 5, except for Subsection 5.6, shall terminate and be of no further force or effect (i) immediately before the consummation of the IPO, (ii) when the Company first becomes subject to the periodic reporting requirements of Section 12(g) or 15(d) of the Exchange Act, (iii) upon a Deemed Liquidation Event, as such term is defined in the Certificate of Incorporation, or (iv) immediately before the consummation of a Direct Listing, whichever event occurs first.</w:t>
      </w:r>
    </w:p>
    <w:p>
      <w:pPr>
        <w:spacing w:after="0" w:line="2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Regulated Investor Restructuring.</w:t>
      </w:r>
    </w:p>
    <w:p>
      <w:pPr>
        <w:spacing w:after="0" w:line="117" w:lineRule="exact"/>
        <w:rPr>
          <w:sz w:val="20"/>
          <w:szCs w:val="20"/>
          <w:color w:val="auto"/>
        </w:rPr>
      </w:pPr>
    </w:p>
    <w:p>
      <w:pPr>
        <w:ind w:firstLine="1428"/>
        <w:spacing w:after="0" w:line="269" w:lineRule="auto"/>
        <w:tabs>
          <w:tab w:leader="none" w:pos="1812" w:val="left"/>
        </w:tabs>
        <w:numPr>
          <w:ilvl w:val="0"/>
          <w:numId w:val="349"/>
        </w:numPr>
        <w:rPr>
          <w:rFonts w:ascii="Arial" w:cs="Arial" w:eastAsia="Arial" w:hAnsi="Arial"/>
          <w:sz w:val="17"/>
          <w:szCs w:val="17"/>
          <w:color w:val="auto"/>
        </w:rPr>
      </w:pPr>
      <w:r>
        <w:rPr>
          <w:rFonts w:ascii="Arial" w:cs="Arial" w:eastAsia="Arial" w:hAnsi="Arial"/>
          <w:sz w:val="17"/>
          <w:szCs w:val="17"/>
          <w:color w:val="auto"/>
        </w:rPr>
        <w:t>In the event that (i) any Regulated Investor receives notice from a Governmental Authority with competent jurisdiction over such Regulated Investor, or determines in good faith, in each case, to the effect that such Regulated Investor “controls” the Company for purposes of the BHCA, or any other applicable Law, including, without limitation, the comparable provisions of any domestic or foreign banking Law, each as applicable to such Regulated Investor or (ii) such Regulated Investor determines, in its sole discretion, that the Company or any of its subsidiaries engages in activities that make it impermissible or unduly burdensome under applicable Law or regulatory or supervisory guidance for such Regulated Investor to continue to hold, directly or indirectly, without limitations or otherwise, any of its capital stock of the Company (or any other circumstance exists where such Regulated Investor has determined, in its sole discretion, that continuing to retain any such shares of capital stock would present a legal, operational, reputational or regulatory risk to such Regulated Investor or any of its Affiliates) (each of the events in clauses (i) and (ii) a “</w:t>
      </w:r>
      <w:r>
        <w:rPr>
          <w:rFonts w:ascii="Arial" w:cs="Arial" w:eastAsia="Arial" w:hAnsi="Arial"/>
          <w:sz w:val="17"/>
          <w:szCs w:val="17"/>
          <w:b w:val="1"/>
          <w:bCs w:val="1"/>
          <w:color w:val="auto"/>
        </w:rPr>
        <w:t>Regulatory Event</w:t>
      </w:r>
      <w:r>
        <w:rPr>
          <w:rFonts w:ascii="Arial" w:cs="Arial" w:eastAsia="Arial" w:hAnsi="Arial"/>
          <w:sz w:val="17"/>
          <w:szCs w:val="17"/>
          <w:color w:val="auto"/>
        </w:rPr>
        <w:t>”), (A) such Regulated Investor shall promptly inform the Company and each other Regulated Investor of the occurrence of such Regulatory Event, to the extent permitted by applicable Law; (B) the</w:t>
      </w:r>
    </w:p>
    <w:p>
      <w:pPr>
        <w:spacing w:after="0" w:line="117" w:lineRule="exact"/>
        <w:rPr>
          <w:rFonts w:ascii="Arial" w:cs="Arial" w:eastAsia="Arial" w:hAnsi="Arial"/>
          <w:sz w:val="17"/>
          <w:szCs w:val="17"/>
          <w:color w:val="auto"/>
        </w:rPr>
      </w:pPr>
    </w:p>
    <w:p>
      <w:pPr>
        <w:ind w:left="5420" w:hanging="111"/>
        <w:spacing w:after="0"/>
        <w:tabs>
          <w:tab w:leader="none" w:pos="542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0960"/>
          </w:cols>
          <w:pgMar w:left="440" w:top="274" w:right="499" w:bottom="1440" w:gutter="0" w:footer="0" w:header="0"/>
        </w:sectPr>
      </w:pPr>
    </w:p>
    <w:bookmarkStart w:id="461" w:name="page462"/>
    <w:bookmarkEnd w:id="46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the other Investors and such Regulated Investor shall cooperate in good faith to restructure the terms of such investment by such Regulated Investor, including by amendment to the Certificate of Incorporation, this Agreement or any other Transaction Agreement (as defined in the Purchase Agreement) in a manner acceptable to the Company, such Regulated Investor and the Investors required to approve such amendment under the terms of the Certificate of Incorporation, this Agreement or such other Transaction Agreement so as to remediate the circumstances giving rise to such Regulatory Event and (C) without limiting the remedies available pursuant to the immediately preceding clause (B), such Regulated Investor shall be permitted to sell or otherwise transfer its shares of capital stock of the Company to any third party, including any stockholder of the Company, and the Company shall use commercially reasonable efforts to assist such Regulated Investor in facilitating a sale or transfer by such Regulated Investor of any or all of its shares of capital stock of the Company as may be reasonably requested by such Regulated Investor; provided, however, that in no event shall a transferee in a transfer permitted by the immediately preceding clause (C) be a Person who is, or is owned or controlled by or who is an Affiliate of, an individual or entity named on OFAC’s (as defined below) Specially Designated Nationals and Blocked Persons List or is otherwise the subject of sanctions administered or enforced by the United States (including any administered or enforced by the Office of Foreign Assets Control, U.S.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the U.S. Department of State or the Bureau of Industry and Security of the U.S. Department of Commerce), the United Nations Security Council, the European Union, a member state of the European Union, Her Majesty’s Treasury of the United Kingdom, or other relevant sanctions authority (any such Person, an “</w:t>
      </w:r>
      <w:r>
        <w:rPr>
          <w:rFonts w:ascii="Arial" w:cs="Arial" w:eastAsia="Arial" w:hAnsi="Arial"/>
          <w:sz w:val="16"/>
          <w:szCs w:val="16"/>
          <w:b w:val="1"/>
          <w:bCs w:val="1"/>
          <w:color w:val="auto"/>
        </w:rPr>
        <w:t>OFAC Transferee</w:t>
      </w:r>
      <w:r>
        <w:rPr>
          <w:rFonts w:ascii="Arial" w:cs="Arial" w:eastAsia="Arial" w:hAnsi="Arial"/>
          <w:sz w:val="16"/>
          <w:szCs w:val="16"/>
          <w:color w:val="auto"/>
        </w:rPr>
        <w:t>”).</w:t>
      </w:r>
    </w:p>
    <w:p>
      <w:pPr>
        <w:spacing w:after="0" w:line="279" w:lineRule="exact"/>
        <w:rPr>
          <w:sz w:val="20"/>
          <w:szCs w:val="20"/>
          <w:color w:val="auto"/>
        </w:rPr>
      </w:pPr>
    </w:p>
    <w:p>
      <w:pPr>
        <w:ind w:left="1820" w:hanging="392"/>
        <w:spacing w:after="0"/>
        <w:tabs>
          <w:tab w:leader="none" w:pos="18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ind w:firstLine="1428"/>
        <w:spacing w:after="0" w:line="287" w:lineRule="auto"/>
        <w:tabs>
          <w:tab w:leader="none" w:pos="1912" w:val="left"/>
        </w:tabs>
        <w:numPr>
          <w:ilvl w:val="0"/>
          <w:numId w:val="351"/>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herein, the Certificate of Incorporation or any other Transaction Agreement, any Regulated Investor may transfer any or all of the shares of capital stock of the Company held by such Regulated Investor back to the Company, which shall accept the tender of such shares of capital stock as a contribution to the Company at no cost to the Company or such Regulated Investor (a “</w:t>
      </w:r>
      <w:r>
        <w:rPr>
          <w:rFonts w:ascii="Arial" w:cs="Arial" w:eastAsia="Arial" w:hAnsi="Arial"/>
          <w:sz w:val="16"/>
          <w:szCs w:val="16"/>
          <w:b w:val="1"/>
          <w:bCs w:val="1"/>
          <w:color w:val="auto"/>
        </w:rPr>
        <w:t>BHCA No-Cost Tender</w:t>
      </w:r>
      <w:r>
        <w:rPr>
          <w:rFonts w:ascii="Arial" w:cs="Arial" w:eastAsia="Arial" w:hAnsi="Arial"/>
          <w:sz w:val="16"/>
          <w:szCs w:val="16"/>
          <w:color w:val="auto"/>
        </w:rPr>
        <w:t>”). The Company shall accept and redeem all such shares of capital stock subject to such BHCA No-Cost Tender as soon as practicable (and in no event later than three (3) days after receipt of such Regulated Investor’s notice to the Company of such BHCA No-Cost Tender), and without a requirement for any further action by such Regulated Investor, the Company, the Board or any other Person. For the avoidance of doubt, the exercise of a BHCA No-Cost Tender shall be within any Regulated Investor’s sole and exclusive discretion and shall be in addition to, and not in lieu of, any other remedies available to such Regulated Investor under this Agreement, the Certificate of Incorporation or any other Transaction Agreement. Upon receipt of notice of the exercise of a BHCA No-Cost Tender from any Regulated Investor, the Company shall promptly notify each other Regulated Investor in writing of the exercise of such BHCA No-Cost Tender, the number of shares of the Company’s capital stock subject to such BHCA No-Cost Tender, and the Regulated Investor exercising such BHCA No-Cost Tender.</w:t>
      </w:r>
    </w:p>
    <w:p>
      <w:pPr>
        <w:spacing w:after="0" w:line="171" w:lineRule="exact"/>
        <w:rPr>
          <w:rFonts w:ascii="Arial" w:cs="Arial" w:eastAsia="Arial" w:hAnsi="Arial"/>
          <w:sz w:val="16"/>
          <w:szCs w:val="16"/>
          <w:color w:val="auto"/>
        </w:rPr>
      </w:pPr>
    </w:p>
    <w:p>
      <w:pPr>
        <w:ind w:right="300" w:firstLine="1428"/>
        <w:spacing w:after="0" w:line="308" w:lineRule="auto"/>
        <w:tabs>
          <w:tab w:leader="none" w:pos="1892" w:val="left"/>
        </w:tabs>
        <w:numPr>
          <w:ilvl w:val="0"/>
          <w:numId w:val="351"/>
        </w:numPr>
        <w:rPr>
          <w:rFonts w:ascii="Arial" w:cs="Arial" w:eastAsia="Arial" w:hAnsi="Arial"/>
          <w:sz w:val="17"/>
          <w:szCs w:val="17"/>
          <w:color w:val="auto"/>
        </w:rPr>
      </w:pPr>
      <w:r>
        <w:rPr>
          <w:rFonts w:ascii="Arial" w:cs="Arial" w:eastAsia="Arial" w:hAnsi="Arial"/>
          <w:sz w:val="17"/>
          <w:szCs w:val="17"/>
          <w:color w:val="auto"/>
        </w:rPr>
        <w:t>Except as expressly set forth in this Agreement, the Bylaws, the Certificate of Incorporation, the Purchase Agreement, any other Transaction Agreement as of the date hereof or as otherwise restricted under any applicable Law, the Company hereby</w:t>
      </w:r>
    </w:p>
    <w:p>
      <w:pPr>
        <w:spacing w:after="0" w:line="78" w:lineRule="exact"/>
        <w:rPr>
          <w:rFonts w:ascii="Arial" w:cs="Arial" w:eastAsia="Arial" w:hAnsi="Arial"/>
          <w:sz w:val="17"/>
          <w:szCs w:val="17"/>
          <w:color w:val="auto"/>
        </w:rPr>
      </w:pPr>
    </w:p>
    <w:p>
      <w:pPr>
        <w:ind w:left="5420" w:hanging="111"/>
        <w:spacing w:after="0"/>
        <w:tabs>
          <w:tab w:leader="none" w:pos="542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000"/>
          </w:cols>
          <w:pgMar w:left="440" w:top="274" w:right="459" w:bottom="1440" w:gutter="0" w:footer="0" w:header="0"/>
        </w:sectPr>
      </w:pPr>
    </w:p>
    <w:bookmarkStart w:id="462" w:name="page463"/>
    <w:bookmarkEnd w:id="46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acknowledges and agrees that (i) no document or agreement shall restrict the ability of any Regulated Investor to transfer any of its shares of capital stock of the Company, including, without limitation, to any Affiliates of such Regulated Investor, or otherwise require the prior consent of, or notice to, the Company or any of its stockholders therefor and (ii) no future amendment (by amendment, recapitalization or otherwise) of any document or agreement purporting to restrict such transfer shall be effective against any Regulated Investor without such Regulated Investor’s vote in favor thereof or written consent with respect thereto.</w:t>
      </w:r>
    </w:p>
    <w:p>
      <w:pPr>
        <w:spacing w:after="0" w:line="188"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Right to Conduct Activities; Disclaimer of Duties.</w:t>
      </w:r>
      <w:r>
        <w:rPr>
          <w:rFonts w:ascii="Arial" w:cs="Arial" w:eastAsia="Arial" w:hAnsi="Arial"/>
          <w:sz w:val="16"/>
          <w:szCs w:val="16"/>
          <w:color w:val="auto"/>
        </w:rPr>
        <w:t xml:space="preserve"> The Company, each Investor and each other Holder acknowledge that nothing in this Agreement or any other Transaction Agreement creates, or shall be deemed to create, a fiduciary duty of any Holder or any of such Holder’s Affiliates, to the Company or its stockholders, and that no Holder or any of such Holder’s Affiliates is acting as a financial advisor, agent or underwriter to the Company or any of its Affiliates or otherwise on behalf of the Company or any of its Affiliates unless any such Person is retained by the Company or any of its Affiliates to provide such services pursuant to a separate written agreement. The Company, each Investor and each other Holder further acknowledge that each Regulated Investor and their respective Affiliates are in the business of engaging in activities, including investing in, financing and advising companies that may be competitive with or which may have products or services which compete directly or indirectly with those of the Company and its subsidiaries. In addition, each Regulated Investor and each of their respective Affiliates may currently have or in the future develop products or services that compete directly or indirectly with those of the Company. Nothing in this Agreement or any of the other Transaction Agreements shall preclude or in any way restrict any Regulated Investor or any of their respective Affiliates from engaging in any business, activity or operation, including, without limitation, investing in, financing or advising companies or participating in any particular enterprise or activity whether or not such enterprise or activity competes with those of the Company and its subsidiaries. In addition, no Regulated Investor nor any of their respective Affiliates shall be liable to the Company or any Holder or Affiliate of any of them for any claim arising out of, or based upon, (i) the purchase by such Regulated Investor of any securities of any Person that may be competitive to the Company, or (ii) actions taken by such Regulated Investor, any of such Regulated Investor’s Affiliates, or any director, employee, officer or other representative of any of them to assist any such competitive company, whether or not such action was taken as a board member of such competitive company, or otherwise, and whether or not such action has a detrimental effect on the Company. In addition, from time to time, in connection with the foregoing activities, any Regulated Investor may have information that may be useful to the Company or its other stockholders (which information may or may not be known by the members of the Board of Directors), and neither any Regulated Investor nor any of such Regulated Investor’s Affiliates shall have any duty to disclose any information known to such Person to the Company or any of its other stockholders. The Company shall not enter into or otherwise become bound by any agreement that contains a non-competition, non-solicitation or other restrictive covenant that binds any Regulated Investor or any of their respective Affiliates.</w:t>
      </w:r>
    </w:p>
    <w:p>
      <w:pPr>
        <w:spacing w:after="0" w:line="2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Other Regulated Investor Matters.</w:t>
      </w:r>
    </w:p>
    <w:p>
      <w:pPr>
        <w:spacing w:after="0" w:line="117" w:lineRule="exact"/>
        <w:rPr>
          <w:sz w:val="20"/>
          <w:szCs w:val="20"/>
          <w:color w:val="auto"/>
        </w:rPr>
      </w:pPr>
    </w:p>
    <w:p>
      <w:pPr>
        <w:ind w:right="340" w:firstLine="1428"/>
        <w:spacing w:after="0" w:line="308" w:lineRule="auto"/>
        <w:tabs>
          <w:tab w:leader="none" w:pos="1812" w:val="left"/>
        </w:tabs>
        <w:numPr>
          <w:ilvl w:val="0"/>
          <w:numId w:val="352"/>
        </w:numPr>
        <w:rPr>
          <w:rFonts w:ascii="Arial" w:cs="Arial" w:eastAsia="Arial" w:hAnsi="Arial"/>
          <w:sz w:val="17"/>
          <w:szCs w:val="17"/>
          <w:color w:val="auto"/>
        </w:rPr>
      </w:pPr>
      <w:r>
        <w:rPr>
          <w:rFonts w:ascii="Arial" w:cs="Arial" w:eastAsia="Arial" w:hAnsi="Arial"/>
          <w:sz w:val="17"/>
          <w:szCs w:val="17"/>
          <w:color w:val="auto"/>
        </w:rPr>
        <w:t>So long as any Regulated Investor holds any shares of capital stock of the Company, the Company shall (i) provide to such Regulated Investor any information reasonably requested by such Regulated Investor regarding the Company’s compliance with</w:t>
      </w:r>
    </w:p>
    <w:p>
      <w:pPr>
        <w:spacing w:after="0" w:line="78" w:lineRule="exact"/>
        <w:rPr>
          <w:rFonts w:ascii="Arial" w:cs="Arial" w:eastAsia="Arial" w:hAnsi="Arial"/>
          <w:sz w:val="17"/>
          <w:szCs w:val="17"/>
          <w:color w:val="auto"/>
        </w:rPr>
      </w:pPr>
    </w:p>
    <w:p>
      <w:pPr>
        <w:ind w:left="5420" w:hanging="111"/>
        <w:spacing w:after="0"/>
        <w:tabs>
          <w:tab w:leader="none" w:pos="542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000"/>
          </w:cols>
          <w:pgMar w:left="440" w:top="274" w:right="459" w:bottom="1440" w:gutter="0" w:footer="0" w:header="0"/>
        </w:sectPr>
      </w:pPr>
    </w:p>
    <w:bookmarkStart w:id="463" w:name="page464"/>
    <w:bookmarkEnd w:id="463"/>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Laws; (ii) upon reasonable advance notice and at a reasonable time make available for discussion with such Regulated Investor any member of the Company’s management with duties relating to the Company’s compliance with applicable Laws and (iii) keep each such Regulated Investor reasonably informed, on a current basis, of any material events, discussions, notices or changes with respect to any tax, criminal or regulatory investigation or action involving the Company or any of its subsidiaries.</w:t>
      </w:r>
    </w:p>
    <w:p>
      <w:pPr>
        <w:spacing w:after="0" w:line="187" w:lineRule="exact"/>
        <w:rPr>
          <w:sz w:val="20"/>
          <w:szCs w:val="20"/>
          <w:color w:val="auto"/>
        </w:rPr>
      </w:pPr>
    </w:p>
    <w:p>
      <w:pPr>
        <w:ind w:right="120" w:firstLine="1428"/>
        <w:spacing w:after="0" w:line="273" w:lineRule="auto"/>
        <w:tabs>
          <w:tab w:leader="none" w:pos="1808"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Company and each Holder shall not use any names, trademarks, service marks, logos or trade names of any Regulated Investor or any of such Regulated Investor’s Affiliates in any form of advertising or in any form of publicity or public statements, including, without limitation, press releases, without the prior written consent of such Regulated Investor, which consent such Regulated Investor may give or withhold in its sole and exclusive discretion. The Company and each Holder shall have no rights in or to any names, trademarks, service marks, logos, or trade names of any Regulated Investor or any of Affiliates of such Regulated Investor, and such Regulated Investor shall have no rights in or to any names, trademarks, service marks or trade names of the Company or any of its subsidiaries.</w:t>
      </w:r>
    </w:p>
    <w:p>
      <w:pPr>
        <w:spacing w:after="0" w:line="178" w:lineRule="exact"/>
        <w:rPr>
          <w:sz w:val="20"/>
          <w:szCs w:val="20"/>
          <w:color w:val="auto"/>
        </w:rPr>
      </w:pPr>
    </w:p>
    <w:p>
      <w:pPr>
        <w:ind w:firstLine="1428"/>
        <w:spacing w:after="0" w:line="273" w:lineRule="auto"/>
        <w:tabs>
          <w:tab w:leader="none" w:pos="1845"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The Company shall institute and maintain in effect policies and procedures reasonably designed to provide, taking into account the Company’s size and scope of business, for the Company’s compliance in all material respects with all Laws applicable to its operations, properties, assets, products or services, and to operate its business pursuant to, in possession of and in compliance with the terms of all permits, licenses approvals and other authorizations required to conduct its business. Within five (5) days prior to the adoption of any new policy or procedure or an amendment to an existing policy or procedure which materially changes the Company’s operations, the Company shall provide the Goldman Observer or the Series E Director (as such term is defined in the Voting Agreement), as applicable, with a copy thereof.</w:t>
      </w:r>
    </w:p>
    <w:p>
      <w:pPr>
        <w:spacing w:after="0" w:line="177" w:lineRule="exact"/>
        <w:rPr>
          <w:rFonts w:ascii="Arial" w:cs="Arial" w:eastAsia="Arial" w:hAnsi="Arial"/>
          <w:sz w:val="17"/>
          <w:szCs w:val="17"/>
          <w:color w:val="auto"/>
        </w:rPr>
      </w:pPr>
    </w:p>
    <w:p>
      <w:pPr>
        <w:ind w:firstLine="1428"/>
        <w:spacing w:after="0" w:line="263" w:lineRule="auto"/>
        <w:tabs>
          <w:tab w:leader="none" w:pos="190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Company shall maintain in effect policies and procedures reasonably designed to ensure compliance by the Company and each of its subsidiaries with applicable Anti-Money Laundering Laws (as defined in the Purchase Agreement) and applicable anti-bribery or anti-corruption Laws, each in a form reviewed and approved by the Board of Directors.</w:t>
      </w:r>
    </w:p>
    <w:p>
      <w:pPr>
        <w:spacing w:after="0" w:line="183" w:lineRule="exact"/>
        <w:rPr>
          <w:rFonts w:ascii="Arial" w:cs="Arial" w:eastAsia="Arial" w:hAnsi="Arial"/>
          <w:sz w:val="18"/>
          <w:szCs w:val="18"/>
          <w:color w:val="auto"/>
        </w:rPr>
      </w:pPr>
    </w:p>
    <w:p>
      <w:pPr>
        <w:ind w:right="40" w:firstLine="1428"/>
        <w:spacing w:after="0" w:line="263" w:lineRule="auto"/>
        <w:tabs>
          <w:tab w:leader="none" w:pos="190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Company shall maintain in effect (i) a code of conduct governing appropriate workplace behavior and (ii) an anti-harassment and discrimination policy prohibiting discrimination and harassment at the Company, each in a form reviewed and approved by the Board of Directors.</w:t>
      </w:r>
    </w:p>
    <w:p>
      <w:pPr>
        <w:spacing w:after="0" w:line="292" w:lineRule="exact"/>
        <w:rPr>
          <w:sz w:val="20"/>
          <w:szCs w:val="20"/>
          <w:color w:val="auto"/>
        </w:rPr>
      </w:pPr>
    </w:p>
    <w:p>
      <w:pPr>
        <w:ind w:left="760" w:hanging="324"/>
        <w:spacing w:after="0"/>
        <w:tabs>
          <w:tab w:leader="none" w:pos="760"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right="260" w:firstLine="991"/>
        <w:spacing w:after="0" w:line="27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(iii) is transferred such Registrable Securities pursuant to Subsection 2.12(f) or pursuant to a Goldman Permitted Transfer or (iv) after such transfer, holds at least 200,000 shares of Registrable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000"/>
          </w:cols>
          <w:pgMar w:left="440" w:top="274" w:right="459" w:bottom="1440" w:gutter="0" w:footer="0" w:header="0"/>
        </w:sectPr>
      </w:pPr>
    </w:p>
    <w:bookmarkStart w:id="464" w:name="page465"/>
    <w:bookmarkEnd w:id="464"/>
    <w:p>
      <w:pPr>
        <w:ind w:left="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Securities (subject to appropriate adjustment for stock splits, stock dividends, combinations, and other recapitalizations);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(x) the Company is, within a reasonable time after such transfer, furnished with written notice of the name and address of such transferee and the Registrable Securities with respect to which such rights are being transferred; (y) such transferee is not a Competitor of the Company and (z) such transferee agrees in a written instrument delivered to the Company to be bound by and subject to the terms and conditions of this Agreement, including the provisions of Subsection 2.11.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79"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 xml:space="preserve">Governing Law. </w:t>
      </w:r>
      <w:r>
        <w:rPr>
          <w:rFonts w:ascii="Arial" w:cs="Arial" w:eastAsia="Arial" w:hAnsi="Arial"/>
          <w:sz w:val="16"/>
          <w:szCs w:val="16"/>
          <w:color w:val="auto"/>
        </w:rPr>
        <w:t>This Agreement shall be governed by the internal law of the State of Delaware.</w:t>
      </w:r>
    </w:p>
    <w:p>
      <w:pPr>
        <w:spacing w:after="0" w:line="225"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71" w:lineRule="exact"/>
        <w:rPr>
          <w:sz w:val="20"/>
          <w:szCs w:val="20"/>
          <w:color w:val="auto"/>
        </w:rPr>
      </w:pPr>
    </w:p>
    <w:p>
      <w:pPr>
        <w:ind w:left="4" w:right="720" w:firstLine="991"/>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xml:space="preserve"> The titles and subtitles used in this Agreement are for convenience only and are not to be considered in construing or interpreting this Agreement.</w:t>
      </w:r>
    </w:p>
    <w:p>
      <w:pPr>
        <w:spacing w:after="0" w:line="170" w:lineRule="exact"/>
        <w:rPr>
          <w:sz w:val="20"/>
          <w:szCs w:val="20"/>
          <w:color w:val="auto"/>
        </w:rPr>
      </w:pPr>
    </w:p>
    <w:p>
      <w:pPr>
        <w:ind w:left="4" w:right="120" w:firstLine="991"/>
        <w:spacing w:after="0" w:line="283"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given or made pursuant to this Agreement shall be in writing and shall be deemed effectively given upon: (i) personal delivery to the party to be notified; (ii) 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Subsection 6.5. If notice is given to the Company, a copy (which shall not constitute notice) shall also be sent to David D. Gammell, Esq., Gunderson Dettmer Stough Villeneuve Franklin &amp; Hachigian, LLP, One Marina Park Drive, Suite 900, Boston, MA 02210, facsimile:</w:t>
      </w:r>
    </w:p>
    <w:p>
      <w:pPr>
        <w:spacing w:after="0" w:line="6" w:lineRule="exact"/>
        <w:rPr>
          <w:sz w:val="20"/>
          <w:szCs w:val="20"/>
          <w:color w:val="auto"/>
        </w:rPr>
      </w:pPr>
    </w:p>
    <w:p>
      <w:pPr>
        <w:ind w:left="444" w:hanging="444"/>
        <w:spacing w:after="0"/>
        <w:tabs>
          <w:tab w:leader="none" w:pos="44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648-9199 and if notice is given to Stockholders, a copy (which shall not</w:t>
      </w:r>
    </w:p>
    <w:p>
      <w:pPr>
        <w:spacing w:after="0" w:line="143" w:lineRule="exact"/>
        <w:rPr>
          <w:rFonts w:ascii="Arial" w:cs="Arial" w:eastAsia="Arial" w:hAnsi="Arial"/>
          <w:sz w:val="18"/>
          <w:szCs w:val="18"/>
          <w:color w:val="auto"/>
        </w:rPr>
      </w:pPr>
    </w:p>
    <w:p>
      <w:pPr>
        <w:ind w:left="5424" w:hanging="111"/>
        <w:spacing w:after="0"/>
        <w:tabs>
          <w:tab w:leader="none" w:pos="5424" w:val="left"/>
        </w:tabs>
        <w:numPr>
          <w:ilvl w:val="1"/>
          <w:numId w:val="356"/>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004"/>
          </w:cols>
          <w:pgMar w:left="436" w:top="274" w:right="459" w:bottom="1440" w:gutter="0" w:footer="0" w:header="0"/>
        </w:sectPr>
      </w:pPr>
    </w:p>
    <w:bookmarkStart w:id="465" w:name="page466"/>
    <w:bookmarkEnd w:id="465"/>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constitute notice) shall also be given to (i) Paul N. Cicero, Esq., Goodwin Procter LLP, The New York Times Building, 620 Eighth Avenue, New York, NY 10018, facsimile: (212) 355-3333, (ii) Cooley LLP, 101 California Street, 5th Floor, San Francisco, CA 94111, Attention: Peter H. Werner and (iii) K&amp;L Gates LLP, 300 South Tryon Street, 10th Floor, Charlotte, NC 28202, Attention: Rick Giovannelli and Michael H. Hutson.</w:t>
      </w:r>
    </w:p>
    <w:p>
      <w:pPr>
        <w:spacing w:after="0" w:line="165"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holders of a majority of the Registrable Securities (other than shares of Series E-2 Preferred Stock and shares of Series F-2 Preferred Stock) (voting as a single class and on an as-converted basis) then-outstanding;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amendment or waiver significantly and adversely affects the rights or preferences of the (x) Series E Preferred Stock, shares of Series E-2 Preferred Stock shall be permitted to vote or consent with respect to such amendment or waiver, and such shares of Series E-2 Preferred Stock shall be counted, both in the numerator and in the denominator, for purposes of determining whether the requisite majority has been obtained or (y) Series F Preferred Stock, shares of Series F-2 Preferred Stock shall be permitted to vote or consent with respect to such amendment or waiver, and such shares of Series F-2 Preferred Stock shall be counted, both in the numerator and in the denominator, for purposes of determining whether the requisite majority has been obtained;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may in its sole discretion waive compliance with Subsection 2.12(c) (and the Company’s failure to object promptly in writing after notification of a proposed assignment allegedly in violation of Subsection 2.12(c) shall be deemed to be a waiver);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 any provision hereof may be waived by any waiving party on such party’s own behalf, without the consent of any other party; (ii) no amendment, modification, termination or waiver which would adversely affect the rights of Bain hereunder in a manner disproportionate to any other party hereto (including any party who is permitted to exercise such rights despite such amendment, modification, termination or waiver) shall be effective against Bain without Bain’s prior written consent (it being understood that granting senior, pari-passu or junior rights hereunder to purchasers of preferred stock of the Company in a bona fide equity financing shall not, in and of itself, be deemed to adversely affect the rights of Bain hereunder); (iii) no amendment, modification, termination or waiver which would adversely affect the rights of Goldman hereunder in a manner disproportionate to any other party hereto (including any party who is permitted to exercise such rights despite such amendment, modification, termination or waiver) shall be effective against Goldman without Goldman’s prior written consent (it being understood that granting senior, pari-passu or junior rights hereunder to purchasers of preferred stock of the Company in a bona fide equity financing shall not, in and of itself, be deemed to adversely affect the rights of Goldman hereunder) and (iv) each Major Investor’s rights pursuant to Subsections 3.1 and 3.2 and Section 4 may only be waived, amended or terminated with such Major Investor’s written consent. 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Section 4 with respect to a particular transaction shall be deemed to apply to all Investors in the same fashion if such waiver does so by its terms, notwithstanding the fact that certain Investors may nonetheless, by agreement with the Company, purchase securities in such</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0980"/>
          </w:cols>
          <w:pgMar w:left="440" w:top="274" w:right="479" w:bottom="1440" w:gutter="0" w:footer="0" w:header="0"/>
        </w:sectPr>
      </w:pPr>
    </w:p>
    <w:bookmarkStart w:id="466" w:name="page467"/>
    <w:bookmarkEnd w:id="466"/>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any Major Investor actually purchases any such securities in any such offering by the Company, then each other Major Investor shall be permitted to participate in such offering on a pro rata basis (based on the level of participation of the Major Investor purchasing the largest portion of such Major Investor’s pro rata share), in accordance with the other provisions (including notice and election periods) set forth in Section 4). Notwithstanding anything to the contrary set forth herein, Subsection 5.7(a) and this sentence may be amended and the observance of such term may be waived (either generally or in a particular instance) only with the written consent of Temasek. Notwithstanding anything to the contrary set forth herein, each of Subsections 1.4, 1.10 (as such Subsection relates to Goldman), 1.20, the third sentence of Subsection 2.11, Subsections 2.12(e),</w:t>
      </w:r>
    </w:p>
    <w:p>
      <w:pPr>
        <w:spacing w:after="0" w:line="4"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2.12(f), Subsections 3.1(a), 3.1(b), 3.1(c), 3.1(e), 3.1(f) and the final paragraph of 3.1 (as such Subsections relate to any Regulated Investor (including, without limitation, to the information provided to any Regulated Investor thereunder)), 3.4 (as such Subsection relates to such Regulated Investor),</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4.1(f), 5.7(b),5.8, 5.9, 5.10, 5.12, 5.13 (as such Subsection relates to such Regulated Investor), 5.14, clause (iii) of the immediately preceding sentence and this sentence may be amended and the observance of such term may be waived (either generally or in a particular instance) only with the written consent of Goldman. Notwithstanding anything to the contrary set forth herein, Subsection 5.7(c) and this sentence may be amended and the observance of such term may be waived (either generally or in a particular instance) only with the written consent of F-Prime. The Company shall give prompt notice of any amendment or termination hereof or waiver hereunder to any party hereto that did not consent in writing to such amendment, termination, or waiver. Any amendment, termination, or waiver effected in accordance with this Subsection 6.6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70"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87"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xml:space="preserve">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84"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Additional Investors.</w:t>
      </w:r>
      <w:r>
        <w:rPr>
          <w:rFonts w:ascii="Arial" w:cs="Arial" w:eastAsia="Arial" w:hAnsi="Arial"/>
          <w:sz w:val="18"/>
          <w:szCs w:val="18"/>
          <w:color w:val="auto"/>
        </w:rPr>
        <w:t xml:space="preserve"> Notwithstanding anything to the contrary contained herein, if the Company issues additional shares of the Company’s Series F Preferred Stock after the date hereof, whether pursuant to the Purchase Agreement or otherwise, any purchaser of such shares of Series 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0960"/>
          </w:cols>
          <w:pgMar w:left="440" w:top="274" w:right="499" w:bottom="1440" w:gutter="0" w:footer="0" w:header="0"/>
        </w:sectPr>
      </w:pPr>
    </w:p>
    <w:bookmarkStart w:id="467" w:name="page468"/>
    <w:bookmarkEnd w:id="467"/>
    <w:p>
      <w:pPr>
        <w:ind w:right="2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6.10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184" w:lineRule="exact"/>
        <w:rPr>
          <w:sz w:val="20"/>
          <w:szCs w:val="20"/>
          <w:color w:val="auto"/>
        </w:rPr>
      </w:pPr>
    </w:p>
    <w:p>
      <w:pPr>
        <w:ind w:right="80" w:firstLine="991"/>
        <w:spacing w:after="0" w:line="25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Dispute Resolution.</w:t>
      </w:r>
      <w:r>
        <w:rPr>
          <w:rFonts w:ascii="Arial" w:cs="Arial" w:eastAsia="Arial" w:hAnsi="Arial"/>
          <w:sz w:val="18"/>
          <w:szCs w:val="18"/>
          <w:color w:val="auto"/>
        </w:rPr>
        <w:t xml:space="preserve">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prevailing party shall be entitled to reasonable attorneys’ fees, costs, and necessary disbursements in addition to any other relief to which such party may be entitled. Each of the parties to this Agreement consents to personal jurisdiction for any equitable action sought in the United States District Court for the District of Delaware or any court of the State of Delaware having subject matter jurisdiction.</w:t>
      </w:r>
    </w:p>
    <w:p>
      <w:pPr>
        <w:spacing w:after="0" w:line="184"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xml:space="preserve">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000"/>
          </w:cols>
          <w:pgMar w:left="440" w:top="274" w:right="459" w:bottom="1440" w:gutter="0" w:footer="0" w:header="0"/>
        </w:sectPr>
      </w:pPr>
    </w:p>
    <w:bookmarkStart w:id="468" w:name="page469"/>
    <w:bookmarkEnd w:id="468"/>
    <w:p>
      <w:pPr>
        <w:ind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6.13 </w:t>
      </w:r>
      <w:r>
        <w:rPr>
          <w:rFonts w:ascii="Arial" w:cs="Arial" w:eastAsia="Arial" w:hAnsi="Arial"/>
          <w:sz w:val="16"/>
          <w:szCs w:val="16"/>
          <w:u w:val="single" w:color="auto"/>
          <w:color w:val="auto"/>
        </w:rPr>
        <w:t>Acknowledgment.</w:t>
      </w:r>
      <w:r>
        <w:rPr>
          <w:rFonts w:ascii="Arial" w:cs="Arial" w:eastAsia="Arial" w:hAnsi="Arial"/>
          <w:sz w:val="16"/>
          <w:szCs w:val="16"/>
          <w:color w:val="auto"/>
        </w:rPr>
        <w:t xml:space="preserve">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15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Amendment and Restatement of Prior Agreement.</w:t>
      </w:r>
      <w:r>
        <w:rPr>
          <w:rFonts w:ascii="Arial" w:cs="Arial" w:eastAsia="Arial" w:hAnsi="Arial"/>
          <w:sz w:val="18"/>
          <w:szCs w:val="18"/>
          <w:color w:val="auto"/>
        </w:rPr>
        <w:t xml:space="preserve"> By their signatures hereto, each of (i) the Company and (ii) the holders of at least a majority of the shares of Registrable Securities outstanding prior to the Initial Closing (as defined in the Purchase Agreement) on their own behalf and on behalf of all of holders of shares of Registrable Securities outstanding prior to the Initial Closing: (a) consent to the amendment and restatement of the Prior Agreement and (b) agree that upon the effectiveness of this Agreement, the Prior Agreement shall be deemed amended and restated in its entirety as set forth in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000"/>
          </w:cols>
          <w:pgMar w:left="440" w:top="274" w:right="459" w:bottom="1440" w:gutter="0" w:footer="0" w:header="0"/>
        </w:sectPr>
      </w:pPr>
    </w:p>
    <w:bookmarkStart w:id="469" w:name="page470"/>
    <w:bookmarkEnd w:id="4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FLYWIRE CORPORATION</w:t>
      </w:r>
    </w:p>
    <w:p>
      <w:pPr>
        <w:spacing w:after="0" w:line="227"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10160</wp:posOffset>
            </wp:positionV>
            <wp:extent cx="2425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9"/>
          <w:szCs w:val="19"/>
          <w:color w:val="auto"/>
        </w:rPr>
        <w:t>Michael Massaro</w:t>
      </w:r>
    </w:p>
    <w:p>
      <w:pPr>
        <w:spacing w:after="0" w:line="1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20"/>
          <w:szCs w:val="20"/>
          <w:color w:val="auto"/>
        </w:rPr>
        <w:t>Chief Executive Officer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 Page to Flywire Corporation Seventh Amended and Restated Investors’ Rights Agreement</w:t>
      </w:r>
    </w:p>
    <w:p>
      <w:pPr>
        <w:sectPr>
          <w:pgSz w:w="11900" w:h="16838" w:orient="portrait"/>
          <w:cols w:equalWidth="0" w:num="1">
            <w:col w:w="9039"/>
          </w:cols>
          <w:pgMar w:left="1420" w:top="274" w:right="1440" w:bottom="1440" w:gutter="0" w:footer="0" w:header="0"/>
        </w:sectPr>
      </w:pPr>
    </w:p>
    <w:bookmarkStart w:id="470" w:name="page471"/>
    <w:bookmarkEnd w:id="4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Goldman Sachs PSI Global Holdings, LLC</w:t>
      </w:r>
    </w:p>
    <w:p>
      <w:pPr>
        <w:spacing w:after="0" w:line="250"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Ashwin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10160</wp:posOffset>
            </wp:positionV>
            <wp:extent cx="242570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Ashwin Gupta</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Authorized Signatory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Flywire Corporation Seventh Amended and Restated Investors’ Rights Agreement</w:t>
      </w:r>
    </w:p>
    <w:p>
      <w:pPr>
        <w:sectPr>
          <w:pgSz w:w="11900" w:h="16838" w:orient="portrait"/>
          <w:cols w:equalWidth="0" w:num="1">
            <w:col w:w="9039"/>
          </w:cols>
          <w:pgMar w:left="1420" w:top="274" w:right="1440" w:bottom="1440" w:gutter="0" w:footer="0" w:header="0"/>
        </w:sectPr>
      </w:pPr>
    </w:p>
    <w:bookmarkStart w:id="471" w:name="page472"/>
    <w:bookmarkEnd w:id="4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STONEBRIDGE 2020 OFFSHORE HOLDINGS II, L.P.</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Bridge Street Opportunity Advisors, L.L.C., its General</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Partner</w:t>
      </w:r>
    </w:p>
    <w:p>
      <w:pPr>
        <w:spacing w:after="0" w:line="10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Susan Hodgkinson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Susan Hodgkinson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Vice President and Secretary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Signature Page to Flywire Corporation Seventh Amended and Restated Investors’ Rights Agreement</w:t>
      </w:r>
    </w:p>
    <w:p>
      <w:pPr>
        <w:sectPr>
          <w:pgSz w:w="11900" w:h="16838" w:orient="portrait"/>
          <w:cols w:equalWidth="0" w:num="1">
            <w:col w:w="10000"/>
          </w:cols>
          <w:pgMar w:left="1420" w:top="274" w:right="479" w:bottom="1440" w:gutter="0" w:footer="0" w:header="0"/>
        </w:sectPr>
      </w:pPr>
    </w:p>
    <w:bookmarkStart w:id="472" w:name="page473"/>
    <w:bookmarkEnd w:id="4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STONEBRIDGE 2020, L.P.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Bridge Street Opportunity Advisors, L.L.C., its</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Hodgkinson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Susan Hodgkinson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Vice President and Secretary</w:t>
            </w: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Signature Page to Flywire Corporation Seventh Amended and Restated Investors’ Rights Agreement</w:t>
      </w:r>
    </w:p>
    <w:p>
      <w:pPr>
        <w:sectPr>
          <w:pgSz w:w="11900" w:h="16838" w:orient="portrait"/>
          <w:cols w:equalWidth="0" w:num="1">
            <w:col w:w="10040"/>
          </w:cols>
          <w:pgMar w:left="1420" w:top="274" w:right="439" w:bottom="1440" w:gutter="0" w:footer="0" w:header="0"/>
        </w:sectPr>
      </w:pPr>
    </w:p>
    <w:bookmarkStart w:id="473" w:name="page474"/>
    <w:bookmarkEnd w:id="4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SUNLEY HOUSE CAPITAL MASTER LIMITED</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PARTNERSHIP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 Sunley House Capital GP LP, its General Partner</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Sunley House Capital GP LLC, its General Partner</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Jhaleh Ghassemi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Jhaleh Ghassemi</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Chief Financial Officer</w:t>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Signature Page to Flywire Corporation Seventh Amended and Restated Investors’ Rights Agreement</w:t>
      </w:r>
    </w:p>
    <w:p>
      <w:pPr>
        <w:sectPr>
          <w:pgSz w:w="11900" w:h="16838" w:orient="portrait"/>
          <w:cols w:equalWidth="0" w:num="1">
            <w:col w:w="9660"/>
          </w:cols>
          <w:pgMar w:left="1420" w:top="274" w:right="819" w:bottom="1440" w:gutter="0" w:footer="0" w:header="0"/>
        </w:sectPr>
      </w:pPr>
    </w:p>
    <w:bookmarkStart w:id="474" w:name="page475"/>
    <w:bookmarkEnd w:id="4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WHALE ROCK FLAGSHIP MASTER FUND,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Whale Rock Capital Partners LLC, a Delaware limited</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liability company and general partner of Whale Rock</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Flagship Master Fund, LP</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Alexander Sacerdote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Alexander Sacerdote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Signature Page to Flywire Corporation Seventh Amended and Restated Investors’ Rights Agreement</w:t>
      </w:r>
    </w:p>
    <w:p>
      <w:pPr>
        <w:sectPr>
          <w:pgSz w:w="11900" w:h="16838" w:orient="portrait"/>
          <w:cols w:equalWidth="0" w:num="1">
            <w:col w:w="9880"/>
          </w:cols>
          <w:pgMar w:left="1420" w:top="274" w:right="599" w:bottom="1440" w:gutter="0" w:footer="0" w:header="0"/>
        </w:sectPr>
      </w:pPr>
    </w:p>
    <w:bookmarkStart w:id="475" w:name="page476"/>
    <w:bookmarkEnd w:id="4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WHALE ROCK FLAGSHIP (AI) FUND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Whale Rock Capital Partners LLC, a Delaware limited</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liability company and general partner of Whale Rock</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Flagship (AI) Fund LP</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Alexander Sacerdote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Alexander Sacerdote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Signature Page to Flywire Corporation Seventh Amended and Restated Investors’ Rights Agreement</w:t>
      </w:r>
    </w:p>
    <w:p>
      <w:pPr>
        <w:sectPr>
          <w:pgSz w:w="11900" w:h="16838" w:orient="portrait"/>
          <w:cols w:equalWidth="0" w:num="1">
            <w:col w:w="9880"/>
          </w:cols>
          <w:pgMar w:left="1420" w:top="274" w:right="599" w:bottom="1440" w:gutter="0" w:footer="0" w:header="0"/>
        </w:sectPr>
      </w:pPr>
    </w:p>
    <w:bookmarkStart w:id="476" w:name="page477"/>
    <w:bookmarkEnd w:id="4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WHALE ROCK LONG OPPORTUNITIES MASTER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FUND, LP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Whale Rock Capital Long Opportunities Partners LLC,</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 Delaware limited liability company and general partner of</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Whale Rock Long Opportunities Master Fund, LP</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Alexander Sacerdote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Alexander Sacerdote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Signature Page to Flywire Corporation Seventh Amended and Restated Investors’ Rights Agreement</w:t>
      </w:r>
    </w:p>
    <w:p>
      <w:pPr>
        <w:sectPr>
          <w:pgSz w:w="11900" w:h="16838" w:orient="portrait"/>
          <w:cols w:equalWidth="0" w:num="1">
            <w:col w:w="9940"/>
          </w:cols>
          <w:pgMar w:left="1420" w:top="273" w:right="539" w:bottom="1440" w:gutter="0" w:footer="0" w:header="0"/>
        </w:sectPr>
      </w:pPr>
    </w:p>
    <w:bookmarkStart w:id="477" w:name="page478"/>
    <w:bookmarkEnd w:id="4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Adage Capital Partners,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Adage Capital Partners, GP, LLC, its General Partner</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Adage Capital Advisors, LLC, its Managing Member</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Dan Lehan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14605</wp:posOffset>
            </wp:positionV>
            <wp:extent cx="279463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Dan Lehan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Chief Operating Officer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Signature Page to Flywire Corporation Seventh Amended and Restated Investors’ Rights Agreement</w:t>
      </w:r>
    </w:p>
    <w:p>
      <w:pPr>
        <w:sectPr>
          <w:pgSz w:w="11900" w:h="16838" w:orient="portrait"/>
          <w:cols w:equalWidth="0" w:num="1">
            <w:col w:w="9780"/>
          </w:cols>
          <w:pgMar w:left="1420" w:top="273" w:right="699" w:bottom="1440" w:gutter="0" w:footer="0" w:header="0"/>
        </w:sectPr>
      </w:pPr>
    </w:p>
    <w:bookmarkStart w:id="478" w:name="page479"/>
    <w:bookmarkEnd w:id="4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SPARK CAPITAL II,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SPARK CAPITAL FOUNDERS’ FUND II, L.P.</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Spark Management Partners II, LLC, Their General</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142875</wp:posOffset>
            </wp:positionV>
            <wp:extent cx="436880" cy="2489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36880" cy="248920"/>
                    </a:xfrm>
                    <a:prstGeom prst="rect">
                      <a:avLst/>
                    </a:prstGeom>
                    <a:noFill/>
                  </pic:spPr>
                </pic:pic>
              </a:graphicData>
            </a:graphic>
          </wp:anchor>
        </w:drawing>
      </w:r>
    </w:p>
    <w:p>
      <w:pPr>
        <w:spacing w:after="0" w:line="3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-130175</wp:posOffset>
            </wp:positionV>
            <wp:extent cx="259715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Signature Page to Flywire Corporation Seventh Amended and Restated Investors’ Rights Agreement</w:t>
      </w:r>
    </w:p>
    <w:p>
      <w:pPr>
        <w:sectPr>
          <w:pgSz w:w="11900" w:h="16838" w:orient="portrait"/>
          <w:cols w:equalWidth="0" w:num="1">
            <w:col w:w="9720"/>
          </w:cols>
          <w:pgMar w:left="1420" w:top="273" w:right="759" w:bottom="1440" w:gutter="0" w:footer="0" w:header="0"/>
        </w:sectPr>
      </w:pPr>
    </w:p>
    <w:bookmarkStart w:id="479" w:name="page480"/>
    <w:bookmarkEnd w:id="4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Spark Capital Growth Fund, L.P.</w:t>
      </w:r>
    </w:p>
    <w:p>
      <w:pPr>
        <w:spacing w:after="0" w:line="225"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By: Spark Growth Management Partners, LLC</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151130</wp:posOffset>
            </wp:positionV>
            <wp:extent cx="436880" cy="2489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36880" cy="248920"/>
                    </a:xfrm>
                    <a:prstGeom prst="rect">
                      <a:avLst/>
                    </a:prstGeom>
                    <a:noFill/>
                  </pic:spPr>
                </pic:pic>
              </a:graphicData>
            </a:graphic>
          </wp:anchor>
        </w:drawing>
      </w:r>
    </w:p>
    <w:p>
      <w:pPr>
        <w:spacing w:after="0" w:line="38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-130175</wp:posOffset>
            </wp:positionV>
            <wp:extent cx="259715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Flywire Corporation Seventh Amended and Restated Investors’ Rights Agreement</w:t>
      </w:r>
    </w:p>
    <w:p>
      <w:pPr>
        <w:sectPr>
          <w:pgSz w:w="11900" w:h="16838" w:orient="portrait"/>
          <w:cols w:equalWidth="0" w:num="1">
            <w:col w:w="9039"/>
          </w:cols>
          <w:pgMar w:left="1420" w:top="273" w:right="1440" w:bottom="1440" w:gutter="0" w:footer="0" w:header="0"/>
        </w:sectPr>
      </w:pPr>
    </w:p>
    <w:bookmarkStart w:id="480" w:name="page481"/>
    <w:bookmarkEnd w:id="4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Spark Capital Growth Founders’ Fund, L.P.</w:t>
      </w:r>
    </w:p>
    <w:p>
      <w:pPr>
        <w:spacing w:after="0" w:line="237"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By: Spark Growth Management Partners, LLC</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151130</wp:posOffset>
            </wp:positionV>
            <wp:extent cx="436880" cy="2489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36880" cy="248920"/>
                    </a:xfrm>
                    <a:prstGeom prst="rect">
                      <a:avLst/>
                    </a:prstGeom>
                    <a:noFill/>
                  </pic:spPr>
                </pic:pic>
              </a:graphicData>
            </a:graphic>
          </wp:anchor>
        </w:drawing>
      </w:r>
    </w:p>
    <w:p>
      <w:pPr>
        <w:spacing w:after="0" w:line="38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-130175</wp:posOffset>
            </wp:positionV>
            <wp:extent cx="259715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Flywire Corporation Seventh Amended and Restated Investors’ Rights Agreement</w:t>
      </w:r>
    </w:p>
    <w:p>
      <w:pPr>
        <w:sectPr>
          <w:pgSz w:w="11900" w:h="16838" w:orient="portrait"/>
          <w:cols w:equalWidth="0" w:num="1">
            <w:col w:w="9039"/>
          </w:cols>
          <w:pgMar w:left="1420" w:top="273" w:right="1440" w:bottom="1440" w:gutter="0" w:footer="0" w:header="0"/>
        </w:sectPr>
      </w:pPr>
    </w:p>
    <w:bookmarkStart w:id="481" w:name="page482"/>
    <w:bookmarkEnd w:id="4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OSSA INVESTMENTS PTE. LTD.</w:t>
      </w:r>
    </w:p>
    <w:p>
      <w:pPr>
        <w:spacing w:after="0" w:line="24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Png Chin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Png Chin Yee</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Authority Signatory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 Page to Flywire Corporation Seventh Amended and Restated Investors’ Rights Agreement</w:t>
      </w:r>
    </w:p>
    <w:p>
      <w:pPr>
        <w:sectPr>
          <w:pgSz w:w="11900" w:h="16838" w:orient="portrait"/>
          <w:cols w:equalWidth="0" w:num="1">
            <w:col w:w="9039"/>
          </w:cols>
          <w:pgMar w:left="1420" w:top="273" w:right="1440" w:bottom="1440" w:gutter="0" w:footer="0" w:header="0"/>
        </w:sectPr>
      </w:pPr>
    </w:p>
    <w:bookmarkStart w:id="482" w:name="page483"/>
    <w:bookmarkEnd w:id="4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MARSHALL WACE IRELAND LIMITED </w:t>
      </w:r>
      <w:r>
        <w:rPr>
          <w:rFonts w:ascii="Arial" w:cs="Arial" w:eastAsia="Arial" w:hAnsi="Arial"/>
          <w:sz w:val="18"/>
          <w:szCs w:val="18"/>
          <w:color w:val="auto"/>
        </w:rPr>
        <w:t>in its capacity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as manager of </w:t>
      </w:r>
      <w:r>
        <w:rPr>
          <w:rFonts w:ascii="Arial" w:cs="Arial" w:eastAsia="Arial" w:hAnsi="Arial"/>
          <w:sz w:val="18"/>
          <w:szCs w:val="18"/>
          <w:b w:val="1"/>
          <w:bCs w:val="1"/>
          <w:color w:val="auto"/>
        </w:rPr>
        <w:t>MARSHALL WACE INVESTMENT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STRATEGIES</w:t>
      </w:r>
      <w:r>
        <w:rPr>
          <w:rFonts w:ascii="Arial" w:cs="Arial" w:eastAsia="Arial" w:hAnsi="Arial"/>
          <w:sz w:val="16"/>
          <w:szCs w:val="16"/>
          <w:color w:val="auto"/>
        </w:rPr>
        <w:t>, an umbrella unit trust established in Ireland</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with limited liability between sub-trusts, acting solely 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 xml:space="preserve">respect of the </w:t>
      </w:r>
      <w:r>
        <w:rPr>
          <w:rFonts w:ascii="Arial" w:cs="Arial" w:eastAsia="Arial" w:hAnsi="Arial"/>
          <w:sz w:val="16"/>
          <w:szCs w:val="16"/>
          <w:b w:val="1"/>
          <w:bCs w:val="1"/>
          <w:color w:val="auto"/>
        </w:rPr>
        <w:t>EUREKA FUND</w:t>
      </w:r>
      <w:r>
        <w:rPr>
          <w:rFonts w:ascii="Arial" w:cs="Arial" w:eastAsia="Arial" w:hAnsi="Arial"/>
          <w:sz w:val="16"/>
          <w:szCs w:val="16"/>
          <w:color w:val="auto"/>
        </w:rPr>
        <w:t xml:space="preserve"> by its Investment Manager,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MARSHALL WACE LLP:</w:t>
      </w:r>
    </w:p>
    <w:p>
      <w:pPr>
        <w:spacing w:after="0" w:line="21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Jon May</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Claire Musgrave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Claire Musgrave</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Signature Page to Flywire Corporation Seventh Amended and Restated Investors’ Rights Agreement</w:t>
      </w:r>
    </w:p>
    <w:p>
      <w:pPr>
        <w:sectPr>
          <w:pgSz w:w="11900" w:h="16838" w:orient="portrait"/>
          <w:cols w:equalWidth="0" w:num="1">
            <w:col w:w="10020"/>
          </w:cols>
          <w:pgMar w:left="1420" w:top="273" w:right="459" w:bottom="1440" w:gutter="0" w:footer="0" w:header="0"/>
        </w:sectPr>
      </w:pPr>
    </w:p>
    <w:bookmarkStart w:id="483" w:name="page484"/>
    <w:bookmarkEnd w:id="483"/>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LYWIRE CORPORATION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 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PRIL</w:t>
      </w:r>
      <w:r>
        <w:rPr>
          <w:rFonts w:ascii="Arial" w:cs="Arial" w:eastAsia="Arial" w:hAnsi="Arial"/>
          <w:sz w:val="18"/>
          <w:szCs w:val="18"/>
          <w:b w:val="1"/>
          <w:bCs w:val="1"/>
          <w:color w:val="auto"/>
        </w:rPr>
        <w:t xml:space="preserve"> 28, 2021)</w:t>
      </w:r>
    </w:p>
    <w:p>
      <w:pPr>
        <w:sectPr>
          <w:pgSz w:w="11900" w:h="16838" w:orient="portrait"/>
          <w:cols w:equalWidth="0" w:num="1">
            <w:col w:w="10020"/>
          </w:cols>
          <w:pgMar w:left="1440" w:top="121" w:right="439" w:bottom="1440" w:gutter="0" w:footer="0" w:header="0"/>
        </w:sectPr>
      </w:pPr>
    </w:p>
    <w:bookmarkStart w:id="484" w:name="page485"/>
    <w:bookmarkEnd w:id="48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w:t>
      </w:r>
      <w:r>
        <w:rPr>
          <w:rFonts w:ascii="Arial" w:cs="Arial" w:eastAsia="Arial" w:hAnsi="Arial"/>
          <w:sz w:val="14"/>
          <w:szCs w:val="14"/>
          <w:b w:val="1"/>
          <w:bCs w:val="1"/>
          <w:color w:val="auto"/>
        </w:rPr>
        <w:t>LYWIRE CORPORATION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7" w:lineRule="exact"/>
        <w:rPr>
          <w:sz w:val="20"/>
          <w:szCs w:val="20"/>
          <w:color w:val="auto"/>
        </w:rPr>
      </w:pPr>
    </w:p>
    <w:p>
      <w:pPr>
        <w:ind w:left="4"/>
        <w:spacing w:after="0"/>
        <w:tabs>
          <w:tab w:leader="none" w:pos="1144" w:val="left"/>
        </w:tabs>
        <w:rPr>
          <w:sz w:val="20"/>
          <w:szCs w:val="20"/>
          <w:color w:val="auto"/>
        </w:rPr>
      </w:pPr>
      <w:r>
        <w:rPr>
          <w:rFonts w:ascii="Arial" w:cs="Arial" w:eastAsia="Arial" w:hAnsi="Arial"/>
          <w:sz w:val="18"/>
          <w:szCs w:val="18"/>
          <w:b w:val="1"/>
          <w:bCs w:val="1"/>
          <w:color w:val="auto"/>
        </w:rPr>
        <w:t>ARTICLE 1.</w:t>
        <w:tab/>
        <w:t>INTRODUCTION</w:t>
      </w:r>
      <w:r>
        <w:rPr>
          <w:rFonts w:ascii="Arial" w:cs="Arial" w:eastAsia="Arial" w:hAnsi="Arial"/>
          <w:sz w:val="18"/>
          <w:szCs w:val="18"/>
          <w:color w:val="auto"/>
        </w:rPr>
        <w:t>.</w:t>
      </w:r>
    </w:p>
    <w:p>
      <w:pPr>
        <w:spacing w:after="0" w:line="121"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The Board adopted the Plan to become effective immediately, although no Awards may be granted prior to the IPO Date. The purpose of the Plan is to promote the long-term success of the Company and the creation of stockholder value by (a) encouraging Service Providers to focus on critical long-range corporate objectives, (b) encouraging the attraction and retention of Service Providers with exceptional qualifications and (c) linking Service Providers directly to stockholder interests through increased stock ownership. The Plan seeks to achieve this purpose by providing for Awards in the form of Options (which may be ISOs or NSOs), SARs, Restricted Shares and Restricted Stock Units. Capitalized terms used in this Plan are defined in Article 14.</w:t>
      </w:r>
    </w:p>
    <w:p>
      <w:pPr>
        <w:spacing w:after="0" w:line="296" w:lineRule="exact"/>
        <w:rPr>
          <w:sz w:val="20"/>
          <w:szCs w:val="20"/>
          <w:color w:val="auto"/>
        </w:rPr>
      </w:pPr>
    </w:p>
    <w:p>
      <w:pPr>
        <w:ind w:left="4"/>
        <w:spacing w:after="0"/>
        <w:tabs>
          <w:tab w:leader="none" w:pos="1144" w:val="left"/>
        </w:tabs>
        <w:rPr>
          <w:sz w:val="20"/>
          <w:szCs w:val="20"/>
          <w:color w:val="auto"/>
        </w:rPr>
      </w:pPr>
      <w:r>
        <w:rPr>
          <w:rFonts w:ascii="Arial" w:cs="Arial" w:eastAsia="Arial" w:hAnsi="Arial"/>
          <w:sz w:val="18"/>
          <w:szCs w:val="18"/>
          <w:b w:val="1"/>
          <w:bCs w:val="1"/>
          <w:color w:val="auto"/>
        </w:rPr>
        <w:t>ARTICLE 2.</w:t>
        <w:tab/>
        <w:t>ADMINISTRATION</w:t>
      </w:r>
      <w:r>
        <w:rPr>
          <w:rFonts w:ascii="Arial" w:cs="Arial" w:eastAsia="Arial" w:hAnsi="Arial"/>
          <w:sz w:val="18"/>
          <w:szCs w:val="18"/>
          <w:color w:val="auto"/>
        </w:rPr>
        <w:t>.</w:t>
      </w:r>
    </w:p>
    <w:p>
      <w:pPr>
        <w:spacing w:after="0" w:line="117" w:lineRule="exact"/>
        <w:rPr>
          <w:sz w:val="20"/>
          <w:szCs w:val="20"/>
          <w:color w:val="auto"/>
        </w:rPr>
      </w:pPr>
    </w:p>
    <w:p>
      <w:pPr>
        <w:ind w:left="4" w:right="100" w:firstLine="440"/>
        <w:spacing w:after="0" w:line="292" w:lineRule="auto"/>
        <w:rPr>
          <w:sz w:val="20"/>
          <w:szCs w:val="20"/>
          <w:color w:val="auto"/>
        </w:rPr>
      </w:pPr>
      <w:r>
        <w:rPr>
          <w:rFonts w:ascii="Arial" w:cs="Arial" w:eastAsia="Arial" w:hAnsi="Arial"/>
          <w:sz w:val="16"/>
          <w:szCs w:val="16"/>
          <w:b w:val="1"/>
          <w:bCs w:val="1"/>
          <w:color w:val="auto"/>
        </w:rPr>
        <w:t xml:space="preserve">2.1 General. </w:t>
      </w:r>
      <w:r>
        <w:rPr>
          <w:rFonts w:ascii="Arial" w:cs="Arial" w:eastAsia="Arial" w:hAnsi="Arial"/>
          <w:sz w:val="16"/>
          <w:szCs w:val="16"/>
          <w:color w:val="auto"/>
        </w:rPr>
        <w:t>The Plan may be administered by the Board or one or more Committees to which the Board (or an authorized Board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has delegated authority. If administration is delegated to a Committee, the Committee shall have the powers theretofore possessed by the Board, including, to the extent permitted by applicable law, the power to delegate to a subcommittee any of the administrative powers the Committee is authorized to exercise (and references in this Plan to either the Board or the Administrator shall hereafter also encompass the Committee or subcommittee, as applicable). The Board may abolish the Committee’s delegation at any time and the Board shall at all times also retain the authority it has delegated to the Committee. The Administrator shall comply with rules and regulations applicable to it, including under the rules of any exchange on which the Common Shares are traded, and shall have the authority and be responsible for such functions as have been assigned to it.</w:t>
      </w:r>
    </w:p>
    <w:p>
      <w:pPr>
        <w:spacing w:after="0" w:line="161"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2.2 Section 16</w:t>
      </w:r>
      <w:r>
        <w:rPr>
          <w:rFonts w:ascii="Arial" w:cs="Arial" w:eastAsia="Arial" w:hAnsi="Arial"/>
          <w:sz w:val="18"/>
          <w:szCs w:val="18"/>
          <w:color w:val="auto"/>
        </w:rPr>
        <w:t>. To the extent desirable to qualify transactions hereunder as exempt under Exchange Act Rule 16b-3,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hereunder will be approved by the entire Board or a Committee of two or more “non-employee directors” within the meaning of Exchange Act Rule 16b-3.</w:t>
      </w:r>
    </w:p>
    <w:p>
      <w:pPr>
        <w:spacing w:after="0" w:line="176" w:lineRule="exact"/>
        <w:rPr>
          <w:sz w:val="20"/>
          <w:szCs w:val="20"/>
          <w:color w:val="auto"/>
        </w:rPr>
      </w:pPr>
    </w:p>
    <w:p>
      <w:pPr>
        <w:jc w:val="both"/>
        <w:ind w:left="4" w:right="280" w:firstLine="440"/>
        <w:spacing w:after="0" w:line="289" w:lineRule="auto"/>
        <w:rPr>
          <w:sz w:val="20"/>
          <w:szCs w:val="20"/>
          <w:color w:val="auto"/>
        </w:rPr>
      </w:pPr>
      <w:r>
        <w:rPr>
          <w:rFonts w:ascii="Arial" w:cs="Arial" w:eastAsia="Arial" w:hAnsi="Arial"/>
          <w:sz w:val="16"/>
          <w:szCs w:val="16"/>
          <w:b w:val="1"/>
          <w:bCs w:val="1"/>
          <w:color w:val="auto"/>
        </w:rPr>
        <w:t>2.3 Powers of Administrator</w:t>
      </w:r>
      <w:r>
        <w:rPr>
          <w:rFonts w:ascii="Arial" w:cs="Arial" w:eastAsia="Arial" w:hAnsi="Arial"/>
          <w:sz w:val="16"/>
          <w:szCs w:val="16"/>
          <w:color w:val="auto"/>
        </w:rPr>
        <w:t>. Subject to the terms of the Plan, and in the case of a Committee, subject to the specific duties delegated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the Administrator shall have the authority to (a) select the Service Providers who are to receive Awards under the Plan, (b) determine the type, number, vesting requirements and other features and conditions of such Awards, (c) interpret the Plan and Awards granted under the Plan,</w:t>
      </w:r>
    </w:p>
    <w:p>
      <w:pPr>
        <w:spacing w:after="0" w:line="2" w:lineRule="exact"/>
        <w:rPr>
          <w:sz w:val="20"/>
          <w:szCs w:val="20"/>
          <w:color w:val="auto"/>
        </w:rPr>
      </w:pPr>
    </w:p>
    <w:p>
      <w:pPr>
        <w:ind w:left="4" w:right="80" w:hanging="4"/>
        <w:spacing w:after="0" w:line="252" w:lineRule="auto"/>
        <w:tabs>
          <w:tab w:leader="none" w:pos="259" w:val="left"/>
        </w:tabs>
        <w:numPr>
          <w:ilvl w:val="0"/>
          <w:numId w:val="357"/>
        </w:numPr>
        <w:rPr>
          <w:rFonts w:ascii="Arial" w:cs="Arial" w:eastAsia="Arial" w:hAnsi="Arial"/>
          <w:sz w:val="18"/>
          <w:szCs w:val="18"/>
          <w:color w:val="auto"/>
        </w:rPr>
      </w:pPr>
      <w:r>
        <w:rPr>
          <w:rFonts w:ascii="Arial" w:cs="Arial" w:eastAsia="Arial" w:hAnsi="Arial"/>
          <w:sz w:val="18"/>
          <w:szCs w:val="18"/>
          <w:color w:val="auto"/>
        </w:rPr>
        <w:t>determine whether, when and to what extent an Award has become vested and/or exercisable and whether any performance-based vesting conditions have been satisfied, (e) make, amend and rescind rules relating to the Plan and Awards granted under the Plan, including rules relating to sub-plans established for the purposes of satisfying applicable foreign laws or for qualifying for favorable tax treatment under applicable foreign laws, (f) impose such restrictions, conditions or limitations as it determines appropriate as to the timing and manner of any resales by a Participant of any Common Shares issued pursuant to an Award, including restrictions under an insider trading policy and restrictions as to the use of a specified brokerage firm for such resales,</w:t>
      </w:r>
    </w:p>
    <w:p>
      <w:pPr>
        <w:sectPr>
          <w:pgSz w:w="11900" w:h="16838" w:orient="portrait"/>
          <w:cols w:equalWidth="0" w:num="1">
            <w:col w:w="11004"/>
          </w:cols>
          <w:pgMar w:left="436" w:top="269" w:right="459" w:bottom="1440" w:gutter="0" w:footer="0" w:header="0"/>
        </w:sectPr>
      </w:pPr>
    </w:p>
    <w:bookmarkStart w:id="485" w:name="page486"/>
    <w:bookmarkEnd w:id="485"/>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(g) make all other decisions relating to the operation of the Plan and Awards granted under the Plan. In addition, with regard to the terms and conditions of Awards granted to Service Providers outside of the United States, the Administrator may vary from the provisions of the Plan (other than any requiring stockholder approval pursuant to Section 13.3) to the extent it determines it necessary and appropriate to do so.</w:t>
      </w:r>
    </w:p>
    <w:p>
      <w:pPr>
        <w:spacing w:after="0" w:line="161"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2.4 Effect of Administrator’s Decisions</w:t>
      </w:r>
      <w:r>
        <w:rPr>
          <w:rFonts w:ascii="Arial" w:cs="Arial" w:eastAsia="Arial" w:hAnsi="Arial"/>
          <w:sz w:val="18"/>
          <w:szCs w:val="18"/>
          <w:color w:val="auto"/>
        </w:rPr>
        <w:t>. The Administrator’s decisions, determinations and interpretations shall be final and binding on all</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parties.</w:t>
      </w:r>
    </w:p>
    <w:p>
      <w:pPr>
        <w:spacing w:after="0" w:line="162" w:lineRule="exact"/>
        <w:rPr>
          <w:sz w:val="20"/>
          <w:szCs w:val="20"/>
          <w:color w:val="auto"/>
        </w:rPr>
      </w:pPr>
    </w:p>
    <w:p>
      <w:pPr>
        <w:ind w:right="920" w:firstLine="440"/>
        <w:spacing w:after="0" w:line="282" w:lineRule="auto"/>
        <w:rPr>
          <w:sz w:val="20"/>
          <w:szCs w:val="20"/>
          <w:color w:val="auto"/>
        </w:rPr>
      </w:pPr>
      <w:r>
        <w:rPr>
          <w:rFonts w:ascii="Arial" w:cs="Arial" w:eastAsia="Arial" w:hAnsi="Arial"/>
          <w:sz w:val="18"/>
          <w:szCs w:val="18"/>
          <w:b w:val="1"/>
          <w:bCs w:val="1"/>
          <w:color w:val="auto"/>
        </w:rPr>
        <w:t>2.5 Governing Law</w:t>
      </w:r>
      <w:r>
        <w:rPr>
          <w:rFonts w:ascii="Arial" w:cs="Arial" w:eastAsia="Arial" w:hAnsi="Arial"/>
          <w:sz w:val="18"/>
          <w:szCs w:val="18"/>
          <w:color w:val="auto"/>
        </w:rPr>
        <w:t>. The Plan shall be governed by, and construed in accordance with, the laws of the State of Delaware (except its</w:t>
      </w:r>
      <w:r>
        <w:rPr>
          <w:rFonts w:ascii="Arial" w:cs="Arial" w:eastAsia="Arial" w:hAnsi="Arial"/>
          <w:sz w:val="18"/>
          <w:szCs w:val="18"/>
          <w:b w:val="1"/>
          <w:bCs w:val="1"/>
          <w:color w:val="auto"/>
        </w:rPr>
        <w:t xml:space="preserve"> </w:t>
      </w:r>
      <w:r>
        <w:rPr>
          <w:rFonts w:ascii="Arial" w:cs="Arial" w:eastAsia="Arial" w:hAnsi="Arial"/>
          <w:sz w:val="18"/>
          <w:szCs w:val="18"/>
          <w:color w:val="auto"/>
        </w:rPr>
        <w:t>choice-of-law provisions).</w:t>
      </w:r>
    </w:p>
    <w:p>
      <w:pPr>
        <w:spacing w:after="0" w:line="2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7"/>
          <w:szCs w:val="17"/>
          <w:b w:val="1"/>
          <w:bCs w:val="1"/>
          <w:color w:val="auto"/>
        </w:rPr>
        <w:t>SHARES AVAILABLE FOR GRANTS</w:t>
      </w:r>
      <w:r>
        <w:rPr>
          <w:rFonts w:ascii="Arial" w:cs="Arial" w:eastAsia="Arial" w:hAnsi="Arial"/>
          <w:sz w:val="17"/>
          <w:szCs w:val="17"/>
          <w:color w:val="auto"/>
        </w:rPr>
        <w:t>.</w:t>
      </w:r>
    </w:p>
    <w:p>
      <w:pPr>
        <w:spacing w:after="0" w:line="11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b w:val="1"/>
          <w:bCs w:val="1"/>
          <w:color w:val="auto"/>
        </w:rPr>
        <w:t>3.1 Basic Limitation</w:t>
      </w:r>
      <w:r>
        <w:rPr>
          <w:rFonts w:ascii="Arial" w:cs="Arial" w:eastAsia="Arial" w:hAnsi="Arial"/>
          <w:sz w:val="17"/>
          <w:szCs w:val="17"/>
          <w:color w:val="auto"/>
        </w:rPr>
        <w:t>. Common Shares issued pursuant to the Plan may be authorized but unissued shares or treasury shares. The aggregate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Common Shares issued under the Plan shall not exceed the sum of (a) 9,201,156 Common Shares, (b) any Common Shares subject to awards granted under the Predecessor Plan that are outstanding on the IPO Date that subsequently are forfeited, expire or lapse unexercised or unsettled and Common Shares issued pursuant to awards granted under the Predecessor Plan that are outstanding on the IPO Date and that are subsequently forfeited to or reacquired by the Company, (c) the number of Common Shares reserved under the Predecessor Plan that are not issued or subject to outstanding awards under the Predecessor Plan on the IPO Date and (d) the additional Common Shares described in Articles 3.2 and 3.3; provided, however, that no more than 6,047,227 Common Shares, in the aggregate, shall be added to the Plan pursuant to clauses (b) and (c). The Company shall reserve and keep available such number of Common Shares as will be sufficient to satisfy the requirements of the Plan. The numerical limitations in this Article 3.1 shall be subject to adjustment pursuant to Article 9.</w:t>
      </w:r>
    </w:p>
    <w:p>
      <w:pPr>
        <w:spacing w:after="0" w:line="173"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3.2 Annual Increase in Shares</w:t>
      </w:r>
      <w:r>
        <w:rPr>
          <w:rFonts w:ascii="Arial" w:cs="Arial" w:eastAsia="Arial" w:hAnsi="Arial"/>
          <w:sz w:val="18"/>
          <w:szCs w:val="18"/>
          <w:color w:val="auto"/>
        </w:rPr>
        <w:t>. On the first day of each fiscal year of the Company during the term of the Plan, commencing in 2022 and</w:t>
      </w:r>
      <w:r>
        <w:rPr>
          <w:rFonts w:ascii="Arial" w:cs="Arial" w:eastAsia="Arial" w:hAnsi="Arial"/>
          <w:sz w:val="18"/>
          <w:szCs w:val="18"/>
          <w:b w:val="1"/>
          <w:bCs w:val="1"/>
          <w:color w:val="auto"/>
        </w:rPr>
        <w:t xml:space="preserve"> </w:t>
      </w:r>
      <w:r>
        <w:rPr>
          <w:rFonts w:ascii="Arial" w:cs="Arial" w:eastAsia="Arial" w:hAnsi="Arial"/>
          <w:sz w:val="18"/>
          <w:szCs w:val="18"/>
          <w:color w:val="auto"/>
        </w:rPr>
        <w:t>ending in (and including) 2031, the aggregate number of Common Shares that may be issued under the Plan shall automatically increase by a number equal to the lesser of (a) 5% of the total number of Common Shares actually issued and outstanding on the last day of the preceding fiscal year, or (b) a number of Common Shares determined by the Board.</w:t>
      </w:r>
    </w:p>
    <w:p>
      <w:pPr>
        <w:spacing w:after="0" w:line="18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3.3 Shares Returned to Reserve</w:t>
      </w:r>
      <w:r>
        <w:rPr>
          <w:rFonts w:ascii="Arial" w:cs="Arial" w:eastAsia="Arial" w:hAnsi="Arial"/>
          <w:sz w:val="16"/>
          <w:szCs w:val="16"/>
          <w:color w:val="auto"/>
        </w:rPr>
        <w:t>. To the extent that Options, SARs, Restricted Stock Units or other Awards are forfeited, cancelled or expire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reason before being exercised or settled in full, the Common Shares subject to such Awards shall again become available for issuance under the Plan. If SARs are exercised or Restricted Stock Units are settled, then only the number of Common Shares (if any) actually issued to the Participant upon exercise of such SARs or settlement of such Restricted Stock Units, as applicable, shall reduce the number of Common Shares available under Article 3.1 and the balance shall again become available for issuance under the Plan. If Restricted Shares or Common Shares issued upon the exercise of Options are reacquired by the Company pursuant to a forfeiture provision, repurchase right or for any other reason, then such Common Shares shall again become available for issuance under the Plan. Common Shares applied to pay the Exercise Price of Options or to satisfy tax withholding obligations related to any Award shall again become available for issuance under the Plan. To the extent that an Award is settled in cash rather than Common Shares, the cash settlement shall not reduce the number of Shares available for issuance under the Plan.</w:t>
      </w:r>
    </w:p>
    <w:p>
      <w:pPr>
        <w:sectPr>
          <w:pgSz w:w="11900" w:h="16838" w:orient="portrait"/>
          <w:cols w:equalWidth="0" w:num="1">
            <w:col w:w="11000"/>
          </w:cols>
          <w:pgMar w:left="440" w:top="273" w:right="459" w:bottom="1440" w:gutter="0" w:footer="0" w:header="0"/>
        </w:sectPr>
      </w:pPr>
    </w:p>
    <w:bookmarkStart w:id="486" w:name="page487"/>
    <w:bookmarkEnd w:id="486"/>
    <w:p>
      <w:pPr>
        <w:ind w:right="60" w:firstLine="440"/>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 Awards Not Reducing Share Reserve</w:t>
      </w:r>
      <w:r>
        <w:rPr>
          <w:rFonts w:ascii="Arial" w:cs="Arial" w:eastAsia="Arial" w:hAnsi="Arial"/>
          <w:sz w:val="16"/>
          <w:szCs w:val="16"/>
          <w:color w:val="auto"/>
        </w:rPr>
        <w:t>. To the extent permitted under applicable exchange listing standards, any dividend equivalents paid</w:t>
      </w:r>
      <w:r>
        <w:rPr>
          <w:rFonts w:ascii="Arial" w:cs="Arial" w:eastAsia="Arial" w:hAnsi="Arial"/>
          <w:sz w:val="16"/>
          <w:szCs w:val="16"/>
          <w:b w:val="1"/>
          <w:bCs w:val="1"/>
          <w:color w:val="auto"/>
        </w:rPr>
        <w:t xml:space="preserve"> </w:t>
      </w:r>
      <w:r>
        <w:rPr>
          <w:rFonts w:ascii="Arial" w:cs="Arial" w:eastAsia="Arial" w:hAnsi="Arial"/>
          <w:sz w:val="16"/>
          <w:szCs w:val="16"/>
          <w:color w:val="auto"/>
        </w:rPr>
        <w:t>or credited under the Plan with respect to Restricted Stock Units shall not be applied against the number of Common Shares that may be issued under the Plan, whether or not such dividend equivalents are converted into Restricted Stock Units. In addition, Common Shares subject to Substitute Awards granted by the Company shall not reduce the number of Common Shares that may be issued under Article 3.1, nor shall shares subject to Substitute Awards again be available for Awards under the Plan in the event of any forfeiture, expiration or cash settlement of such Substitute Awards.</w:t>
      </w:r>
    </w:p>
    <w:p>
      <w:pPr>
        <w:spacing w:after="0" w:line="15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 xml:space="preserve">Code Section 422 and Other Limits. </w:t>
      </w:r>
      <w:r>
        <w:rPr>
          <w:rFonts w:ascii="Arial" w:cs="Arial" w:eastAsia="Arial" w:hAnsi="Arial"/>
          <w:sz w:val="16"/>
          <w:szCs w:val="16"/>
          <w:color w:val="auto"/>
        </w:rPr>
        <w:t>Subject to adjustment in accordance with Article 9:</w:t>
      </w:r>
    </w:p>
    <w:p>
      <w:pPr>
        <w:spacing w:after="0" w:line="229" w:lineRule="exact"/>
        <w:rPr>
          <w:sz w:val="20"/>
          <w:szCs w:val="20"/>
          <w:color w:val="auto"/>
        </w:rPr>
      </w:pPr>
    </w:p>
    <w:p>
      <w:pPr>
        <w:ind w:left="1360" w:hanging="373"/>
        <w:spacing w:after="0"/>
        <w:tabs>
          <w:tab w:leader="none" w:pos="13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No more than 15,248,383 Common Shares may be issued under the Plan upon the exercise of ISOs.</w:t>
      </w:r>
    </w:p>
    <w:p>
      <w:pPr>
        <w:spacing w:after="0" w:line="225" w:lineRule="exact"/>
        <w:rPr>
          <w:rFonts w:ascii="Arial" w:cs="Arial" w:eastAsia="Arial" w:hAnsi="Arial"/>
          <w:sz w:val="18"/>
          <w:szCs w:val="18"/>
          <w:color w:val="auto"/>
        </w:rPr>
      </w:pPr>
    </w:p>
    <w:p>
      <w:pPr>
        <w:ind w:right="20" w:firstLine="987"/>
        <w:spacing w:after="0" w:line="254" w:lineRule="auto"/>
        <w:tabs>
          <w:tab w:leader="none" w:pos="1378"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aggregate grant date fair value of Awards granted to an Outside Director during any one fiscal year of the Company, together with the value of any cash compensation paid to the Outside Director during such fiscal year, may not exceed $750,000 (on a per-Director basis); provided however that the limitation that will apply in the fiscal year in which the Outside Director is initially appointed or elected to the Board shall instead be $1,000,000. For purposes of this limitation, the grant date fair value of an Award shall be determined in accordance with the assumptions that the Company uses to estimate the value of share-based payments for financial reporting purposes. For the sake of clarity, neither Awards granted, nor compensation paid, to an individual for his or her service as an Employee or Consultant, but not as an Outside Director, shall count towards this limitation.</w:t>
      </w:r>
    </w:p>
    <w:p>
      <w:pPr>
        <w:spacing w:after="0" w:line="29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ARTICLE 4.</w:t>
        <w:tab/>
        <w:t>ELIGIBILITY</w:t>
      </w:r>
      <w:r>
        <w:rPr>
          <w:rFonts w:ascii="Arial" w:cs="Arial" w:eastAsia="Arial" w:hAnsi="Arial"/>
          <w:sz w:val="18"/>
          <w:szCs w:val="18"/>
          <w:color w:val="auto"/>
        </w:rPr>
        <w:t>.</w:t>
      </w:r>
    </w:p>
    <w:p>
      <w:pPr>
        <w:spacing w:after="0" w:line="117"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4.1 Incentive Stock Options</w:t>
      </w:r>
      <w:r>
        <w:rPr>
          <w:rFonts w:ascii="Arial" w:cs="Arial" w:eastAsia="Arial" w:hAnsi="Arial"/>
          <w:sz w:val="18"/>
          <w:szCs w:val="18"/>
          <w:color w:val="auto"/>
        </w:rPr>
        <w:t>. Only Employees who are common-law employees of the Company, a Parent or a Subsidiary shall be eligible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of ISOs. In addition, an Employee who owns more than 10% of the total combined voting power of all classes of outstanding stock of the Company or any of its Parents or Subsidiaries shall not be eligible for the grant of an ISO unless the additional requirements set forth in Code Section 422(c)(5) are satisfied.</w:t>
      </w:r>
    </w:p>
    <w:p>
      <w:pPr>
        <w:spacing w:after="0" w:line="18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Other Awards</w:t>
      </w:r>
      <w:r>
        <w:rPr>
          <w:rFonts w:ascii="Arial" w:cs="Arial" w:eastAsia="Arial" w:hAnsi="Arial"/>
          <w:sz w:val="16"/>
          <w:szCs w:val="16"/>
          <w:color w:val="auto"/>
        </w:rPr>
        <w:t>. Awards other than ISOs may be granted to both Employees and other Service Providers.</w:t>
      </w:r>
    </w:p>
    <w:p>
      <w:pPr>
        <w:spacing w:after="0" w:line="33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7"/>
          <w:szCs w:val="17"/>
          <w:b w:val="1"/>
          <w:bCs w:val="1"/>
          <w:color w:val="auto"/>
        </w:rPr>
        <w:t>OPTIONS</w:t>
      </w:r>
      <w:r>
        <w:rPr>
          <w:rFonts w:ascii="Arial" w:cs="Arial" w:eastAsia="Arial" w:hAnsi="Arial"/>
          <w:sz w:val="17"/>
          <w:szCs w:val="17"/>
          <w:color w:val="auto"/>
        </w:rPr>
        <w:t>.</w:t>
      </w:r>
    </w:p>
    <w:p>
      <w:pPr>
        <w:spacing w:after="0" w:line="117"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5.1 Stock Option Agreement</w:t>
      </w:r>
      <w:r>
        <w:rPr>
          <w:rFonts w:ascii="Arial" w:cs="Arial" w:eastAsia="Arial" w:hAnsi="Arial"/>
          <w:sz w:val="18"/>
          <w:szCs w:val="18"/>
          <w:color w:val="auto"/>
        </w:rPr>
        <w:t>. Each grant of an Option under the Plan shall be evidenced by a Stock Option Agreement between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Such Option shall be subject to all applicable terms of the Plan and may be subject to any other terms that are not inconsistent with the Plan. The Stock Option Agreement shall specify whether the Option is intended to be an ISO or an NSO. The provisions of the various Stock Option Agreements entered into under the Plan need not be identical.</w:t>
      </w:r>
    </w:p>
    <w:p>
      <w:pPr>
        <w:sectPr>
          <w:pgSz w:w="11900" w:h="16838" w:orient="portrait"/>
          <w:cols w:equalWidth="0" w:num="1">
            <w:col w:w="10960"/>
          </w:cols>
          <w:pgMar w:left="440" w:top="269" w:right="499" w:bottom="1440" w:gutter="0" w:footer="0" w:header="0"/>
        </w:sectPr>
      </w:pPr>
    </w:p>
    <w:bookmarkStart w:id="487" w:name="page488"/>
    <w:bookmarkEnd w:id="487"/>
    <w:p>
      <w:pPr>
        <w:ind w:right="10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5.2 Number of Shares</w:t>
      </w:r>
      <w:r>
        <w:rPr>
          <w:rFonts w:ascii="Arial" w:cs="Arial" w:eastAsia="Arial" w:hAnsi="Arial"/>
          <w:sz w:val="18"/>
          <w:szCs w:val="18"/>
          <w:color w:val="auto"/>
        </w:rPr>
        <w:t>. Each Stock Option Agreement shall specify the number of Common Shares subject to the Option, which number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adjust in accordance with Article 9.</w:t>
      </w:r>
    </w:p>
    <w:p>
      <w:pPr>
        <w:spacing w:after="0" w:line="162"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b w:val="1"/>
          <w:bCs w:val="1"/>
          <w:color w:val="auto"/>
        </w:rPr>
        <w:t>5.3 Exercise Price</w:t>
      </w:r>
      <w:r>
        <w:rPr>
          <w:rFonts w:ascii="Arial" w:cs="Arial" w:eastAsia="Arial" w:hAnsi="Arial"/>
          <w:sz w:val="18"/>
          <w:szCs w:val="18"/>
          <w:color w:val="auto"/>
        </w:rPr>
        <w:t>. Each Stock Option Agreement shall specify the Exercise Price, which shall not be less than 100% of the 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a Common Share on the date of grant. The preceding sentence shall not apply to an Option that is a Substitute Award granted in a manner that would satisfy the requirements of Code Section 409A and, if applicable, Code Section 424(a).</w:t>
      </w:r>
    </w:p>
    <w:p>
      <w:pPr>
        <w:spacing w:after="0" w:line="176" w:lineRule="exact"/>
        <w:rPr>
          <w:sz w:val="20"/>
          <w:szCs w:val="20"/>
          <w:color w:val="auto"/>
        </w:rPr>
      </w:pPr>
    </w:p>
    <w:p>
      <w:pPr>
        <w:ind w:right="60" w:firstLine="440"/>
        <w:spacing w:after="0" w:line="294" w:lineRule="auto"/>
        <w:rPr>
          <w:sz w:val="20"/>
          <w:szCs w:val="20"/>
          <w:color w:val="auto"/>
        </w:rPr>
      </w:pPr>
      <w:r>
        <w:rPr>
          <w:rFonts w:ascii="Arial" w:cs="Arial" w:eastAsia="Arial" w:hAnsi="Arial"/>
          <w:sz w:val="16"/>
          <w:szCs w:val="16"/>
          <w:b w:val="1"/>
          <w:bCs w:val="1"/>
          <w:color w:val="auto"/>
        </w:rPr>
        <w:t>5.4 Exercisability and Term</w:t>
      </w:r>
      <w:r>
        <w:rPr>
          <w:rFonts w:ascii="Arial" w:cs="Arial" w:eastAsia="Arial" w:hAnsi="Arial"/>
          <w:sz w:val="16"/>
          <w:szCs w:val="16"/>
          <w:color w:val="auto"/>
        </w:rPr>
        <w:t>. Each Stock Option Agreement shall specify the date or event when all or any installment of the Option is to</w:t>
      </w:r>
      <w:r>
        <w:rPr>
          <w:rFonts w:ascii="Arial" w:cs="Arial" w:eastAsia="Arial" w:hAnsi="Arial"/>
          <w:sz w:val="16"/>
          <w:szCs w:val="16"/>
          <w:b w:val="1"/>
          <w:bCs w:val="1"/>
          <w:color w:val="auto"/>
        </w:rPr>
        <w:t xml:space="preserve"> </w:t>
      </w:r>
      <w:r>
        <w:rPr>
          <w:rFonts w:ascii="Arial" w:cs="Arial" w:eastAsia="Arial" w:hAnsi="Arial"/>
          <w:sz w:val="16"/>
          <w:szCs w:val="16"/>
          <w:color w:val="auto"/>
        </w:rPr>
        <w:t>become vested and/or exercisable. The vesting and exercisability conditions applicable to the Option may include service-based conditions, performance-based conditions, such other conditions as the Administrator may determine, or any combination of such conditions. The Stock Option Agreement shall also specify the term of the Option; provided that, except to the extent necessary to comply with applicable foreign law, the term of an Option shall in no event exceed 10 years from the date of grant. A Stock Option Agreement may provide for accelerated vesting and/or exercisability upon certain specified events and may provide for expiration prior to the end of its term in the event of the termination of the Optionee’s service.</w:t>
      </w:r>
    </w:p>
    <w:p>
      <w:pPr>
        <w:spacing w:after="0" w:line="160"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5.5 Death of Optionee</w:t>
      </w:r>
      <w:r>
        <w:rPr>
          <w:rFonts w:ascii="Arial" w:cs="Arial" w:eastAsia="Arial" w:hAnsi="Arial"/>
          <w:sz w:val="18"/>
          <w:szCs w:val="18"/>
          <w:color w:val="auto"/>
        </w:rPr>
        <w:t>. After an Optionee’s death, any vested and exercisable Options held by such Optionee may be exercised by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beneficiary or beneficiaries. Each Optionee may designate one or more beneficiaries for this purpose by filing the prescribed form with the Company. A beneficiary designation may be changed by filing the prescribed form with the Company at any time before the Optionee’s death. If no beneficiary was designated or if no designated beneficiary survives the Optionee, then any vested and exercisable Options held by the Optionee may be exercised by his or her estate.</w:t>
      </w:r>
    </w:p>
    <w:p>
      <w:pPr>
        <w:spacing w:after="0" w:line="183"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b w:val="1"/>
          <w:bCs w:val="1"/>
          <w:color w:val="auto"/>
        </w:rPr>
        <w:t>5.6 Modification or Assumption of Options</w:t>
      </w:r>
      <w:r>
        <w:rPr>
          <w:rFonts w:ascii="Arial" w:cs="Arial" w:eastAsia="Arial" w:hAnsi="Arial"/>
          <w:sz w:val="17"/>
          <w:szCs w:val="17"/>
          <w:color w:val="auto"/>
        </w:rPr>
        <w:t>. Within the limitations of the Plan, the Administrator may modify, extend or assume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The foregoing notwithstanding, no modification of an Option shall, without the consent of the Optionee, materially impair his or her rights or obligations under such Option. Notwithstanding anything in this Plan to the contrary, and except for the adjustments provided in Article 9, neither the Administrator nor any other person may (a) decrease the exercise price for any outstanding Option after the date of grant, (b) cancel or allow an Optionee to surrender an outstanding Option to the Company in exchange for cash or as consideration for the grant of a new Option with a lower exercise price or the grant of another type of Award the effect of which is to reduce the exercise price of any outstanding Option, or (c) take any other action with respect to an Option that would be treated as a repricing under the rules and regulations of the Nasdaq Stock Market (or such other principal U.S. national securities exchange on which the Common Shares are traded).</w:t>
      </w:r>
    </w:p>
    <w:p>
      <w:pPr>
        <w:spacing w:after="0" w:line="172"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b w:val="1"/>
          <w:bCs w:val="1"/>
          <w:color w:val="auto"/>
        </w:rPr>
        <w:t>5.7 Buyout Provisions</w:t>
      </w:r>
      <w:r>
        <w:rPr>
          <w:rFonts w:ascii="Arial" w:cs="Arial" w:eastAsia="Arial" w:hAnsi="Arial"/>
          <w:sz w:val="18"/>
          <w:szCs w:val="18"/>
          <w:color w:val="auto"/>
        </w:rPr>
        <w:t>. Except to the extent prohibited by Article 5.6, the Administrator may at any time (a) offer to buy out for a payment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or cash equivalents an Option previously granted or (b) authorize an Optionee to elect to cash out an Option previously granted, in either case at such time and based upon such terms and conditions as the Administrator shall establish.</w:t>
      </w:r>
    </w:p>
    <w:p>
      <w:pPr>
        <w:sectPr>
          <w:pgSz w:w="11900" w:h="16838" w:orient="portrait"/>
          <w:cols w:equalWidth="0" w:num="1">
            <w:col w:w="10940"/>
          </w:cols>
          <w:pgMar w:left="440" w:top="269" w:right="519" w:bottom="1440" w:gutter="0" w:footer="0" w:header="0"/>
        </w:sectPr>
      </w:pPr>
    </w:p>
    <w:bookmarkStart w:id="488" w:name="page489"/>
    <w:bookmarkEnd w:id="488"/>
    <w:p>
      <w:pPr>
        <w:ind w:right="40" w:firstLine="44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5.8 Payment for Option Shares</w:t>
      </w:r>
      <w:r>
        <w:rPr>
          <w:rFonts w:ascii="Arial" w:cs="Arial" w:eastAsia="Arial" w:hAnsi="Arial"/>
          <w:sz w:val="16"/>
          <w:szCs w:val="16"/>
          <w:color w:val="auto"/>
        </w:rPr>
        <w:t>. The entire Exercise Price of Common Shares issued upon exercise of Options shall be payable in cash or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at the time when such Common Shares are purchased. In addition, the Administrator may, in its sole discretion and to the extent permitted by applicable law, accept payment of all or a portion of the Exercise Price through any one or a combination of the following forms or methods:</w:t>
      </w:r>
    </w:p>
    <w:p>
      <w:pPr>
        <w:spacing w:after="0" w:line="146" w:lineRule="exact"/>
        <w:rPr>
          <w:sz w:val="20"/>
          <w:szCs w:val="20"/>
          <w:color w:val="auto"/>
        </w:rPr>
      </w:pPr>
    </w:p>
    <w:p>
      <w:pPr>
        <w:ind w:right="80" w:firstLine="987"/>
        <w:spacing w:after="0" w:line="263" w:lineRule="auto"/>
        <w:tabs>
          <w:tab w:leader="none" w:pos="137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Subject to any conditions or limitations established by the Administrator, by surrendering, or attesting to the ownership of, Common Shares that are already owned by the Optionee with a value on the date of surrender equal to the aggregate exercise price of the Common Shares as to which such Option will be exercised;</w:t>
      </w:r>
    </w:p>
    <w:p>
      <w:pPr>
        <w:spacing w:after="0" w:line="183" w:lineRule="exact"/>
        <w:rPr>
          <w:rFonts w:ascii="Arial" w:cs="Arial" w:eastAsia="Arial" w:hAnsi="Arial"/>
          <w:sz w:val="18"/>
          <w:szCs w:val="18"/>
          <w:color w:val="auto"/>
        </w:rPr>
      </w:pPr>
    </w:p>
    <w:p>
      <w:pPr>
        <w:ind w:firstLine="987"/>
        <w:spacing w:after="0" w:line="308" w:lineRule="auto"/>
        <w:tabs>
          <w:tab w:leader="none" w:pos="1381" w:val="left"/>
        </w:tabs>
        <w:numPr>
          <w:ilvl w:val="0"/>
          <w:numId w:val="359"/>
        </w:numPr>
        <w:rPr>
          <w:rFonts w:ascii="Arial" w:cs="Arial" w:eastAsia="Arial" w:hAnsi="Arial"/>
          <w:sz w:val="17"/>
          <w:szCs w:val="17"/>
          <w:color w:val="auto"/>
        </w:rPr>
      </w:pPr>
      <w:r>
        <w:rPr>
          <w:rFonts w:ascii="Arial" w:cs="Arial" w:eastAsia="Arial" w:hAnsi="Arial"/>
          <w:sz w:val="17"/>
          <w:szCs w:val="17"/>
          <w:color w:val="auto"/>
        </w:rPr>
        <w:t>By delivering (on a form prescribed by the Company) an irrevocable direction to a securities broker approved by the Company to sell all or part of the Common Shares being purchased under the Plan and to deliver all or part of the sales proceeds to the Company;</w:t>
      </w:r>
    </w:p>
    <w:p>
      <w:pPr>
        <w:spacing w:after="0" w:line="146" w:lineRule="exact"/>
        <w:rPr>
          <w:rFonts w:ascii="Arial" w:cs="Arial" w:eastAsia="Arial" w:hAnsi="Arial"/>
          <w:sz w:val="17"/>
          <w:szCs w:val="17"/>
          <w:color w:val="auto"/>
        </w:rPr>
      </w:pPr>
    </w:p>
    <w:p>
      <w:pPr>
        <w:ind w:left="1360" w:hanging="373"/>
        <w:spacing w:after="0"/>
        <w:tabs>
          <w:tab w:leader="none" w:pos="136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Subject to such conditions and requirements as the Administrator may impose from time to time, through a net exercise procedure; or</w:t>
      </w:r>
    </w:p>
    <w:p>
      <w:pPr>
        <w:spacing w:after="0" w:line="248" w:lineRule="exact"/>
        <w:rPr>
          <w:rFonts w:ascii="Arial" w:cs="Arial" w:eastAsia="Arial" w:hAnsi="Arial"/>
          <w:sz w:val="16"/>
          <w:szCs w:val="16"/>
          <w:color w:val="auto"/>
        </w:rPr>
      </w:pPr>
    </w:p>
    <w:p>
      <w:pPr>
        <w:ind w:left="1380" w:hanging="393"/>
        <w:spacing w:after="0"/>
        <w:tabs>
          <w:tab w:leader="none" w:pos="13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Through any other form or method consistent with applicable laws, regulations and rules.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ARTICLE 6.</w:t>
        <w:tab/>
        <w:t>STOCK APPRECIATION RIGHTS</w:t>
      </w:r>
      <w:r>
        <w:rPr>
          <w:rFonts w:ascii="Arial" w:cs="Arial" w:eastAsia="Arial" w:hAnsi="Arial"/>
          <w:sz w:val="18"/>
          <w:szCs w:val="18"/>
          <w:color w:val="auto"/>
        </w:rPr>
        <w:t>.</w:t>
      </w:r>
    </w:p>
    <w:p>
      <w:pPr>
        <w:spacing w:after="0" w:line="117"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b w:val="1"/>
          <w:bCs w:val="1"/>
          <w:color w:val="auto"/>
        </w:rPr>
        <w:t>6.1 SAR Agreement</w:t>
      </w:r>
      <w:r>
        <w:rPr>
          <w:rFonts w:ascii="Arial" w:cs="Arial" w:eastAsia="Arial" w:hAnsi="Arial"/>
          <w:sz w:val="18"/>
          <w:szCs w:val="18"/>
          <w:color w:val="auto"/>
        </w:rPr>
        <w:t>. Each grant of a SAR under the Plan shall be evidenced by a SAR Agreement between the Optionee and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Such SAR shall be subject to all applicable terms of the Plan and may be subject to any other terms that are not inconsistent with the Plan. The provisions of the various SAR Agreements entered into under the Plan need not be identical.</w:t>
      </w:r>
    </w:p>
    <w:p>
      <w:pPr>
        <w:spacing w:after="0" w:line="176"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6.2 Number of Shares</w:t>
      </w:r>
      <w:r>
        <w:rPr>
          <w:rFonts w:ascii="Arial" w:cs="Arial" w:eastAsia="Arial" w:hAnsi="Arial"/>
          <w:sz w:val="18"/>
          <w:szCs w:val="18"/>
          <w:color w:val="auto"/>
        </w:rPr>
        <w:t>. Each SAR Agreement shall specify the number of Common Shares to which the SAR pertains, which number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adjust in accordance with Article 9.</w:t>
      </w:r>
    </w:p>
    <w:p>
      <w:pPr>
        <w:spacing w:after="0" w:line="162"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6.3 Exercise Price</w:t>
      </w:r>
      <w:r>
        <w:rPr>
          <w:rFonts w:ascii="Arial" w:cs="Arial" w:eastAsia="Arial" w:hAnsi="Arial"/>
          <w:sz w:val="18"/>
          <w:szCs w:val="18"/>
          <w:color w:val="auto"/>
        </w:rPr>
        <w:t>. Each SAR Agreement shall specify the Exercise Price, which shall in no event be less than 100% of the 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a Common Share on the date of grant. The preceding sentence shall not apply to a SAR that is a Substitute Award granted in a manner that would satisfy the requirements of Code Section 409A.</w:t>
      </w:r>
    </w:p>
    <w:p>
      <w:pPr>
        <w:spacing w:after="0" w:line="176"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6.4 Exercisability and Term</w:t>
      </w:r>
      <w:r>
        <w:rPr>
          <w:rFonts w:ascii="Arial" w:cs="Arial" w:eastAsia="Arial" w:hAnsi="Arial"/>
          <w:sz w:val="17"/>
          <w:szCs w:val="17"/>
          <w:color w:val="auto"/>
        </w:rPr>
        <w:t>. Each SAR Agreement shall specify the date when all or any installment of the SAR is to become vested and</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exercisable. The vesting and exercisability conditions applicable to the SAR may include service-based conditions, performance-based conditions, such other conditions as the Administrator may determine, or any combination thereof. The SAR Agreement shall also specify the term of the SAR; provided that except to the extent necessary to comply with applicable foreign law, the term of a SAR shall not exceed 10 years from the date of grant. A SAR Agreement may provide for accelerated vesting and exercisability upon certain specified events and may provide for expiration prior to the end of its term in the event of the termination of the Optionee’s service.</w:t>
      </w:r>
    </w:p>
    <w:p>
      <w:pPr>
        <w:spacing w:after="0" w:line="173"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6.5 Exercise of SARs</w:t>
      </w:r>
      <w:r>
        <w:rPr>
          <w:rFonts w:ascii="Arial" w:cs="Arial" w:eastAsia="Arial" w:hAnsi="Arial"/>
          <w:sz w:val="18"/>
          <w:szCs w:val="18"/>
          <w:color w:val="auto"/>
        </w:rPr>
        <w:t>. Upon exercise of a SAR, the Optionee (or any person having the right to exercise the SAR after his or her death)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from the Company (a) Common</w:t>
      </w:r>
    </w:p>
    <w:p>
      <w:pPr>
        <w:sectPr>
          <w:pgSz w:w="11900" w:h="16838" w:orient="portrait"/>
          <w:cols w:equalWidth="0" w:num="1">
            <w:col w:w="10980"/>
          </w:cols>
          <w:pgMar w:left="440" w:top="269" w:right="479" w:bottom="1440" w:gutter="0" w:footer="0" w:header="0"/>
        </w:sectPr>
      </w:pPr>
    </w:p>
    <w:bookmarkStart w:id="489" w:name="page490"/>
    <w:bookmarkEnd w:id="489"/>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(b) cash or (c) a combination of Common Shares and cash, as the Administrator shall determine. The amount of cash and/or the Fair Market Value of Common Shares received upon exercise of SARs shall, in the aggregate, not exceed the amount by which the Fair Market Value (on the date of surrender) of the Common Shares subject to the SARs exceeds the Exercise Price. If, on the date when a SAR expires, the Exercise Price is less than the Fair Market Value on such date but any portion of such SAR has not been exercised or surrendered, then such SAR shall automatically be deemed to be exercised as of such date with respect to such portion. A SAR Agreement may also provide for an automatic exercise of the SAR on an earlier date.</w:t>
      </w:r>
    </w:p>
    <w:p>
      <w:pPr>
        <w:spacing w:after="0" w:line="157"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6.6 Death of Optionee</w:t>
      </w:r>
      <w:r>
        <w:rPr>
          <w:rFonts w:ascii="Arial" w:cs="Arial" w:eastAsia="Arial" w:hAnsi="Arial"/>
          <w:sz w:val="18"/>
          <w:szCs w:val="18"/>
          <w:color w:val="auto"/>
        </w:rPr>
        <w:t>. After an Optionee’s death, any vested and exercisable SARs held by such Optionee may be exercised by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beneficiary or beneficiaries. Each Optionee may designate one or more beneficiaries for this purpose by filing the prescribed form with the Company. A beneficiary designation may be changed by filing the prescribed form with the Company at any time before the Optionee’s death. If no beneficiary was designated or if no designated beneficiary survives the Optionee, then any vested and exercisable SARs held by the Optionee at the time of his or her death may be exercised by his or her estate.</w:t>
      </w:r>
    </w:p>
    <w:p>
      <w:pPr>
        <w:spacing w:after="0" w:line="183"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b w:val="1"/>
          <w:bCs w:val="1"/>
          <w:color w:val="auto"/>
        </w:rPr>
        <w:t>6.7 Modification or Assumption of SARs</w:t>
      </w:r>
      <w:r>
        <w:rPr>
          <w:rFonts w:ascii="Arial" w:cs="Arial" w:eastAsia="Arial" w:hAnsi="Arial"/>
          <w:sz w:val="17"/>
          <w:szCs w:val="17"/>
          <w:color w:val="auto"/>
        </w:rPr>
        <w:t>. Within the limitations of the Plan, the Administrator may modify, extend or assume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SARs. The foregoing notwithstanding, no modification of a SAR shall, without the consent of the Optionee, materially impair his or her rights or obligations under such SAR. Notwithstanding anything in this Plan to the contrary, and except for the adjustments provided in Article 9, neither the Administrator nor any other person may (a) decrease the exercise price for any outstanding SAR after the date of grant, (b) cancel or allow an Optionee to surrender an outstanding SAR to the Company in exchange for cash or as consideration for the grant of a new SAR with a lower exercise price or the grant of another type of Award the effect of which is to reduce the exercise price of any outstanding SAR, or (c) take any other action with respect to a SAR that would be treated as a repricing under the rules and regulations of the Nasdaq Stock Market (or such other principal U.S. national securities exchange on which the Common Shares are traded).</w:t>
      </w:r>
    </w:p>
    <w:p>
      <w:pPr>
        <w:spacing w:after="0" w:line="2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7"/>
          <w:szCs w:val="17"/>
          <w:b w:val="1"/>
          <w:bCs w:val="1"/>
          <w:color w:val="auto"/>
        </w:rPr>
        <w:t>RESTRICTED SHARES</w:t>
      </w:r>
      <w:r>
        <w:rPr>
          <w:rFonts w:ascii="Arial" w:cs="Arial" w:eastAsia="Arial" w:hAnsi="Arial"/>
          <w:sz w:val="17"/>
          <w:szCs w:val="17"/>
          <w:color w:val="auto"/>
        </w:rPr>
        <w:t>.</w:t>
      </w:r>
    </w:p>
    <w:p>
      <w:pPr>
        <w:spacing w:after="0" w:line="117" w:lineRule="exact"/>
        <w:rPr>
          <w:sz w:val="20"/>
          <w:szCs w:val="20"/>
          <w:color w:val="auto"/>
        </w:rPr>
      </w:pPr>
    </w:p>
    <w:p>
      <w:pPr>
        <w:jc w:val="both"/>
        <w:ind w:right="40" w:firstLine="440"/>
        <w:spacing w:after="0" w:line="314" w:lineRule="auto"/>
        <w:rPr>
          <w:sz w:val="20"/>
          <w:szCs w:val="20"/>
          <w:color w:val="auto"/>
        </w:rPr>
      </w:pPr>
      <w:r>
        <w:rPr>
          <w:rFonts w:ascii="Arial" w:cs="Arial" w:eastAsia="Arial" w:hAnsi="Arial"/>
          <w:sz w:val="16"/>
          <w:szCs w:val="16"/>
          <w:b w:val="1"/>
          <w:bCs w:val="1"/>
          <w:color w:val="auto"/>
        </w:rPr>
        <w:t>7.1 Restricted Stock Agreement</w:t>
      </w:r>
      <w:r>
        <w:rPr>
          <w:rFonts w:ascii="Arial" w:cs="Arial" w:eastAsia="Arial" w:hAnsi="Arial"/>
          <w:sz w:val="16"/>
          <w:szCs w:val="16"/>
          <w:color w:val="auto"/>
        </w:rPr>
        <w:t>. Each grant of Restricted Shares under the Plan shall be evidenced by a Restricted Stock Agreement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the recipient and the Company. Such Restricted Shares shall be subject to all applicable terms of the Plan and may be subject to any other terms that are not inconsistent with the Plan. The provisions of the various Restricted Stock Agreements entered into under the Plan need not be identical.</w:t>
      </w:r>
    </w:p>
    <w:p>
      <w:pPr>
        <w:spacing w:after="0" w:line="142"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b w:val="1"/>
          <w:bCs w:val="1"/>
          <w:color w:val="auto"/>
        </w:rPr>
        <w:t>7.2 Payment for Awards</w:t>
      </w:r>
      <w:r>
        <w:rPr>
          <w:rFonts w:ascii="Arial" w:cs="Arial" w:eastAsia="Arial" w:hAnsi="Arial"/>
          <w:sz w:val="18"/>
          <w:szCs w:val="18"/>
          <w:color w:val="auto"/>
        </w:rPr>
        <w:t>. Restricted Shares may be sold or awarded under the Plan for such consideration as the Administrator may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cash, cash equivalents, property, cancellation of other equity awards, promissory notes, past services and future services, and such other methods of payment as are permitted by applicable law.</w:t>
      </w:r>
    </w:p>
    <w:p>
      <w:pPr>
        <w:spacing w:after="0" w:line="176"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7.3 Vesting Conditions</w:t>
      </w:r>
      <w:r>
        <w:rPr>
          <w:rFonts w:ascii="Arial" w:cs="Arial" w:eastAsia="Arial" w:hAnsi="Arial"/>
          <w:sz w:val="18"/>
          <w:szCs w:val="18"/>
          <w:color w:val="auto"/>
        </w:rPr>
        <w:t>. Each Award of Restricted Shares may or may not be subject to vesting and/or other conditions as the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may determine. Vesting shall occur, in full or in installments, upon satisfaction of the conditions specified in the Restricted Stock Agreement. A Restricted Stock Agreement may provide for accelerated vesting upon certain specified events.</w:t>
      </w:r>
    </w:p>
    <w:p>
      <w:pPr>
        <w:sectPr>
          <w:pgSz w:w="11900" w:h="16838" w:orient="portrait"/>
          <w:cols w:equalWidth="0" w:num="1">
            <w:col w:w="10960"/>
          </w:cols>
          <w:pgMar w:left="440" w:top="273" w:right="499" w:bottom="1440" w:gutter="0" w:footer="0" w:header="0"/>
        </w:sectPr>
      </w:pPr>
    </w:p>
    <w:bookmarkStart w:id="490" w:name="page491"/>
    <w:bookmarkEnd w:id="490"/>
    <w:p>
      <w:pPr>
        <w:ind w:firstLine="44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7.4 Voting and Dividend Rights</w:t>
      </w:r>
      <w:r>
        <w:rPr>
          <w:rFonts w:ascii="Arial" w:cs="Arial" w:eastAsia="Arial" w:hAnsi="Arial"/>
          <w:sz w:val="18"/>
          <w:szCs w:val="18"/>
          <w:color w:val="auto"/>
        </w:rPr>
        <w:t>. The holders of Restricted Shares awarded under the Plan shall have the same voting, dividend and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as the Company’s other stockholders, unless the Administrator otherwise provides. A Restricted Stock Agreement, however, may require that any cash dividends paid on Restricted Shares (a) be accumulated and paid when such Restricted Shares vest, or (b) be invested in additional Restricted Shares. Such additional Restricted Shares shall be subject to the same conditions and restrictions as the shares subject to the Award with respect to which the dividends were paid. In addition, unless the Administrator provides otherwise, if any dividends or other distributions are paid in Common Shares, such Common Shares shall be subject to the same restrictions on transferability and forfeitability as the Restricted Shares with respect to which they were paid.</w:t>
      </w:r>
    </w:p>
    <w:p>
      <w:pPr>
        <w:spacing w:after="0" w:line="189"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b w:val="1"/>
          <w:bCs w:val="1"/>
          <w:color w:val="auto"/>
        </w:rPr>
        <w:t>7.5 Modification or Assumption of Restricted Shares</w:t>
      </w:r>
      <w:r>
        <w:rPr>
          <w:rFonts w:ascii="Arial" w:cs="Arial" w:eastAsia="Arial" w:hAnsi="Arial"/>
          <w:sz w:val="18"/>
          <w:szCs w:val="18"/>
          <w:color w:val="auto"/>
        </w:rPr>
        <w:t>. Within the limitations of the Plan, the Administrator may modify or assume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Restricted Shares or may accept the cancellation of outstanding restricted shares (whether granted by the Company or by another issuer) in return for the grant of new Restricted Shares for the same or a different number of shares or in return for the grant of a different type of Award. The foregoing notwithstanding, no modification of Restricted Shares shall, without the consent of the Participant, materially impair his or her rights or obligations under such Restricted Shares.</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ARTICLE 8.</w:t>
        <w:tab/>
        <w:t>RESTRICTED STOCK UNITS</w:t>
      </w:r>
      <w:r>
        <w:rPr>
          <w:rFonts w:ascii="Arial" w:cs="Arial" w:eastAsia="Arial" w:hAnsi="Arial"/>
          <w:sz w:val="18"/>
          <w:szCs w:val="18"/>
          <w:color w:val="auto"/>
        </w:rPr>
        <w:t>.</w:t>
      </w:r>
    </w:p>
    <w:p>
      <w:pPr>
        <w:spacing w:after="0" w:line="117"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b w:val="1"/>
          <w:bCs w:val="1"/>
          <w:color w:val="auto"/>
        </w:rPr>
        <w:t>8.1 Restricted Stock Unit Agreement</w:t>
      </w:r>
      <w:r>
        <w:rPr>
          <w:rFonts w:ascii="Arial" w:cs="Arial" w:eastAsia="Arial" w:hAnsi="Arial"/>
          <w:sz w:val="18"/>
          <w:szCs w:val="18"/>
          <w:color w:val="auto"/>
        </w:rPr>
        <w:t>. Each grant of Restricted Stock Units under the Plan shall be evidenced by a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recipient and the Company. Such Restricted Stock Units shall be subject to all applicable terms of the Plan and may be subject to any other terms that are not inconsistent with the Plan. The provisions of the various Restricted Stock Unit Agreements entered into under the Plan need not be identical.</w:t>
      </w:r>
    </w:p>
    <w:p>
      <w:pPr>
        <w:spacing w:after="0" w:line="180"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8.2 Payment for Awards</w:t>
      </w:r>
      <w:r>
        <w:rPr>
          <w:rFonts w:ascii="Arial" w:cs="Arial" w:eastAsia="Arial" w:hAnsi="Arial"/>
          <w:sz w:val="18"/>
          <w:szCs w:val="18"/>
          <w:color w:val="auto"/>
        </w:rPr>
        <w:t>. To the extent that an Award is granted in the form of Restricted Stock Units, no cash consideration shall be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Award recipients.</w:t>
      </w:r>
    </w:p>
    <w:p>
      <w:pPr>
        <w:spacing w:after="0" w:line="162" w:lineRule="exact"/>
        <w:rPr>
          <w:sz w:val="20"/>
          <w:szCs w:val="20"/>
          <w:color w:val="auto"/>
        </w:rPr>
      </w:pPr>
    </w:p>
    <w:p>
      <w:pPr>
        <w:ind w:right="240" w:firstLine="440"/>
        <w:spacing w:after="0" w:line="281" w:lineRule="auto"/>
        <w:rPr>
          <w:sz w:val="20"/>
          <w:szCs w:val="20"/>
          <w:color w:val="auto"/>
        </w:rPr>
      </w:pPr>
      <w:r>
        <w:rPr>
          <w:rFonts w:ascii="Arial" w:cs="Arial" w:eastAsia="Arial" w:hAnsi="Arial"/>
          <w:sz w:val="17"/>
          <w:szCs w:val="17"/>
          <w:b w:val="1"/>
          <w:bCs w:val="1"/>
          <w:color w:val="auto"/>
        </w:rPr>
        <w:t>8.3 Vesting Conditions</w:t>
      </w:r>
      <w:r>
        <w:rPr>
          <w:rFonts w:ascii="Arial" w:cs="Arial" w:eastAsia="Arial" w:hAnsi="Arial"/>
          <w:sz w:val="17"/>
          <w:szCs w:val="17"/>
          <w:color w:val="auto"/>
        </w:rPr>
        <w:t>. Each Award of Restricted Stock Units may or may not be subject to vesting, as determined by the Administrator.</w:t>
      </w:r>
      <w:r>
        <w:rPr>
          <w:rFonts w:ascii="Arial" w:cs="Arial" w:eastAsia="Arial" w:hAnsi="Arial"/>
          <w:sz w:val="17"/>
          <w:szCs w:val="17"/>
          <w:b w:val="1"/>
          <w:bCs w:val="1"/>
          <w:color w:val="auto"/>
        </w:rPr>
        <w:t xml:space="preserve"> </w:t>
      </w:r>
      <w:r>
        <w:rPr>
          <w:rFonts w:ascii="Arial" w:cs="Arial" w:eastAsia="Arial" w:hAnsi="Arial"/>
          <w:sz w:val="17"/>
          <w:szCs w:val="17"/>
          <w:color w:val="auto"/>
        </w:rPr>
        <w:t>Vesting shall occur, in full or in installments, upon satisfaction of the conditions specified in the Restricted Stock Unit Agreement. Vesting conditions may include service-based conditions, performance-based conditions, such other conditions as the Administrator may determine, or any combination thereof. A Restricted Stock Unit Agreement may provide for accelerated vesting upon certain specified events.</w:t>
      </w:r>
    </w:p>
    <w:p>
      <w:pPr>
        <w:spacing w:after="0" w:line="165" w:lineRule="exact"/>
        <w:rPr>
          <w:sz w:val="20"/>
          <w:szCs w:val="20"/>
          <w:color w:val="auto"/>
        </w:rPr>
      </w:pPr>
    </w:p>
    <w:p>
      <w:pPr>
        <w:ind w:right="60" w:firstLine="440"/>
        <w:spacing w:after="0" w:line="256" w:lineRule="auto"/>
        <w:rPr>
          <w:sz w:val="20"/>
          <w:szCs w:val="20"/>
          <w:color w:val="auto"/>
        </w:rPr>
      </w:pPr>
      <w:r>
        <w:rPr>
          <w:rFonts w:ascii="Arial" w:cs="Arial" w:eastAsia="Arial" w:hAnsi="Arial"/>
          <w:sz w:val="18"/>
          <w:szCs w:val="18"/>
          <w:b w:val="1"/>
          <w:bCs w:val="1"/>
          <w:color w:val="auto"/>
        </w:rPr>
        <w:t>8.4 Voting and Dividend Rights</w:t>
      </w:r>
      <w:r>
        <w:rPr>
          <w:rFonts w:ascii="Arial" w:cs="Arial" w:eastAsia="Arial" w:hAnsi="Arial"/>
          <w:sz w:val="18"/>
          <w:szCs w:val="18"/>
          <w:color w:val="auto"/>
        </w:rPr>
        <w:t>. The holders of Restricted Stock Units shall have no voting rights. Prior to settlement or forfeiture,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awarded under the Plan may, at the Administrator’s discretion, provide for a right to dividend equivalents. Such right entitles the holder to be credited with an amount equal to all cash dividends paid on one Common Share while the Restricted Stock Unit is outstanding. Dividend equivalents may be converted into additional Restricted Stock Units. Settlement of dividend equivalents may be made in the form of cash, in the form of Common Shares, or in a combination of both. Prior to distribution, any dividend equivalents shall be subject to the same conditions and restrictions as the Restricted Stock Units to which they attach.</w:t>
      </w:r>
    </w:p>
    <w:p>
      <w:pPr>
        <w:sectPr>
          <w:pgSz w:w="11900" w:h="16838" w:orient="portrait"/>
          <w:cols w:equalWidth="0" w:num="1">
            <w:col w:w="11000"/>
          </w:cols>
          <w:pgMar w:left="440" w:top="269" w:right="459" w:bottom="1440" w:gutter="0" w:footer="0" w:header="0"/>
        </w:sectPr>
      </w:pPr>
    </w:p>
    <w:bookmarkStart w:id="491" w:name="page492"/>
    <w:bookmarkEnd w:id="491"/>
    <w:p>
      <w:pPr>
        <w:ind w:left="444"/>
        <w:spacing w:after="0"/>
        <w:tabs>
          <w:tab w:leader="none" w:pos="8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8.5</w:t>
      </w:r>
      <w:r>
        <w:rPr>
          <w:sz w:val="20"/>
          <w:szCs w:val="20"/>
          <w:color w:val="auto"/>
        </w:rPr>
        <w:tab/>
      </w:r>
      <w:r>
        <w:rPr>
          <w:rFonts w:ascii="Arial" w:cs="Arial" w:eastAsia="Arial" w:hAnsi="Arial"/>
          <w:sz w:val="16"/>
          <w:szCs w:val="16"/>
          <w:b w:val="1"/>
          <w:bCs w:val="1"/>
          <w:color w:val="auto"/>
        </w:rPr>
        <w:t>Form and Time of Settlement of Restricted Stock Units</w:t>
      </w:r>
      <w:r>
        <w:rPr>
          <w:rFonts w:ascii="Arial" w:cs="Arial" w:eastAsia="Arial" w:hAnsi="Arial"/>
          <w:sz w:val="16"/>
          <w:szCs w:val="16"/>
          <w:color w:val="auto"/>
        </w:rPr>
        <w:t>. Settlement of vested Restricted Stock Units may be made in the form of (a) cash,</w:t>
      </w:r>
    </w:p>
    <w:p>
      <w:pPr>
        <w:spacing w:after="0" w:line="27" w:lineRule="exact"/>
        <w:rPr>
          <w:sz w:val="20"/>
          <w:szCs w:val="20"/>
          <w:color w:val="auto"/>
        </w:rPr>
      </w:pPr>
    </w:p>
    <w:p>
      <w:pPr>
        <w:ind w:left="4" w:right="200" w:hanging="4"/>
        <w:spacing w:after="0" w:line="292" w:lineRule="auto"/>
        <w:tabs>
          <w:tab w:leader="none" w:pos="259" w:val="left"/>
        </w:tabs>
        <w:numPr>
          <w:ilvl w:val="0"/>
          <w:numId w:val="360"/>
        </w:numPr>
        <w:rPr>
          <w:rFonts w:ascii="Arial" w:cs="Arial" w:eastAsia="Arial" w:hAnsi="Arial"/>
          <w:sz w:val="16"/>
          <w:szCs w:val="16"/>
          <w:color w:val="auto"/>
        </w:rPr>
      </w:pPr>
      <w:r>
        <w:rPr>
          <w:rFonts w:ascii="Arial" w:cs="Arial" w:eastAsia="Arial" w:hAnsi="Arial"/>
          <w:sz w:val="16"/>
          <w:szCs w:val="16"/>
          <w:color w:val="auto"/>
        </w:rPr>
        <w:t>Common Shares or (c) any combination of both, as determined by the Administrator. The actual number of Restricted Stock Units eligible for settlement may be larger or smaller than the number included in the original Award, based on predetermined performance factors. Methods of converting Restricted Stock Units into cash may include (without limitation) a method based on the average value of Common Shares over a series of trading days. Vested Restricted Stock Units shall be settled in such manner and at such time(s) as specified in the Restricted Stock Unit Agreement. Until an Award of Restricted Stock Units is settled, the number of such Restricted Stock Units shall be subject to adjustment pursuant to Article 9.</w:t>
      </w:r>
    </w:p>
    <w:p>
      <w:pPr>
        <w:spacing w:after="0" w:line="158"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7"/>
          <w:szCs w:val="17"/>
          <w:b w:val="1"/>
          <w:bCs w:val="1"/>
          <w:color w:val="auto"/>
        </w:rPr>
        <w:t>8.6 Death of Recipient</w:t>
      </w:r>
      <w:r>
        <w:rPr>
          <w:rFonts w:ascii="Arial" w:cs="Arial" w:eastAsia="Arial" w:hAnsi="Arial"/>
          <w:sz w:val="17"/>
          <w:szCs w:val="17"/>
          <w:color w:val="auto"/>
        </w:rPr>
        <w:t>. Any Restricted Stock Units that become payable after the recipient’s death shall be distributed to the recipient’s</w:t>
      </w:r>
      <w:r>
        <w:rPr>
          <w:rFonts w:ascii="Arial" w:cs="Arial" w:eastAsia="Arial" w:hAnsi="Arial"/>
          <w:sz w:val="17"/>
          <w:szCs w:val="17"/>
          <w:b w:val="1"/>
          <w:bCs w:val="1"/>
          <w:color w:val="auto"/>
        </w:rPr>
        <w:t xml:space="preserve"> </w:t>
      </w:r>
      <w:r>
        <w:rPr>
          <w:rFonts w:ascii="Arial" w:cs="Arial" w:eastAsia="Arial" w:hAnsi="Arial"/>
          <w:sz w:val="17"/>
          <w:szCs w:val="17"/>
          <w:color w:val="auto"/>
        </w:rPr>
        <w:t>beneficiary or beneficiaries. Each recipient of Restricted Stock Units under the Plan may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Restricted Stock Units that become payable after the recipient’s death shall be distributed to the recipient’s estate.</w:t>
      </w:r>
    </w:p>
    <w:p>
      <w:pPr>
        <w:spacing w:after="0" w:line="168" w:lineRule="exact"/>
        <w:rPr>
          <w:sz w:val="20"/>
          <w:szCs w:val="20"/>
          <w:color w:val="auto"/>
        </w:rPr>
      </w:pPr>
    </w:p>
    <w:p>
      <w:pPr>
        <w:ind w:left="4" w:right="100" w:firstLine="440"/>
        <w:spacing w:after="0" w:line="258" w:lineRule="auto"/>
        <w:rPr>
          <w:sz w:val="20"/>
          <w:szCs w:val="20"/>
          <w:color w:val="auto"/>
        </w:rPr>
      </w:pPr>
      <w:r>
        <w:rPr>
          <w:rFonts w:ascii="Arial" w:cs="Arial" w:eastAsia="Arial" w:hAnsi="Arial"/>
          <w:sz w:val="18"/>
          <w:szCs w:val="18"/>
          <w:b w:val="1"/>
          <w:bCs w:val="1"/>
          <w:color w:val="auto"/>
        </w:rPr>
        <w:t>8.7 Modification or Assumption of Restricted Stock Units</w:t>
      </w:r>
      <w:r>
        <w:rPr>
          <w:rFonts w:ascii="Arial" w:cs="Arial" w:eastAsia="Arial" w:hAnsi="Arial"/>
          <w:sz w:val="18"/>
          <w:szCs w:val="18"/>
          <w:color w:val="auto"/>
        </w:rPr>
        <w:t>. Within the limitations of the Plan, the Administrator may modify or assume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restricted stock units or may accept the cancellation of outstanding restricted stock units (whether granted by the Company or by another issuer) in return for the grant of new Restricted Stock Units for the same or a different number of shares or in return for the grant of a different type of Award. The foregoing notwithstanding, no modification of a Restricted Stock Unit shall, without the consent of the Participant, materially impair his or her rights or obligations under such Restricted Stock Unit.</w:t>
      </w:r>
    </w:p>
    <w:p>
      <w:pPr>
        <w:spacing w:after="0" w:line="183" w:lineRule="exact"/>
        <w:rPr>
          <w:sz w:val="20"/>
          <w:szCs w:val="20"/>
          <w:color w:val="auto"/>
        </w:rPr>
      </w:pPr>
    </w:p>
    <w:p>
      <w:pPr>
        <w:jc w:val="both"/>
        <w:ind w:left="4" w:right="20" w:firstLine="440"/>
        <w:spacing w:after="0" w:line="266" w:lineRule="auto"/>
        <w:rPr>
          <w:sz w:val="20"/>
          <w:szCs w:val="20"/>
          <w:color w:val="auto"/>
        </w:rPr>
      </w:pPr>
      <w:r>
        <w:rPr>
          <w:rFonts w:ascii="Arial" w:cs="Arial" w:eastAsia="Arial" w:hAnsi="Arial"/>
          <w:sz w:val="18"/>
          <w:szCs w:val="18"/>
          <w:b w:val="1"/>
          <w:bCs w:val="1"/>
          <w:color w:val="auto"/>
        </w:rPr>
        <w:t>8.8 Creditors’ Rights</w:t>
      </w:r>
      <w:r>
        <w:rPr>
          <w:rFonts w:ascii="Arial" w:cs="Arial" w:eastAsia="Arial" w:hAnsi="Arial"/>
          <w:sz w:val="18"/>
          <w:szCs w:val="18"/>
          <w:color w:val="auto"/>
        </w:rPr>
        <w:t>. A holder of Restricted Stock Units shall have no rights other than those of a general creditor of the Company.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represent an unfunded and unsecured obligation of the Company, subject to the terms and conditions of the applicable Restricted Stock Unit Agreement.</w:t>
      </w:r>
    </w:p>
    <w:p>
      <w:pPr>
        <w:spacing w:after="0" w:line="284" w:lineRule="exact"/>
        <w:rPr>
          <w:sz w:val="20"/>
          <w:szCs w:val="20"/>
          <w:color w:val="auto"/>
        </w:rPr>
      </w:pPr>
    </w:p>
    <w:p>
      <w:pPr>
        <w:ind w:left="4"/>
        <w:spacing w:after="0"/>
        <w:tabs>
          <w:tab w:leader="none" w:pos="1144"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7"/>
          <w:szCs w:val="17"/>
          <w:b w:val="1"/>
          <w:bCs w:val="1"/>
          <w:color w:val="auto"/>
        </w:rPr>
        <w:t>ADJUSTMENTS; DISSOLUTIONS AND LIQUIDATIONS; CORPORATE TRANSACTIONS</w:t>
      </w:r>
      <w:r>
        <w:rPr>
          <w:rFonts w:ascii="Arial" w:cs="Arial" w:eastAsia="Arial" w:hAnsi="Arial"/>
          <w:sz w:val="17"/>
          <w:szCs w:val="17"/>
          <w:color w:val="auto"/>
        </w:rPr>
        <w:t>.</w:t>
      </w:r>
    </w:p>
    <w:p>
      <w:pPr>
        <w:spacing w:after="0" w:line="117"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b w:val="1"/>
          <w:bCs w:val="1"/>
          <w:color w:val="auto"/>
        </w:rPr>
        <w:t>9.1 Adjustments</w:t>
      </w:r>
      <w:r>
        <w:rPr>
          <w:rFonts w:ascii="Arial" w:cs="Arial" w:eastAsia="Arial" w:hAnsi="Arial"/>
          <w:sz w:val="18"/>
          <w:szCs w:val="18"/>
          <w:color w:val="auto"/>
        </w:rPr>
        <w:t>. In the event of a subdivision of the outstanding Common Shares, a declaration of a dividend payable in Common Shares, a</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or consolidation of the outstanding Common Shares (by reclassification or otherwise) into a lesser number of Common Shares or any other increase or decrease in the number of issued Common Shares effected without receipt of consideration by the Company, proportionate adjustments shall be made to the following:</w:t>
      </w:r>
    </w:p>
    <w:p>
      <w:pPr>
        <w:spacing w:after="0" w:line="184" w:lineRule="exact"/>
        <w:rPr>
          <w:sz w:val="20"/>
          <w:szCs w:val="20"/>
          <w:color w:val="auto"/>
        </w:rPr>
      </w:pPr>
    </w:p>
    <w:p>
      <w:pPr>
        <w:ind w:left="1364" w:hanging="373"/>
        <w:spacing w:after="0"/>
        <w:tabs>
          <w:tab w:leader="none" w:pos="1364"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number and kind of shares available for issuance under Article 3, including the numerical share limits in Articles 3.1 and 3.5;</w:t>
      </w:r>
    </w:p>
    <w:p>
      <w:pPr>
        <w:spacing w:after="0" w:line="248" w:lineRule="exact"/>
        <w:rPr>
          <w:rFonts w:ascii="Arial" w:cs="Arial" w:eastAsia="Arial" w:hAnsi="Arial"/>
          <w:sz w:val="16"/>
          <w:szCs w:val="16"/>
          <w:color w:val="auto"/>
        </w:rPr>
      </w:pPr>
    </w:p>
    <w:p>
      <w:pPr>
        <w:ind w:left="1384" w:hanging="393"/>
        <w:spacing w:after="0"/>
        <w:tabs>
          <w:tab w:leader="none" w:pos="1384"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number and kind of shares covered by each outstanding Option, SAR, and Restricted Stock Unit; and/or</w:t>
      </w:r>
    </w:p>
    <w:p>
      <w:pPr>
        <w:sectPr>
          <w:pgSz w:w="11900" w:h="16838" w:orient="portrait"/>
          <w:cols w:equalWidth="0" w:num="1">
            <w:col w:w="10984"/>
          </w:cols>
          <w:pgMar w:left="436" w:top="269" w:right="479" w:bottom="1440" w:gutter="0" w:footer="0" w:header="0"/>
        </w:sectPr>
      </w:pPr>
    </w:p>
    <w:bookmarkStart w:id="492" w:name="page493"/>
    <w:bookmarkEnd w:id="492"/>
    <w:p>
      <w:pPr>
        <w:ind w:left="98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sz w:val="20"/>
          <w:szCs w:val="20"/>
          <w:color w:val="auto"/>
        </w:rPr>
        <w:tab/>
      </w:r>
      <w:r>
        <w:rPr>
          <w:rFonts w:ascii="Arial" w:cs="Arial" w:eastAsia="Arial" w:hAnsi="Arial"/>
          <w:sz w:val="16"/>
          <w:szCs w:val="16"/>
          <w:color w:val="auto"/>
        </w:rPr>
        <w:t>The Exercise Price applicable to each outstanding Option and SAR, and the repurchase price, if any, applicable to Restricted Shares.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event of a declaration of an extraordinary dividend payable in a form other than Common Shares in an amount that has a material effect on the price of Common Shares, a recapitalization, a spin-off or a similar occurrence, the Administrator may make such adjustments as it, in its sole discretion, deems appropriate to the foregoing. Any adjustment in the number of shares subject to an Award under this Article 9.1 shall be rounded down to the nearest whole share, although the Administrator in its sole discretion may make a cash payment in lieu of a fractional share. Except as provided in this Article 9, a Participant shall have no rights by reason of any issuance by the Company of stock of any class or securities convertible into stock of any class, any subdivision or consolidation of shares of stock of any class, the payment of any stock dividend or any other increase or decrease in the number of shares of stock of any class.</w:t>
      </w:r>
    </w:p>
    <w:p>
      <w:pPr>
        <w:spacing w:after="0" w:line="191"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9.2 Dissolution or Liquidation</w:t>
      </w:r>
      <w:r>
        <w:rPr>
          <w:rFonts w:ascii="Arial" w:cs="Arial" w:eastAsia="Arial" w:hAnsi="Arial"/>
          <w:sz w:val="18"/>
          <w:szCs w:val="18"/>
          <w:color w:val="auto"/>
        </w:rPr>
        <w:t>. To the extent not previously exercised or settled, Options, SARs and Restricted Stock Units shall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prior to the dissolution or liquidation of the Company.</w:t>
      </w:r>
    </w:p>
    <w:p>
      <w:pPr>
        <w:spacing w:after="0" w:line="162"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b w:val="1"/>
          <w:bCs w:val="1"/>
          <w:color w:val="auto"/>
        </w:rPr>
        <w:t>9.3 Corporate Transactions</w:t>
      </w:r>
      <w:r>
        <w:rPr>
          <w:rFonts w:ascii="Arial" w:cs="Arial" w:eastAsia="Arial" w:hAnsi="Arial"/>
          <w:sz w:val="18"/>
          <w:szCs w:val="18"/>
          <w:color w:val="auto"/>
        </w:rPr>
        <w:t>. In the event that the Company is a party to a merger, consolidation, or a Change in Control (other than one</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Article 14.6(d)), all Common Shares acquired under the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Administrator, with such determination having final and binding effect on all parties), which agreement or determination need not treat all Awards (or portions thereof) in an identical manner. Unless an Award Agreement provides otherwise, the treatment specified in the transaction agreement or by the Administrator may include (without limitation) one or more of the following with respect to each outstanding Award:</w:t>
      </w:r>
    </w:p>
    <w:p>
      <w:pPr>
        <w:spacing w:after="0" w:line="85" w:lineRule="exact"/>
        <w:rPr>
          <w:sz w:val="20"/>
          <w:szCs w:val="20"/>
          <w:color w:val="auto"/>
        </w:rPr>
      </w:pPr>
    </w:p>
    <w:p>
      <w:pPr>
        <w:ind w:left="1240" w:hanging="381"/>
        <w:spacing w:after="0"/>
        <w:tabs>
          <w:tab w:leader="none" w:pos="124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continuation of such outstanding Award by the Company (if the Company is the surviving entity);</w:t>
      </w:r>
    </w:p>
    <w:p>
      <w:pPr>
        <w:spacing w:after="0" w:line="117" w:lineRule="exact"/>
        <w:rPr>
          <w:rFonts w:ascii="Arial" w:cs="Arial" w:eastAsia="Arial" w:hAnsi="Arial"/>
          <w:sz w:val="18"/>
          <w:szCs w:val="18"/>
          <w:color w:val="auto"/>
        </w:rPr>
      </w:pPr>
    </w:p>
    <w:p>
      <w:pPr>
        <w:ind w:left="440" w:right="220" w:firstLine="419"/>
        <w:spacing w:after="0" w:line="277" w:lineRule="auto"/>
        <w:tabs>
          <w:tab w:leader="none" w:pos="124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assumption of such outstanding Award by the surviving entity or its parent, provided that the assumption of an Option or a SAR shall comply with applicable tax requirements;</w:t>
      </w:r>
    </w:p>
    <w:p>
      <w:pPr>
        <w:spacing w:after="0" w:line="62" w:lineRule="exact"/>
        <w:rPr>
          <w:rFonts w:ascii="Arial" w:cs="Arial" w:eastAsia="Arial" w:hAnsi="Arial"/>
          <w:sz w:val="18"/>
          <w:szCs w:val="18"/>
          <w:color w:val="auto"/>
        </w:rPr>
      </w:pPr>
    </w:p>
    <w:p>
      <w:pPr>
        <w:jc w:val="both"/>
        <w:ind w:left="440" w:right="160" w:firstLine="419"/>
        <w:spacing w:after="0" w:line="263" w:lineRule="auto"/>
        <w:tabs>
          <w:tab w:leader="none" w:pos="123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substitution by the surviving entity or its parent of an equivalent award for such outstanding Award (including, but not limited to, an award to acquire the same consideration paid to the holders of Common Shares in the transaction), provided that the substitution of an Option or a SAR shall comply with applicable tax requirements;</w:t>
      </w:r>
    </w:p>
    <w:p>
      <w:pPr>
        <w:spacing w:after="0" w:line="75" w:lineRule="exact"/>
        <w:rPr>
          <w:rFonts w:ascii="Arial" w:cs="Arial" w:eastAsia="Arial" w:hAnsi="Arial"/>
          <w:sz w:val="18"/>
          <w:szCs w:val="18"/>
          <w:color w:val="auto"/>
        </w:rPr>
      </w:pPr>
    </w:p>
    <w:p>
      <w:pPr>
        <w:ind w:left="440" w:right="200" w:firstLine="419"/>
        <w:spacing w:after="0" w:line="296" w:lineRule="auto"/>
        <w:tabs>
          <w:tab w:leader="none" w:pos="1253" w:val="left"/>
        </w:tabs>
        <w:numPr>
          <w:ilvl w:val="0"/>
          <w:numId w:val="362"/>
        </w:numPr>
        <w:rPr>
          <w:rFonts w:ascii="Arial" w:cs="Arial" w:eastAsia="Arial" w:hAnsi="Arial"/>
          <w:sz w:val="16"/>
          <w:szCs w:val="16"/>
          <w:color w:val="auto"/>
        </w:rPr>
      </w:pPr>
      <w:r>
        <w:rPr>
          <w:rFonts w:ascii="Arial" w:cs="Arial" w:eastAsia="Arial" w:hAnsi="Arial"/>
          <w:sz w:val="16"/>
          <w:szCs w:val="16"/>
          <w:color w:val="auto"/>
        </w:rPr>
        <w:t>In the case of an Option or SAR, the cancellation of such Award without payment of any consideration. An Optionee shall be able to exercise his or her outstanding Option or SAR, to the extent such Option or SAR is then vested or become vested as of the effective time of the transaction, during a period of not less than five full business days preceding the closing date of the transaction, unless (i) a shorter period is required to permit a timely closing of the transaction and (ii) such shorter period still offers the Optionees a reasonable opportunity to exercise such Option or SAR. Any exercise of such Option or SAR during such period may be contingent on the closing of the transaction;</w:t>
      </w:r>
    </w:p>
    <w:p>
      <w:pPr>
        <w:sectPr>
          <w:pgSz w:w="11900" w:h="16838" w:orient="portrait"/>
          <w:cols w:equalWidth="0" w:num="1">
            <w:col w:w="11000"/>
          </w:cols>
          <w:pgMar w:left="440" w:top="273" w:right="459" w:bottom="1440" w:gutter="0" w:footer="0" w:header="0"/>
        </w:sectPr>
      </w:pPr>
    </w:p>
    <w:bookmarkStart w:id="493" w:name="page494"/>
    <w:bookmarkEnd w:id="493"/>
    <w:p>
      <w:pPr>
        <w:ind w:left="440" w:right="80" w:firstLine="419"/>
        <w:spacing w:after="0" w:line="269" w:lineRule="auto"/>
        <w:tabs>
          <w:tab w:leader="none" w:pos="1239" w:val="left"/>
        </w:tabs>
        <w:numPr>
          <w:ilvl w:val="0"/>
          <w:numId w:val="3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cancellation of such Award and a payment to the Participant with respect to each share subject to the portion of the Award that is vested or becomes vested as of the effective time of the transaction equal to the excess of (A) the value, as determined by the Administrator in its absolute discretion, of the property (including cash) received by the holder of a Common Share as a result of the transaction, over (if applicable) (B) the per-share Exercise Price of such Award (such excess, if any, the “</w:t>
      </w:r>
      <w:r>
        <w:rPr>
          <w:rFonts w:ascii="Arial" w:cs="Arial" w:eastAsia="Arial" w:hAnsi="Arial"/>
          <w:sz w:val="17"/>
          <w:szCs w:val="17"/>
          <w:b w:val="1"/>
          <w:bCs w:val="1"/>
          <w:color w:val="auto"/>
        </w:rPr>
        <w:t>Spread</w:t>
      </w:r>
      <w:r>
        <w:rPr>
          <w:rFonts w:ascii="Arial" w:cs="Arial" w:eastAsia="Arial" w:hAnsi="Arial"/>
          <w:sz w:val="17"/>
          <w:szCs w:val="17"/>
          <w:color w:val="auto"/>
        </w:rPr>
        <w:t>”). Such payment shall be made in the form of cash, cash equivalents, or securities of the surviving entity or its parent having a value equal to the Spread. In addition, any escrow, holdback, earn-out or similar provisions in the transaction agreement may apply to such payment to the same extent and in the same manner as such provisions apply to the holders of Common Shares. If the Spread applicable to an Award (whether or not vested) is zero or a negative number, then the Award may be cancelled without making a payment to the Participant. In the event that an Award is subject to Code Section 409A, the payment described in this clause (e) shall be made on the settlement date specified in the applicable Award Agreement, provided that settlement may be accelerated in accordance with Treasury Regulation Section 1.409A-3(j)(4); or</w:t>
      </w:r>
    </w:p>
    <w:p>
      <w:pPr>
        <w:spacing w:after="0" w:line="77" w:lineRule="exact"/>
        <w:rPr>
          <w:rFonts w:ascii="Arial" w:cs="Arial" w:eastAsia="Arial" w:hAnsi="Arial"/>
          <w:sz w:val="17"/>
          <w:szCs w:val="17"/>
          <w:color w:val="auto"/>
        </w:rPr>
      </w:pPr>
    </w:p>
    <w:p>
      <w:pPr>
        <w:jc w:val="both"/>
        <w:ind w:left="440" w:right="480" w:firstLine="419"/>
        <w:spacing w:after="0" w:line="263" w:lineRule="auto"/>
        <w:tabs>
          <w:tab w:leader="none" w:pos="1219"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assignment of any reacquisition or repurchase rights held by the Company in respect of an Award of Restricted Shares to the surviving entity or its parent, with corresponding proportionate adjustments made to the price per share to be paid upon exercise of any such reacquisition or repurchase rights.</w:t>
      </w:r>
    </w:p>
    <w:p>
      <w:pPr>
        <w:spacing w:after="0" w:line="18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Unless an Award Agreement provides otherwise, each outstanding Award held by a Participant who remains a Service Provider as of the effective time of a merger, consolidation or Change in Control (other than one described in Article 14.6(d)) (a “</w:t>
      </w:r>
      <w:r>
        <w:rPr>
          <w:rFonts w:ascii="Arial" w:cs="Arial" w:eastAsia="Arial" w:hAnsi="Arial"/>
          <w:sz w:val="16"/>
          <w:szCs w:val="16"/>
          <w:b w:val="1"/>
          <w:bCs w:val="1"/>
          <w:color w:val="auto"/>
        </w:rPr>
        <w:t>Current Participant</w:t>
      </w:r>
      <w:r>
        <w:rPr>
          <w:rFonts w:ascii="Arial" w:cs="Arial" w:eastAsia="Arial" w:hAnsi="Arial"/>
          <w:sz w:val="16"/>
          <w:szCs w:val="16"/>
          <w:color w:val="auto"/>
        </w:rPr>
        <w:t xml:space="preserve">”) shall become fully vested and, if applicable, exercisable immediately prior to the effective time of the transaction and, in the case of an Award subject to performance-based vesting conditions, such performance-based vesting conditions shall be deemed achieved at 100% of target levels. However, the prior sentence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apply, and an outstanding Award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become vested and, if applicable, exercisable, if and to the extent the Award is continued, assumed or substituted as provided for in clauses (a), (b) or (c) above. In addition, the prior two sentences shall not apply to an Award held by a Participant who is not a Current Participant unless an Award Agreement provides otherwise or unless the Company and the acquirer agree otherwise.</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avoidance of doubt, the Administrator shall have the discretion, exercisable either at the time an Award is granted or at any time while the Award remains outstanding, to provide for the acceleration of vesting upon the occurrence of a Change in Control, whether or not the Award is to be assumed or replaced in the transaction, or in connection with a termination of the Participant’s service following a transaction.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Any action taken under this Article 9.3 shall either preserve an Award’s status as exempt from Code Section 409A or comply with Code Section 409A.</w:t>
      </w:r>
    </w:p>
    <w:p>
      <w:pPr>
        <w:sectPr>
          <w:pgSz w:w="11900" w:h="16838" w:orient="portrait"/>
          <w:cols w:equalWidth="0" w:num="1">
            <w:col w:w="11020"/>
          </w:cols>
          <w:pgMar w:left="440" w:top="273" w:right="439" w:bottom="1440" w:gutter="0" w:footer="0" w:header="0"/>
        </w:sectPr>
      </w:pPr>
    </w:p>
    <w:bookmarkStart w:id="494" w:name="page495"/>
    <w:bookmarkEnd w:id="494"/>
    <w:p>
      <w:pPr>
        <w:ind w:left="4"/>
        <w:spacing w:after="0"/>
        <w:tabs>
          <w:tab w:leader="none" w:pos="124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10.</w:t>
      </w:r>
      <w:r>
        <w:rPr>
          <w:sz w:val="20"/>
          <w:szCs w:val="20"/>
          <w:color w:val="auto"/>
        </w:rPr>
        <w:tab/>
      </w:r>
      <w:r>
        <w:rPr>
          <w:rFonts w:ascii="Arial" w:cs="Arial" w:eastAsia="Arial" w:hAnsi="Arial"/>
          <w:sz w:val="17"/>
          <w:szCs w:val="17"/>
          <w:b w:val="1"/>
          <w:bCs w:val="1"/>
          <w:color w:val="auto"/>
        </w:rPr>
        <w:t>OTHER AWARDS</w:t>
      </w:r>
      <w:r>
        <w:rPr>
          <w:rFonts w:ascii="Arial" w:cs="Arial" w:eastAsia="Arial" w:hAnsi="Arial"/>
          <w:sz w:val="17"/>
          <w:szCs w:val="17"/>
          <w:color w:val="auto"/>
        </w:rPr>
        <w:t>.</w:t>
      </w:r>
    </w:p>
    <w:p>
      <w:pPr>
        <w:spacing w:after="0" w:line="121" w:lineRule="exact"/>
        <w:rPr>
          <w:sz w:val="20"/>
          <w:szCs w:val="20"/>
          <w:color w:val="auto"/>
        </w:rPr>
      </w:pPr>
    </w:p>
    <w:p>
      <w:pPr>
        <w:ind w:left="4" w:right="200" w:firstLine="440"/>
        <w:spacing w:after="0" w:line="301" w:lineRule="auto"/>
        <w:rPr>
          <w:sz w:val="20"/>
          <w:szCs w:val="20"/>
          <w:color w:val="auto"/>
        </w:rPr>
      </w:pPr>
      <w:r>
        <w:rPr>
          <w:rFonts w:ascii="Arial" w:cs="Arial" w:eastAsia="Arial" w:hAnsi="Arial"/>
          <w:sz w:val="16"/>
          <w:szCs w:val="16"/>
          <w:color w:val="auto"/>
        </w:rPr>
        <w:t>Subject in all events to the limitations under Article 3 above as to the number of Common Shares available for issuance under this Plan, the Company may grant other forms of Awards not specifically described herein and may grant awards under other plans or programs, where such awards are settled in the form of Common Shares issued under this Plan. Such Common Shares shall be treated for all purposes under the Plan like Common Shares issued in settlement of Restricted Stock Units and shall, when issued, reduce the number of Common Shares available under Article 3.</w:t>
      </w:r>
    </w:p>
    <w:p>
      <w:pPr>
        <w:spacing w:after="0" w:line="261" w:lineRule="exact"/>
        <w:rPr>
          <w:sz w:val="20"/>
          <w:szCs w:val="20"/>
          <w:color w:val="auto"/>
        </w:rPr>
      </w:pPr>
    </w:p>
    <w:p>
      <w:pPr>
        <w:ind w:left="4"/>
        <w:spacing w:after="0"/>
        <w:tabs>
          <w:tab w:leader="none" w:pos="1224" w:val="left"/>
        </w:tabs>
        <w:rPr>
          <w:sz w:val="20"/>
          <w:szCs w:val="20"/>
          <w:color w:val="auto"/>
        </w:rPr>
      </w:pPr>
      <w:r>
        <w:rPr>
          <w:rFonts w:ascii="Arial" w:cs="Arial" w:eastAsia="Arial" w:hAnsi="Arial"/>
          <w:sz w:val="18"/>
          <w:szCs w:val="18"/>
          <w:b w:val="1"/>
          <w:bCs w:val="1"/>
          <w:color w:val="auto"/>
        </w:rPr>
        <w:t>ARTICLE 11.</w:t>
        <w:tab/>
        <w:t>LIMITATION ON RIGHTS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314" w:lineRule="auto"/>
        <w:rPr>
          <w:sz w:val="20"/>
          <w:szCs w:val="20"/>
          <w:color w:val="auto"/>
        </w:rPr>
      </w:pPr>
      <w:r>
        <w:rPr>
          <w:rFonts w:ascii="Arial" w:cs="Arial" w:eastAsia="Arial" w:hAnsi="Arial"/>
          <w:sz w:val="16"/>
          <w:szCs w:val="16"/>
          <w:b w:val="1"/>
          <w:bCs w:val="1"/>
          <w:color w:val="auto"/>
        </w:rPr>
        <w:t>11.1 Retention Rights</w:t>
      </w:r>
      <w:r>
        <w:rPr>
          <w:rFonts w:ascii="Arial" w:cs="Arial" w:eastAsia="Arial" w:hAnsi="Arial"/>
          <w:sz w:val="16"/>
          <w:szCs w:val="16"/>
          <w:color w:val="auto"/>
        </w:rPr>
        <w:t>. Neither the Plan nor any Award granted under the Plan shall be deemed to give any individual a right to remain a</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Provider. The Company and its Parents, Subsidiaries and Affiliates reserve the right to terminate the Service of any Service Provider at any time, with or without cause, subject to applicable laws, the Company’s certificate of incorporation and by-laws and a written employment agreement (if any).</w:t>
      </w:r>
    </w:p>
    <w:p>
      <w:pPr>
        <w:spacing w:after="0" w:line="142" w:lineRule="exact"/>
        <w:rPr>
          <w:sz w:val="20"/>
          <w:szCs w:val="20"/>
          <w:color w:val="auto"/>
        </w:rPr>
      </w:pPr>
    </w:p>
    <w:p>
      <w:pPr>
        <w:ind w:left="4" w:right="40" w:firstLine="440"/>
        <w:spacing w:after="0" w:line="258" w:lineRule="auto"/>
        <w:rPr>
          <w:sz w:val="20"/>
          <w:szCs w:val="20"/>
          <w:color w:val="auto"/>
        </w:rPr>
      </w:pPr>
      <w:r>
        <w:rPr>
          <w:rFonts w:ascii="Arial" w:cs="Arial" w:eastAsia="Arial" w:hAnsi="Arial"/>
          <w:sz w:val="18"/>
          <w:szCs w:val="18"/>
          <w:b w:val="1"/>
          <w:bCs w:val="1"/>
          <w:color w:val="auto"/>
        </w:rPr>
        <w:t>11.2 Stockholders’ Rights</w:t>
      </w:r>
      <w:r>
        <w:rPr>
          <w:rFonts w:ascii="Arial" w:cs="Arial" w:eastAsia="Arial" w:hAnsi="Arial"/>
          <w:sz w:val="18"/>
          <w:szCs w:val="18"/>
          <w:color w:val="auto"/>
        </w:rPr>
        <w:t>. Except as set forth in Article 7.4 or 8.4 above, a Participant shall have no dividend rights, voting rights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as a stockholder with respect to any Common Shares covered by his or her Award prior to the time when a stock certificate for such Common Shares is issued or, if applicable, the time when he or she becomes entitled to receive such Common Shares by filing any required notice of exercise and paying any required Exercise Price. No adjustment shall be made for cash dividends or other rights for which the record date is prior to such time, except as expressly provided in the Plan.</w:t>
      </w:r>
    </w:p>
    <w:p>
      <w:pPr>
        <w:spacing w:after="0" w:line="183" w:lineRule="exact"/>
        <w:rPr>
          <w:sz w:val="20"/>
          <w:szCs w:val="20"/>
          <w:color w:val="auto"/>
        </w:rPr>
      </w:pPr>
    </w:p>
    <w:p>
      <w:pPr>
        <w:ind w:left="4" w:firstLine="440"/>
        <w:spacing w:after="0" w:line="292" w:lineRule="auto"/>
        <w:rPr>
          <w:sz w:val="20"/>
          <w:szCs w:val="20"/>
          <w:color w:val="auto"/>
        </w:rPr>
      </w:pPr>
      <w:r>
        <w:rPr>
          <w:rFonts w:ascii="Arial" w:cs="Arial" w:eastAsia="Arial" w:hAnsi="Arial"/>
          <w:sz w:val="16"/>
          <w:szCs w:val="16"/>
          <w:b w:val="1"/>
          <w:bCs w:val="1"/>
          <w:color w:val="auto"/>
        </w:rPr>
        <w:t>11.3 Regulatory Requirements</w:t>
      </w:r>
      <w:r>
        <w:rPr>
          <w:rFonts w:ascii="Arial" w:cs="Arial" w:eastAsia="Arial" w:hAnsi="Arial"/>
          <w:sz w:val="16"/>
          <w:szCs w:val="16"/>
          <w:color w:val="auto"/>
        </w:rPr>
        <w:t>. Any other provision of the Plan notwithstanding, the obligation of the Company to issue Common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shall be subject to all applicable laws, rules and regulations and such approval by any regulatory body as may be required. The Company reserves the right to restrict, in whole or in part, the delivery of Common Shares pursuant to any Award prior to the satisfaction of all legal requirements relating to the issuance of such Common Shares, to their registration, qualification or listing or to an exemption from registration, qualification or listing. The inability of the Company to obtain authority from any regulatory body having jurisdiction, which authority is deemed necessary by the Company’s counsel to be necessary to the lawful issuance and sale of any Common Shares hereunder, will relieve the Company of any liability in respect of the failure to issue or sell such Common Shares as to which such requisite authority will not have been obtained.</w:t>
      </w:r>
    </w:p>
    <w:p>
      <w:pPr>
        <w:spacing w:after="0" w:line="161" w:lineRule="exact"/>
        <w:rPr>
          <w:sz w:val="20"/>
          <w:szCs w:val="20"/>
          <w:color w:val="auto"/>
        </w:rPr>
      </w:pPr>
    </w:p>
    <w:p>
      <w:pPr>
        <w:ind w:left="4" w:right="340" w:firstLine="440"/>
        <w:spacing w:after="0" w:line="293" w:lineRule="auto"/>
        <w:rPr>
          <w:sz w:val="20"/>
          <w:szCs w:val="20"/>
          <w:color w:val="auto"/>
        </w:rPr>
      </w:pPr>
      <w:r>
        <w:rPr>
          <w:rFonts w:ascii="Arial" w:cs="Arial" w:eastAsia="Arial" w:hAnsi="Arial"/>
          <w:sz w:val="16"/>
          <w:szCs w:val="16"/>
          <w:b w:val="1"/>
          <w:bCs w:val="1"/>
          <w:color w:val="auto"/>
        </w:rPr>
        <w:t xml:space="preserve">11.4 Transferability of Awards. </w:t>
      </w:r>
      <w:r>
        <w:rPr>
          <w:rFonts w:ascii="Arial" w:cs="Arial" w:eastAsia="Arial" w:hAnsi="Arial"/>
          <w:sz w:val="16"/>
          <w:szCs w:val="16"/>
          <w:color w:val="auto"/>
        </w:rPr>
        <w:t>The Administrator may, in its sole discretion, permit transfer of an Award in a manner consistent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Unless otherwise determined by the Administrator, Awards shall be transferable by a Participant only by (a) beneficiary designation,</w:t>
      </w:r>
    </w:p>
    <w:p>
      <w:pPr>
        <w:spacing w:after="0" w:line="1" w:lineRule="exact"/>
        <w:rPr>
          <w:sz w:val="20"/>
          <w:szCs w:val="20"/>
          <w:color w:val="auto"/>
        </w:rPr>
      </w:pPr>
    </w:p>
    <w:p>
      <w:pPr>
        <w:ind w:left="4" w:right="240" w:hanging="4"/>
        <w:spacing w:after="0" w:line="323" w:lineRule="auto"/>
        <w:tabs>
          <w:tab w:leader="none" w:pos="259" w:val="left"/>
        </w:tabs>
        <w:numPr>
          <w:ilvl w:val="0"/>
          <w:numId w:val="364"/>
        </w:numPr>
        <w:rPr>
          <w:rFonts w:ascii="Arial" w:cs="Arial" w:eastAsia="Arial" w:hAnsi="Arial"/>
          <w:sz w:val="16"/>
          <w:szCs w:val="16"/>
          <w:color w:val="auto"/>
        </w:rPr>
      </w:pPr>
      <w:r>
        <w:rPr>
          <w:rFonts w:ascii="Arial" w:cs="Arial" w:eastAsia="Arial" w:hAnsi="Arial"/>
          <w:sz w:val="16"/>
          <w:szCs w:val="16"/>
          <w:color w:val="auto"/>
        </w:rPr>
        <w:t>a will or (c) the laws of descent and distribution; provided that, in any event, an ISO may only be transferred by will or by the laws of descent and distribution and may be exercised during the lifetime of the Optionee only by the Optionee or by the Optionee’s guardian or legal representative.</w:t>
      </w:r>
    </w:p>
    <w:p>
      <w:pPr>
        <w:spacing w:after="0" w:line="134" w:lineRule="exact"/>
        <w:rPr>
          <w:sz w:val="20"/>
          <w:szCs w:val="20"/>
          <w:color w:val="auto"/>
        </w:rPr>
      </w:pPr>
    </w:p>
    <w:p>
      <w:pPr>
        <w:ind w:left="4" w:right="300" w:firstLine="440"/>
        <w:spacing w:after="0" w:line="312" w:lineRule="auto"/>
        <w:rPr>
          <w:sz w:val="20"/>
          <w:szCs w:val="20"/>
          <w:color w:val="auto"/>
        </w:rPr>
      </w:pPr>
      <w:r>
        <w:rPr>
          <w:rFonts w:ascii="Arial" w:cs="Arial" w:eastAsia="Arial" w:hAnsi="Arial"/>
          <w:sz w:val="17"/>
          <w:szCs w:val="17"/>
          <w:b w:val="1"/>
          <w:bCs w:val="1"/>
          <w:color w:val="auto"/>
        </w:rPr>
        <w:t xml:space="preserve">11.5 Recoupment Policy. </w:t>
      </w:r>
      <w:r>
        <w:rPr>
          <w:rFonts w:ascii="Arial" w:cs="Arial" w:eastAsia="Arial" w:hAnsi="Arial"/>
          <w:sz w:val="17"/>
          <w:szCs w:val="17"/>
          <w:color w:val="auto"/>
        </w:rPr>
        <w:t>All Awards granted under the Plan, all amounts paid under the Plan and all Common Shares issued under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subject to recoupment, clawback or recovery by the Company in accordance with applicable law and with Company policy</w:t>
      </w:r>
    </w:p>
    <w:p>
      <w:pPr>
        <w:sectPr>
          <w:pgSz w:w="11900" w:h="16838" w:orient="portrait"/>
          <w:cols w:equalWidth="0" w:num="1">
            <w:col w:w="11004"/>
          </w:cols>
          <w:pgMar w:left="436" w:top="269" w:right="459" w:bottom="1440" w:gutter="0" w:footer="0" w:header="0"/>
        </w:sectPr>
      </w:pPr>
    </w:p>
    <w:bookmarkStart w:id="495" w:name="page496"/>
    <w:bookmarkEnd w:id="495"/>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(whenever adopted) regarding same, whether or not such policy is intended to satisfy the requirements of the Dodd-Frank Wall Street Reform and Consumer Protection Act, the Sarbanes-Oxley Act, or other applicable law, as well as any implementing regulations and/or listing standards thereunder.</w:t>
      </w:r>
    </w:p>
    <w:p>
      <w:pPr>
        <w:spacing w:after="0" w:line="120" w:lineRule="exact"/>
        <w:rPr>
          <w:sz w:val="20"/>
          <w:szCs w:val="20"/>
          <w:color w:val="auto"/>
        </w:rPr>
      </w:pPr>
    </w:p>
    <w:p>
      <w:pPr>
        <w:ind w:right="100" w:firstLine="440"/>
        <w:spacing w:after="0" w:line="294" w:lineRule="auto"/>
        <w:rPr>
          <w:sz w:val="20"/>
          <w:szCs w:val="20"/>
          <w:color w:val="auto"/>
        </w:rPr>
      </w:pPr>
      <w:r>
        <w:rPr>
          <w:rFonts w:ascii="Arial" w:cs="Arial" w:eastAsia="Arial" w:hAnsi="Arial"/>
          <w:sz w:val="16"/>
          <w:szCs w:val="16"/>
          <w:b w:val="1"/>
          <w:bCs w:val="1"/>
          <w:color w:val="auto"/>
        </w:rPr>
        <w:t>11.6 Other Conditions and Restrictions on Common Shares</w:t>
      </w:r>
      <w:r>
        <w:rPr>
          <w:rFonts w:ascii="Arial" w:cs="Arial" w:eastAsia="Arial" w:hAnsi="Arial"/>
          <w:sz w:val="16"/>
          <w:szCs w:val="16"/>
          <w:color w:val="auto"/>
        </w:rPr>
        <w:t>. Any Common Shares issued under the Plan shall be subject to such forfeiture</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rights of repurchase, rights of first refusal, other transfer restrictions and such other terms and conditions as the Administrator may determine. Such conditions and restrictions shall be set forth in the applicable Award Agreement and shall apply in addition to any restrictions that may apply to holders of Common Shares generally. In addition, Common Shares issued under the Plan shall be subject to such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w:t>
      </w:r>
    </w:p>
    <w:p>
      <w:pPr>
        <w:spacing w:after="0" w:line="26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7"/>
          <w:szCs w:val="17"/>
          <w:b w:val="1"/>
          <w:bCs w:val="1"/>
          <w:color w:val="auto"/>
        </w:rPr>
        <w:t>TAXES</w:t>
      </w:r>
      <w:r>
        <w:rPr>
          <w:rFonts w:ascii="Arial" w:cs="Arial" w:eastAsia="Arial" w:hAnsi="Arial"/>
          <w:sz w:val="17"/>
          <w:szCs w:val="17"/>
          <w:color w:val="auto"/>
        </w:rPr>
        <w:t>.</w:t>
      </w:r>
    </w:p>
    <w:p>
      <w:pPr>
        <w:spacing w:after="0" w:line="117" w:lineRule="exact"/>
        <w:rPr>
          <w:sz w:val="20"/>
          <w:szCs w:val="20"/>
          <w:color w:val="auto"/>
        </w:rPr>
      </w:pPr>
    </w:p>
    <w:p>
      <w:pPr>
        <w:jc w:val="both"/>
        <w:ind w:firstLine="440"/>
        <w:spacing w:after="0" w:line="314" w:lineRule="auto"/>
        <w:rPr>
          <w:sz w:val="20"/>
          <w:szCs w:val="20"/>
          <w:color w:val="auto"/>
        </w:rPr>
      </w:pPr>
      <w:r>
        <w:rPr>
          <w:rFonts w:ascii="Arial" w:cs="Arial" w:eastAsia="Arial" w:hAnsi="Arial"/>
          <w:sz w:val="16"/>
          <w:szCs w:val="16"/>
          <w:b w:val="1"/>
          <w:bCs w:val="1"/>
          <w:color w:val="auto"/>
        </w:rPr>
        <w:t>12.1 General</w:t>
      </w:r>
      <w:r>
        <w:rPr>
          <w:rFonts w:ascii="Arial" w:cs="Arial" w:eastAsia="Arial" w:hAnsi="Arial"/>
          <w:sz w:val="16"/>
          <w:szCs w:val="16"/>
          <w:color w:val="auto"/>
        </w:rPr>
        <w:t>. It is a condition to each Award under the Plan that a Participant or his or her successor shall make arrangements satisfactory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for the satisfaction of any federal, state, local or foreign withholding tax obligations that arise in connection with any Award granted under the Plan. The Company shall not be required to issue any Common Shares or make any cash payment under the Plan unless such obligations are satisfied.</w:t>
      </w:r>
    </w:p>
    <w:p>
      <w:pPr>
        <w:spacing w:after="0" w:line="142"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b w:val="1"/>
          <w:bCs w:val="1"/>
          <w:color w:val="auto"/>
        </w:rPr>
        <w:t>12.2 Share Withholding</w:t>
      </w:r>
      <w:r>
        <w:rPr>
          <w:rFonts w:ascii="Arial" w:cs="Arial" w:eastAsia="Arial" w:hAnsi="Arial"/>
          <w:sz w:val="18"/>
          <w:szCs w:val="18"/>
          <w:color w:val="auto"/>
        </w:rPr>
        <w:t>. To the extent that applicable law subjects a Participant to tax withholding obligations, the Administrator may permit</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Participant to satisfy all or part of such obligations by having the Company withhold all or a portion of any Common Shares that otherwise would be issued to him or her or by surrendering all or a portion of any Common Shares that he or she previously acquired. Such Common Shares shall be valued on the date when they are withheld or surrendered. Any payment of taxes by assigning Common Shares to the Company may be subject to restrictions including any restrictions required by SEC, accounting or other rules.</w:t>
      </w:r>
    </w:p>
    <w:p>
      <w:pPr>
        <w:spacing w:after="0" w:line="183"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12.3 Section 409A Matters. </w:t>
      </w:r>
      <w:r>
        <w:rPr>
          <w:rFonts w:ascii="Arial" w:cs="Arial" w:eastAsia="Arial" w:hAnsi="Arial"/>
          <w:sz w:val="16"/>
          <w:szCs w:val="16"/>
          <w:color w:val="auto"/>
        </w:rPr>
        <w:t>Except as otherwise expressly set forth in an Award Agreement, it is intended that Awards granted under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either be exempt from, or comply with, the requirements of Code Section 409A. To the extent an Award is subject to Code Section 409A (a “</w:t>
      </w:r>
      <w:r>
        <w:rPr>
          <w:rFonts w:ascii="Arial" w:cs="Arial" w:eastAsia="Arial" w:hAnsi="Arial"/>
          <w:sz w:val="16"/>
          <w:szCs w:val="16"/>
          <w:b w:val="1"/>
          <w:bCs w:val="1"/>
          <w:color w:val="auto"/>
        </w:rPr>
        <w:t>409A</w:t>
      </w:r>
      <w:r>
        <w:rPr>
          <w:rFonts w:ascii="Arial" w:cs="Arial" w:eastAsia="Arial" w:hAnsi="Arial"/>
          <w:sz w:val="16"/>
          <w:szCs w:val="16"/>
          <w:color w:val="auto"/>
        </w:rPr>
        <w:t xml:space="preserve"> </w:t>
      </w:r>
      <w:r>
        <w:rPr>
          <w:rFonts w:ascii="Arial" w:cs="Arial" w:eastAsia="Arial" w:hAnsi="Arial"/>
          <w:sz w:val="16"/>
          <w:szCs w:val="16"/>
          <w:b w:val="1"/>
          <w:bCs w:val="1"/>
          <w:color w:val="auto"/>
        </w:rPr>
        <w:t>Award</w:t>
      </w:r>
      <w:r>
        <w:rPr>
          <w:rFonts w:ascii="Arial" w:cs="Arial" w:eastAsia="Arial" w:hAnsi="Arial"/>
          <w:sz w:val="16"/>
          <w:szCs w:val="16"/>
          <w:color w:val="auto"/>
        </w:rPr>
        <w:t>”), the terms of the Plan, the Award and any written agreement governing the Award shall be interpreted to comply with the requirements of Code</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so that the Award is not subject to additional tax or interest under Code Section 409A, unless the Administrator expressly provides otherwise. A 409A Award shall be subject to such additional rules and requirements as specified by the Administrator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Code Section 409A(a)(1).</w:t>
      </w:r>
    </w:p>
    <w:p>
      <w:pPr>
        <w:sectPr>
          <w:pgSz w:w="11900" w:h="16838" w:orient="portrait"/>
          <w:cols w:equalWidth="0" w:num="1">
            <w:col w:w="11000"/>
          </w:cols>
          <w:pgMar w:left="440" w:top="273" w:right="459" w:bottom="1440" w:gutter="0" w:footer="0" w:header="0"/>
        </w:sectPr>
      </w:pPr>
    </w:p>
    <w:bookmarkStart w:id="496" w:name="page497"/>
    <w:bookmarkEnd w:id="496"/>
    <w:p>
      <w:pPr>
        <w:ind w:right="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12.4 Limitation on Liability</w:t>
      </w:r>
      <w:r>
        <w:rPr>
          <w:rFonts w:ascii="Arial" w:cs="Arial" w:eastAsia="Arial" w:hAnsi="Arial"/>
          <w:sz w:val="18"/>
          <w:szCs w:val="18"/>
          <w:color w:val="auto"/>
        </w:rPr>
        <w:t>. Neither the Company nor any person serving as Administrator shall have any liability to a Participant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an Award held by the Participant fails to achieve its intended characterization under applicable tax law.</w:t>
      </w:r>
    </w:p>
    <w:p>
      <w:pPr>
        <w:spacing w:after="0" w:line="27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ARTICLE 13.</w:t>
        <w:tab/>
        <w:t>FUTURE OF THE PLAN</w:t>
      </w:r>
      <w:r>
        <w:rPr>
          <w:rFonts w:ascii="Arial" w:cs="Arial" w:eastAsia="Arial" w:hAnsi="Arial"/>
          <w:sz w:val="18"/>
          <w:szCs w:val="18"/>
          <w:color w:val="auto"/>
        </w:rPr>
        <w:t>.</w:t>
      </w:r>
    </w:p>
    <w:p>
      <w:pPr>
        <w:spacing w:after="0" w:line="117" w:lineRule="exact"/>
        <w:rPr>
          <w:sz w:val="20"/>
          <w:szCs w:val="20"/>
          <w:color w:val="auto"/>
        </w:rPr>
      </w:pPr>
    </w:p>
    <w:p>
      <w:pPr>
        <w:ind w:right="160" w:firstLine="440"/>
        <w:spacing w:after="0" w:line="347" w:lineRule="auto"/>
        <w:rPr>
          <w:sz w:val="20"/>
          <w:szCs w:val="20"/>
          <w:color w:val="auto"/>
        </w:rPr>
      </w:pPr>
      <w:r>
        <w:rPr>
          <w:rFonts w:ascii="Arial" w:cs="Arial" w:eastAsia="Arial" w:hAnsi="Arial"/>
          <w:sz w:val="16"/>
          <w:szCs w:val="16"/>
          <w:b w:val="1"/>
          <w:bCs w:val="1"/>
          <w:color w:val="auto"/>
        </w:rPr>
        <w:t>13.1 Term of the Plan</w:t>
      </w:r>
      <w:r>
        <w:rPr>
          <w:rFonts w:ascii="Arial" w:cs="Arial" w:eastAsia="Arial" w:hAnsi="Arial"/>
          <w:sz w:val="16"/>
          <w:szCs w:val="16"/>
          <w:color w:val="auto"/>
        </w:rPr>
        <w:t>. The Plan, as set forth herein, shall become effective on the date of its adoption by the Board, subject to approval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stockholders under Article 13.3 below. The Plan shall terminate automatically 10 years after the date when the Board adopted the Plan.</w:t>
      </w:r>
    </w:p>
    <w:p>
      <w:pPr>
        <w:spacing w:after="0" w:line="11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13.2 Amendment or Termination</w:t>
      </w:r>
      <w:r>
        <w:rPr>
          <w:rFonts w:ascii="Arial" w:cs="Arial" w:eastAsia="Arial" w:hAnsi="Arial"/>
          <w:sz w:val="18"/>
          <w:szCs w:val="18"/>
          <w:color w:val="auto"/>
        </w:rPr>
        <w:t>. The Board may, at any time and for any reason, amend or terminate the Plan. No Awards shall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after the termination thereof. The termination of the Plan, or any amendment thereof, shall not affect any Award previously granted under the Plan.</w:t>
      </w:r>
    </w:p>
    <w:p>
      <w:pPr>
        <w:spacing w:after="0" w:line="176"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13.3 Stockholder Approval</w:t>
      </w:r>
      <w:r>
        <w:rPr>
          <w:rFonts w:ascii="Arial" w:cs="Arial" w:eastAsia="Arial" w:hAnsi="Arial"/>
          <w:sz w:val="18"/>
          <w:szCs w:val="18"/>
          <w:color w:val="auto"/>
        </w:rPr>
        <w:t>. To the extent required by applicable law, the Plan will be subject to the approval of the Company’s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12 months of its adoption date. An amendment of the Plan shall be subject to the approval of the Company’s stockholders only to the extent required by applicable laws, regulations or rules.</w:t>
      </w:r>
    </w:p>
    <w:p>
      <w:pPr>
        <w:spacing w:after="0" w:line="28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ARTICLE 14.</w:t>
        <w:tab/>
        <w:t>DEFINITIONS</w:t>
      </w:r>
      <w:r>
        <w:rPr>
          <w:rFonts w:ascii="Arial" w:cs="Arial" w:eastAsia="Arial" w:hAnsi="Arial"/>
          <w:sz w:val="18"/>
          <w:szCs w:val="18"/>
          <w:color w:val="auto"/>
        </w:rPr>
        <w:t>.</w:t>
      </w:r>
    </w:p>
    <w:p>
      <w:pPr>
        <w:spacing w:after="0" w:line="11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any Committee administering the Plan in accordance with Article 2.</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any entity other than a Subsidiary, if the Company and/or one or more Subsidiaries own not less than 50% of such entity.</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b w:val="1"/>
          <w:bCs w:val="1"/>
          <w:color w:val="auto"/>
        </w:rPr>
        <w:t>Award</w:t>
      </w:r>
      <w:r>
        <w:rPr>
          <w:rFonts w:ascii="Arial" w:cs="Arial" w:eastAsia="Arial" w:hAnsi="Arial"/>
          <w:sz w:val="18"/>
          <w:szCs w:val="18"/>
          <w:color w:val="auto"/>
        </w:rPr>
        <w:t>” means any award granted under the Plan, including as an Option, a SAR, a Restricted Share award, a Restricted Stock Unit award or another form of equity-based compensation award.</w:t>
      </w:r>
    </w:p>
    <w:p>
      <w:pPr>
        <w:spacing w:after="0" w:line="162"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color w:val="auto"/>
        </w:rPr>
        <w:t>14.4 “</w:t>
      </w:r>
      <w:r>
        <w:rPr>
          <w:rFonts w:ascii="Arial" w:cs="Arial" w:eastAsia="Arial" w:hAnsi="Arial"/>
          <w:sz w:val="18"/>
          <w:szCs w:val="18"/>
          <w:b w:val="1"/>
          <w:bCs w:val="1"/>
          <w:color w:val="auto"/>
        </w:rPr>
        <w:t>Award Agreement</w:t>
      </w:r>
      <w:r>
        <w:rPr>
          <w:rFonts w:ascii="Arial" w:cs="Arial" w:eastAsia="Arial" w:hAnsi="Arial"/>
          <w:sz w:val="18"/>
          <w:szCs w:val="18"/>
          <w:color w:val="auto"/>
        </w:rPr>
        <w:t>” means a Stock Option Agreement, a SAR Agreement, a Restricted Stock Agreement, a Restricted Stock Unit Agreement or such other agreement evidencing an Award granted under the Plan.</w:t>
      </w:r>
    </w:p>
    <w:p>
      <w:pPr>
        <w:spacing w:after="0" w:line="162"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14.5 “</w:t>
      </w:r>
      <w:r>
        <w:rPr>
          <w:rFonts w:ascii="Arial" w:cs="Arial" w:eastAsia="Arial" w:hAnsi="Arial"/>
          <w:sz w:val="18"/>
          <w:szCs w:val="18"/>
          <w:b w:val="1"/>
          <w:bCs w:val="1"/>
          <w:color w:val="auto"/>
        </w:rPr>
        <w:t>Board</w:t>
      </w:r>
      <w:r>
        <w:rPr>
          <w:rFonts w:ascii="Arial" w:cs="Arial" w:eastAsia="Arial" w:hAnsi="Arial"/>
          <w:sz w:val="18"/>
          <w:szCs w:val="18"/>
          <w:color w:val="auto"/>
        </w:rPr>
        <w:t>” means the Company’s Board of Directors, as constituted from time to time and, where the context so requires, reference to the “Board” may refer to a Committee to whom the Board has delegated authority to administer any aspect of this Plan.</w:t>
      </w:r>
    </w:p>
    <w:p>
      <w:pPr>
        <w:spacing w:after="0" w:line="16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w:t>
      </w:r>
    </w:p>
    <w:p>
      <w:pPr>
        <w:spacing w:after="0" w:line="229" w:lineRule="exact"/>
        <w:rPr>
          <w:sz w:val="20"/>
          <w:szCs w:val="20"/>
          <w:color w:val="auto"/>
        </w:rPr>
      </w:pPr>
    </w:p>
    <w:p>
      <w:pPr>
        <w:ind w:right="140" w:firstLine="987"/>
        <w:spacing w:after="0" w:line="263" w:lineRule="auto"/>
        <w:tabs>
          <w:tab w:leader="none" w:pos="1361"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ectPr>
          <w:pgSz w:w="11900" w:h="16838" w:orient="portrait"/>
          <w:cols w:equalWidth="0" w:num="1">
            <w:col w:w="11000"/>
          </w:cols>
          <w:pgMar w:left="440" w:top="269" w:right="459" w:bottom="1440" w:gutter="0" w:footer="0" w:header="0"/>
        </w:sectPr>
      </w:pPr>
    </w:p>
    <w:bookmarkStart w:id="497" w:name="page498"/>
    <w:bookmarkEnd w:id="497"/>
    <w:p>
      <w:pPr>
        <w:ind w:right="20" w:firstLine="987"/>
        <w:spacing w:after="0" w:line="301" w:lineRule="auto"/>
        <w:tabs>
          <w:tab w:leader="none" w:pos="1368" w:val="left"/>
        </w:tabs>
        <w:numPr>
          <w:ilvl w:val="0"/>
          <w:numId w:val="3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w:t>
      </w:r>
    </w:p>
    <w:p>
      <w:pPr>
        <w:spacing w:after="0" w:line="153" w:lineRule="exact"/>
        <w:rPr>
          <w:rFonts w:ascii="Arial" w:cs="Arial" w:eastAsia="Arial" w:hAnsi="Arial"/>
          <w:sz w:val="16"/>
          <w:szCs w:val="16"/>
          <w:color w:val="auto"/>
        </w:rPr>
      </w:pPr>
    </w:p>
    <w:p>
      <w:pPr>
        <w:ind w:right="60" w:firstLine="987"/>
        <w:spacing w:after="0" w:line="261" w:lineRule="auto"/>
        <w:tabs>
          <w:tab w:leader="none" w:pos="1381"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Individuals who are members of the Board (the “</w:t>
      </w:r>
      <w:r>
        <w:rPr>
          <w:rFonts w:ascii="Arial" w:cs="Arial" w:eastAsia="Arial" w:hAnsi="Arial"/>
          <w:sz w:val="18"/>
          <w:szCs w:val="18"/>
          <w:b w:val="1"/>
          <w:bCs w:val="1"/>
          <w:color w:val="auto"/>
        </w:rPr>
        <w:t>Incumbent Board</w:t>
      </w:r>
      <w:r>
        <w:rPr>
          <w:rFonts w:ascii="Arial" w:cs="Arial" w:eastAsia="Arial" w:hAnsi="Arial"/>
          <w:sz w:val="18"/>
          <w:szCs w:val="18"/>
          <w:color w:val="auto"/>
        </w:rPr>
        <w:t>”) cease for any reason to constitute at least a majority of the members of the Board over a period of 12 months;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In addition, if a Change in Control constitutes a payment event with respect to any Award which provides for a deferral of compensation and is subject to Code Section 409A, then notwithstanding anything to the contrary in the Plan or applicable Award Agreement the transaction with respect to such Award must also constitute a “change in control event” as defined in Treasury Regulation Section 1.409A-3(i)(5) to the extent required by Code Section 409A.</w:t>
      </w:r>
    </w:p>
    <w:p>
      <w:pPr>
        <w:spacing w:after="0" w:line="188"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amended.</w:t>
      </w:r>
    </w:p>
    <w:p>
      <w:pPr>
        <w:spacing w:after="0" w:line="225" w:lineRule="exact"/>
        <w:rPr>
          <w:sz w:val="20"/>
          <w:szCs w:val="20"/>
          <w:color w:val="auto"/>
        </w:rPr>
      </w:pPr>
    </w:p>
    <w:p>
      <w:pPr>
        <w:ind w:right="680" w:firstLine="991"/>
        <w:spacing w:after="0" w:line="282" w:lineRule="auto"/>
        <w:rPr>
          <w:sz w:val="20"/>
          <w:szCs w:val="20"/>
          <w:color w:val="auto"/>
        </w:rPr>
      </w:pPr>
      <w:r>
        <w:rPr>
          <w:rFonts w:ascii="Arial" w:cs="Arial" w:eastAsia="Arial" w:hAnsi="Arial"/>
          <w:sz w:val="18"/>
          <w:szCs w:val="18"/>
          <w:color w:val="auto"/>
        </w:rPr>
        <w:t>14.8 “</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of one or more members of the Board, or of other individuals satisfying applicable laws, appointed by the Board to administer the Plan.</w:t>
      </w:r>
    </w:p>
    <w:p>
      <w:pPr>
        <w:spacing w:after="0" w:line="162"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Common Share</w:t>
      </w:r>
      <w:r>
        <w:rPr>
          <w:rFonts w:ascii="Arial" w:cs="Arial" w:eastAsia="Arial" w:hAnsi="Arial"/>
          <w:sz w:val="16"/>
          <w:szCs w:val="16"/>
          <w:color w:val="auto"/>
        </w:rPr>
        <w:t>” means one share of the Company’s common stock.</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Flywire Corporation, a Delaware corporation.</w:t>
      </w:r>
    </w:p>
    <w:p>
      <w:pPr>
        <w:spacing w:after="0" w:line="225" w:lineRule="exact"/>
        <w:rPr>
          <w:sz w:val="20"/>
          <w:szCs w:val="20"/>
          <w:color w:val="auto"/>
        </w:rPr>
      </w:pPr>
    </w:p>
    <w:p>
      <w:pPr>
        <w:ind w:right="300" w:firstLine="991"/>
        <w:spacing w:after="0" w:line="347" w:lineRule="auto"/>
        <w:rPr>
          <w:sz w:val="20"/>
          <w:szCs w:val="20"/>
          <w:color w:val="auto"/>
        </w:rPr>
      </w:pPr>
      <w:r>
        <w:rPr>
          <w:rFonts w:ascii="Arial" w:cs="Arial" w:eastAsia="Arial" w:hAnsi="Arial"/>
          <w:sz w:val="16"/>
          <w:szCs w:val="16"/>
          <w:color w:val="auto"/>
        </w:rPr>
        <w:t>14.11 “</w:t>
      </w:r>
      <w:r>
        <w:rPr>
          <w:rFonts w:ascii="Arial" w:cs="Arial" w:eastAsia="Arial" w:hAnsi="Arial"/>
          <w:sz w:val="16"/>
          <w:szCs w:val="16"/>
          <w:b w:val="1"/>
          <w:bCs w:val="1"/>
          <w:color w:val="auto"/>
        </w:rPr>
        <w:t>Consultant</w:t>
      </w:r>
      <w:r>
        <w:rPr>
          <w:rFonts w:ascii="Arial" w:cs="Arial" w:eastAsia="Arial" w:hAnsi="Arial"/>
          <w:sz w:val="16"/>
          <w:szCs w:val="16"/>
          <w:color w:val="auto"/>
        </w:rPr>
        <w:t xml:space="preserve">” means a consultant or adviser who provides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services to the Company, a Parent, a Subsidiary or an Affiliate as an independent contractor and who qualifies as a consultant or advisor under Instruction A.1.(a)(1) of Form S-8 under the Securities Act.</w:t>
      </w:r>
    </w:p>
    <w:p>
      <w:pPr>
        <w:spacing w:after="0" w:line="116"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means a common-law employee of the Company, a Parent, a Subsidiary or an Affiliate.</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w:t>
      </w:r>
    </w:p>
    <w:p>
      <w:pPr>
        <w:spacing w:after="0" w:line="225" w:lineRule="exact"/>
        <w:rPr>
          <w:sz w:val="20"/>
          <w:szCs w:val="20"/>
          <w:color w:val="auto"/>
        </w:rPr>
      </w:pPr>
    </w:p>
    <w:p>
      <w:pPr>
        <w:ind w:right="80" w:firstLine="991"/>
        <w:spacing w:after="0" w:line="261" w:lineRule="auto"/>
        <w:rPr>
          <w:sz w:val="20"/>
          <w:szCs w:val="20"/>
          <w:color w:val="auto"/>
        </w:rPr>
      </w:pPr>
      <w:r>
        <w:rPr>
          <w:rFonts w:ascii="Arial" w:cs="Arial" w:eastAsia="Arial" w:hAnsi="Arial"/>
          <w:sz w:val="18"/>
          <w:szCs w:val="18"/>
          <w:color w:val="auto"/>
        </w:rPr>
        <w:t>14.14 “</w:t>
      </w:r>
      <w:r>
        <w:rPr>
          <w:rFonts w:ascii="Arial" w:cs="Arial" w:eastAsia="Arial" w:hAnsi="Arial"/>
          <w:sz w:val="18"/>
          <w:szCs w:val="18"/>
          <w:b w:val="1"/>
          <w:bCs w:val="1"/>
          <w:color w:val="auto"/>
        </w:rPr>
        <w:t>Exercise Price</w:t>
      </w:r>
      <w:r>
        <w:rPr>
          <w:rFonts w:ascii="Arial" w:cs="Arial" w:eastAsia="Arial" w:hAnsi="Arial"/>
          <w:sz w:val="18"/>
          <w:szCs w:val="18"/>
          <w:color w:val="auto"/>
        </w:rPr>
        <w:t>,” in the case of an Option, means the amount for which one Common Share may be purchased upon exercise of such Option, as specified in the applicable Stock Option Agreement. “Exercise Price,” in the case of a SAR, means an amount, as specified in the applicable SAR Agreement, which is subtracted from the Fair Market Value of one Common Share in determining the amount payable upon exercise of such SAR.</w:t>
      </w:r>
    </w:p>
    <w:p>
      <w:pPr>
        <w:sectPr>
          <w:pgSz w:w="11900" w:h="16838" w:orient="portrait"/>
          <w:cols w:equalWidth="0" w:num="1">
            <w:col w:w="11000"/>
          </w:cols>
          <w:pgMar w:left="440" w:top="273" w:right="459" w:bottom="1440" w:gutter="0" w:footer="0" w:header="0"/>
        </w:sectPr>
      </w:pPr>
    </w:p>
    <w:bookmarkStart w:id="498" w:name="page499"/>
    <w:bookmarkEnd w:id="498"/>
    <w:p>
      <w:pPr>
        <w:ind w:right="8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14.15 “</w:t>
      </w:r>
      <w:r>
        <w:rPr>
          <w:rFonts w:ascii="Arial" w:cs="Arial" w:eastAsia="Arial" w:hAnsi="Arial"/>
          <w:sz w:val="18"/>
          <w:szCs w:val="18"/>
          <w:b w:val="1"/>
          <w:bCs w:val="1"/>
          <w:color w:val="auto"/>
        </w:rPr>
        <w:t>Fair Market Value</w:t>
      </w:r>
      <w:r>
        <w:rPr>
          <w:rFonts w:ascii="Arial" w:cs="Arial" w:eastAsia="Arial" w:hAnsi="Arial"/>
          <w:sz w:val="18"/>
          <w:szCs w:val="18"/>
          <w:color w:val="auto"/>
        </w:rPr>
        <w:t>” means the closing price of a Common Share on any established stock exchange or a national market system on the applicable date or, if the applicable date is not a trading day, on the last trading day prior to the applicable date, as reported in a source that the Administrator deems reliable. If Common Shares are not traded on an established stock exchange or a national market system, the Fair Market Value shall be determined by the Administrator in good faith on such basis as it deems appropriate. The Administrator’s determination shall be conclusive and binding on all persons. Notwithstanding the foregoing, the determination of the Fair Market Value in all cases shall be in accordance with the requirements set forth under Section 409A of the Code to the extent necessary for an Award to comply with, or be exempt from, Section 409A of the Code.</w:t>
      </w:r>
    </w:p>
    <w:p>
      <w:pPr>
        <w:spacing w:after="0" w:line="189" w:lineRule="exact"/>
        <w:rPr>
          <w:sz w:val="20"/>
          <w:szCs w:val="20"/>
          <w:color w:val="auto"/>
        </w:rPr>
      </w:pPr>
    </w:p>
    <w:p>
      <w:pPr>
        <w:ind w:right="660" w:firstLine="991"/>
        <w:spacing w:after="0" w:line="282" w:lineRule="auto"/>
        <w:rPr>
          <w:sz w:val="20"/>
          <w:szCs w:val="20"/>
          <w:color w:val="auto"/>
        </w:rPr>
      </w:pPr>
      <w:r>
        <w:rPr>
          <w:rFonts w:ascii="Arial" w:cs="Arial" w:eastAsia="Arial" w:hAnsi="Arial"/>
          <w:sz w:val="18"/>
          <w:szCs w:val="18"/>
          <w:color w:val="auto"/>
        </w:rPr>
        <w:t>14.16 “</w:t>
      </w:r>
      <w:r>
        <w:rPr>
          <w:rFonts w:ascii="Arial" w:cs="Arial" w:eastAsia="Arial" w:hAnsi="Arial"/>
          <w:sz w:val="18"/>
          <w:szCs w:val="18"/>
          <w:b w:val="1"/>
          <w:bCs w:val="1"/>
          <w:color w:val="auto"/>
        </w:rPr>
        <w:t>IPO Date</w:t>
      </w:r>
      <w:r>
        <w:rPr>
          <w:rFonts w:ascii="Arial" w:cs="Arial" w:eastAsia="Arial" w:hAnsi="Arial"/>
          <w:sz w:val="18"/>
          <w:szCs w:val="18"/>
          <w:color w:val="auto"/>
        </w:rPr>
        <w:t>” means the effective date of the registration statement filed by the Company with the Securities and Exchange Commission for its initial offering of the Common Shares to the public.</w:t>
      </w:r>
    </w:p>
    <w:p>
      <w:pPr>
        <w:spacing w:after="0" w:line="162"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ISO</w:t>
      </w:r>
      <w:r>
        <w:rPr>
          <w:rFonts w:ascii="Arial" w:cs="Arial" w:eastAsia="Arial" w:hAnsi="Arial"/>
          <w:sz w:val="16"/>
          <w:szCs w:val="16"/>
          <w:color w:val="auto"/>
        </w:rPr>
        <w:t>” means an incentive stock option described in Code Section 422(b).</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NSO</w:t>
      </w:r>
      <w:r>
        <w:rPr>
          <w:rFonts w:ascii="Arial" w:cs="Arial" w:eastAsia="Arial" w:hAnsi="Arial"/>
          <w:sz w:val="16"/>
          <w:szCs w:val="16"/>
          <w:color w:val="auto"/>
        </w:rPr>
        <w:t>” means a stock option not described in Code Sections 422 or 423.</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an ISO or NSO granted under the Plan and entitling the holder to purchase Common Shares.</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Optionee</w:t>
      </w:r>
      <w:r>
        <w:rPr>
          <w:rFonts w:ascii="Arial" w:cs="Arial" w:eastAsia="Arial" w:hAnsi="Arial"/>
          <w:sz w:val="16"/>
          <w:szCs w:val="16"/>
          <w:color w:val="auto"/>
        </w:rPr>
        <w:t>” means an individual or estate holding an Option or SAR.</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Outside Director</w:t>
      </w:r>
      <w:r>
        <w:rPr>
          <w:rFonts w:ascii="Arial" w:cs="Arial" w:eastAsia="Arial" w:hAnsi="Arial"/>
          <w:sz w:val="16"/>
          <w:szCs w:val="16"/>
          <w:color w:val="auto"/>
        </w:rPr>
        <w:t>” means a member of the Board who is not an Employee.</w:t>
      </w:r>
    </w:p>
    <w:p>
      <w:pPr>
        <w:spacing w:after="0" w:line="225"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color w:val="auto"/>
        </w:rPr>
        <w:t>14.22 “</w:t>
      </w:r>
      <w:r>
        <w:rPr>
          <w:rFonts w:ascii="Arial" w:cs="Arial" w:eastAsia="Arial" w:hAnsi="Arial"/>
          <w:sz w:val="18"/>
          <w:szCs w:val="18"/>
          <w:b w:val="1"/>
          <w:bCs w:val="1"/>
          <w:color w:val="auto"/>
        </w:rPr>
        <w:t>Parent</w:t>
      </w:r>
      <w:r>
        <w:rPr>
          <w:rFonts w:ascii="Arial" w:cs="Arial" w:eastAsia="Arial" w:hAnsi="Arial"/>
          <w:sz w:val="18"/>
          <w:szCs w:val="18"/>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80"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 individual or estate holding an Award.</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Flywire 2021 Equity Incentive Plan, as amended from time to time.</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Predecessor Plan</w:t>
      </w:r>
      <w:r>
        <w:rPr>
          <w:rFonts w:ascii="Arial" w:cs="Arial" w:eastAsia="Arial" w:hAnsi="Arial"/>
          <w:sz w:val="16"/>
          <w:szCs w:val="16"/>
          <w:color w:val="auto"/>
        </w:rPr>
        <w:t>” means the Company’s 2018 Stock Incentive Plan, as amended.</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Restricted Share</w:t>
      </w:r>
      <w:r>
        <w:rPr>
          <w:rFonts w:ascii="Arial" w:cs="Arial" w:eastAsia="Arial" w:hAnsi="Arial"/>
          <w:sz w:val="16"/>
          <w:szCs w:val="16"/>
          <w:color w:val="auto"/>
        </w:rPr>
        <w:t>” means a Common Share awarded under the Plan.</w:t>
      </w:r>
    </w:p>
    <w:p>
      <w:pPr>
        <w:spacing w:after="0" w:line="225"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14.27 “</w:t>
      </w:r>
      <w:r>
        <w:rPr>
          <w:rFonts w:ascii="Arial" w:cs="Arial" w:eastAsia="Arial" w:hAnsi="Arial"/>
          <w:sz w:val="18"/>
          <w:szCs w:val="18"/>
          <w:b w:val="1"/>
          <w:bCs w:val="1"/>
          <w:color w:val="auto"/>
        </w:rPr>
        <w:t>Restricted Stock Agreement</w:t>
      </w:r>
      <w:r>
        <w:rPr>
          <w:rFonts w:ascii="Arial" w:cs="Arial" w:eastAsia="Arial" w:hAnsi="Arial"/>
          <w:sz w:val="18"/>
          <w:szCs w:val="18"/>
          <w:color w:val="auto"/>
        </w:rPr>
        <w:t>” means the agreement consistent with the terms of the Plan between the Company and the recipient of a Restricted Share that contains the terms, conditions and restrictions pertaining to such Restricted Share.</w:t>
      </w:r>
    </w:p>
    <w:p>
      <w:pPr>
        <w:spacing w:after="0" w:line="162"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Restricted Stock Unit</w:t>
      </w:r>
      <w:r>
        <w:rPr>
          <w:rFonts w:ascii="Arial" w:cs="Arial" w:eastAsia="Arial" w:hAnsi="Arial"/>
          <w:sz w:val="16"/>
          <w:szCs w:val="16"/>
          <w:color w:val="auto"/>
        </w:rPr>
        <w:t>” means a bookkeeping entry representing the equivalent of one Common Share, as awarded under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ectPr>
          <w:pgSz w:w="11900" w:h="16838" w:orient="portrait"/>
          <w:cols w:equalWidth="0" w:num="1">
            <w:col w:w="11020"/>
          </w:cols>
          <w:pgMar w:left="440" w:top="269" w:right="439" w:bottom="1440" w:gutter="0" w:footer="0" w:header="0"/>
        </w:sectPr>
      </w:pPr>
    </w:p>
    <w:bookmarkStart w:id="499" w:name="page500"/>
    <w:bookmarkEnd w:id="499"/>
    <w:p>
      <w:pPr>
        <w:ind w:right="280" w:firstLine="991"/>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14.29 “</w:t>
      </w:r>
      <w:r>
        <w:rPr>
          <w:rFonts w:ascii="Arial" w:cs="Arial" w:eastAsia="Arial" w:hAnsi="Arial"/>
          <w:sz w:val="17"/>
          <w:szCs w:val="17"/>
          <w:b w:val="1"/>
          <w:bCs w:val="1"/>
          <w:color w:val="auto"/>
        </w:rPr>
        <w:t>Restricted Stock Unit Agreement</w:t>
      </w:r>
      <w:r>
        <w:rPr>
          <w:rFonts w:ascii="Arial" w:cs="Arial" w:eastAsia="Arial" w:hAnsi="Arial"/>
          <w:sz w:val="17"/>
          <w:szCs w:val="17"/>
          <w:color w:val="auto"/>
        </w:rPr>
        <w:t>” means the agreement consistent with the terms of the Plan between the Company and the recipient of a Restricted Stock Unit that contains the terms, conditions and restrictions pertaining to such Restricted Stock Unit.</w:t>
      </w:r>
    </w:p>
    <w:p>
      <w:pPr>
        <w:spacing w:after="0" w:line="140"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SAR</w:t>
      </w:r>
      <w:r>
        <w:rPr>
          <w:rFonts w:ascii="Arial" w:cs="Arial" w:eastAsia="Arial" w:hAnsi="Arial"/>
          <w:sz w:val="16"/>
          <w:szCs w:val="16"/>
          <w:color w:val="auto"/>
        </w:rPr>
        <w:t>” means a stock appreciation right granted under the Plan.</w:t>
      </w:r>
    </w:p>
    <w:p>
      <w:pPr>
        <w:spacing w:after="0" w:line="225" w:lineRule="exact"/>
        <w:rPr>
          <w:sz w:val="20"/>
          <w:szCs w:val="20"/>
          <w:color w:val="auto"/>
        </w:rPr>
      </w:pPr>
    </w:p>
    <w:p>
      <w:pPr>
        <w:ind w:right="600" w:firstLine="991"/>
        <w:spacing w:after="0" w:line="282" w:lineRule="auto"/>
        <w:rPr>
          <w:sz w:val="20"/>
          <w:szCs w:val="20"/>
          <w:color w:val="auto"/>
        </w:rPr>
      </w:pPr>
      <w:r>
        <w:rPr>
          <w:rFonts w:ascii="Arial" w:cs="Arial" w:eastAsia="Arial" w:hAnsi="Arial"/>
          <w:sz w:val="18"/>
          <w:szCs w:val="18"/>
          <w:color w:val="auto"/>
        </w:rPr>
        <w:t>14.31 “</w:t>
      </w:r>
      <w:r>
        <w:rPr>
          <w:rFonts w:ascii="Arial" w:cs="Arial" w:eastAsia="Arial" w:hAnsi="Arial"/>
          <w:sz w:val="18"/>
          <w:szCs w:val="18"/>
          <w:b w:val="1"/>
          <w:bCs w:val="1"/>
          <w:color w:val="auto"/>
        </w:rPr>
        <w:t>SAR Agreement</w:t>
      </w:r>
      <w:r>
        <w:rPr>
          <w:rFonts w:ascii="Arial" w:cs="Arial" w:eastAsia="Arial" w:hAnsi="Arial"/>
          <w:sz w:val="18"/>
          <w:szCs w:val="18"/>
          <w:color w:val="auto"/>
        </w:rPr>
        <w:t>” means the agreement consistent with the terms of the Plan between the Company and an Optionee that contains the terms, conditions and restrictions pertaining to his or her SAR.</w:t>
      </w:r>
    </w:p>
    <w:p>
      <w:pPr>
        <w:spacing w:after="0" w:line="162"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w:t>
      </w:r>
    </w:p>
    <w:p>
      <w:pPr>
        <w:spacing w:after="0" w:line="225"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14.33 “</w:t>
      </w:r>
      <w:r>
        <w:rPr>
          <w:rFonts w:ascii="Arial" w:cs="Arial" w:eastAsia="Arial" w:hAnsi="Arial"/>
          <w:sz w:val="18"/>
          <w:szCs w:val="18"/>
          <w:b w:val="1"/>
          <w:bCs w:val="1"/>
          <w:color w:val="auto"/>
        </w:rPr>
        <w:t>Service Provider</w:t>
      </w:r>
      <w:r>
        <w:rPr>
          <w:rFonts w:ascii="Arial" w:cs="Arial" w:eastAsia="Arial" w:hAnsi="Arial"/>
          <w:sz w:val="18"/>
          <w:szCs w:val="18"/>
          <w:color w:val="auto"/>
        </w:rPr>
        <w:t>” means any individual who is an Employee, Outside Director or Consultant, including any prospective Employee, Outside Director or Consultant who has accepted an offer of employment or service and will be an Employee, Outside Director or Consultant after the commencement of their service.</w:t>
      </w:r>
    </w:p>
    <w:p>
      <w:pPr>
        <w:spacing w:after="0" w:line="176"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color w:val="auto"/>
        </w:rPr>
        <w:t>14.34 “</w:t>
      </w:r>
      <w:r>
        <w:rPr>
          <w:rFonts w:ascii="Arial" w:cs="Arial" w:eastAsia="Arial" w:hAnsi="Arial"/>
          <w:sz w:val="18"/>
          <w:szCs w:val="18"/>
          <w:b w:val="1"/>
          <w:bCs w:val="1"/>
          <w:color w:val="auto"/>
        </w:rPr>
        <w:t>Stock Option Agreement</w:t>
      </w:r>
      <w:r>
        <w:rPr>
          <w:rFonts w:ascii="Arial" w:cs="Arial" w:eastAsia="Arial" w:hAnsi="Arial"/>
          <w:sz w:val="18"/>
          <w:szCs w:val="18"/>
          <w:color w:val="auto"/>
        </w:rPr>
        <w:t>” means the agreement consistent with the terms of the Plan between the Company and an Optionee that contains the terms, conditions and restrictions pertaining to his or her Option.</w:t>
      </w:r>
    </w:p>
    <w:p>
      <w:pPr>
        <w:spacing w:after="0" w:line="162" w:lineRule="exact"/>
        <w:rPr>
          <w:sz w:val="20"/>
          <w:szCs w:val="20"/>
          <w:color w:val="auto"/>
        </w:rPr>
      </w:pPr>
    </w:p>
    <w:p>
      <w:pPr>
        <w:ind w:right="60" w:firstLine="991"/>
        <w:spacing w:after="0" w:line="261" w:lineRule="auto"/>
        <w:rPr>
          <w:sz w:val="20"/>
          <w:szCs w:val="20"/>
          <w:color w:val="auto"/>
        </w:rPr>
      </w:pPr>
      <w:r>
        <w:rPr>
          <w:rFonts w:ascii="Arial" w:cs="Arial" w:eastAsia="Arial" w:hAnsi="Arial"/>
          <w:sz w:val="18"/>
          <w:szCs w:val="18"/>
          <w:color w:val="auto"/>
        </w:rPr>
        <w:t>14.35 “</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80" w:lineRule="exact"/>
        <w:rPr>
          <w:sz w:val="20"/>
          <w:szCs w:val="20"/>
          <w:color w:val="auto"/>
        </w:rPr>
      </w:pPr>
    </w:p>
    <w:p>
      <w:pPr>
        <w:ind w:right="20" w:firstLine="991"/>
        <w:spacing w:after="0" w:line="289" w:lineRule="auto"/>
        <w:rPr>
          <w:sz w:val="20"/>
          <w:szCs w:val="20"/>
          <w:color w:val="auto"/>
        </w:rPr>
      </w:pPr>
      <w:r>
        <w:rPr>
          <w:rFonts w:ascii="Arial" w:cs="Arial" w:eastAsia="Arial" w:hAnsi="Arial"/>
          <w:sz w:val="17"/>
          <w:szCs w:val="17"/>
          <w:color w:val="auto"/>
        </w:rPr>
        <w:t>14.36 “</w:t>
      </w:r>
      <w:r>
        <w:rPr>
          <w:rFonts w:ascii="Arial" w:cs="Arial" w:eastAsia="Arial" w:hAnsi="Arial"/>
          <w:sz w:val="17"/>
          <w:szCs w:val="17"/>
          <w:b w:val="1"/>
          <w:bCs w:val="1"/>
          <w:color w:val="auto"/>
        </w:rPr>
        <w:t>Substitute Awards</w:t>
      </w:r>
      <w:r>
        <w:rPr>
          <w:rFonts w:ascii="Arial" w:cs="Arial" w:eastAsia="Arial" w:hAnsi="Arial"/>
          <w:sz w:val="17"/>
          <w:szCs w:val="17"/>
          <w:color w:val="auto"/>
        </w:rPr>
        <w:t>” means Awards or Common Shares issued by the Company in assumption of, or substitution or exchange for, awards previously granted, or the right or obligation to make future awards, in each case by a corporation acquired by the Company or any Affiliate or with which the Company or any Affiliate combines to the extent permitted by the applicable exchange listing standards.</w:t>
      </w:r>
    </w:p>
    <w:p>
      <w:pPr>
        <w:sectPr>
          <w:pgSz w:w="11900" w:h="16838" w:orient="portrait"/>
          <w:cols w:equalWidth="0" w:num="1">
            <w:col w:w="11000"/>
          </w:cols>
          <w:pgMar w:left="440" w:top="269" w:right="459" w:bottom="1440" w:gutter="0" w:footer="0" w:header="0"/>
        </w:sectPr>
      </w:pPr>
    </w:p>
    <w:bookmarkStart w:id="500" w:name="page501"/>
    <w:bookmarkEnd w:id="50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w:t>
      </w:r>
      <w:r>
        <w:rPr>
          <w:rFonts w:ascii="Arial" w:cs="Arial" w:eastAsia="Arial" w:hAnsi="Arial"/>
          <w:sz w:val="23"/>
          <w:szCs w:val="23"/>
          <w:b w:val="1"/>
          <w:bCs w:val="1"/>
          <w:color w:val="auto"/>
        </w:rPr>
        <w:t>LYWIRE</w:t>
      </w:r>
      <w:r>
        <w:rPr>
          <w:rFonts w:ascii="Arial" w:cs="Arial" w:eastAsia="Arial" w:hAnsi="Arial"/>
          <w:sz w:val="29"/>
          <w:szCs w:val="29"/>
          <w:b w:val="1"/>
          <w:bCs w:val="1"/>
          <w:color w:val="auto"/>
        </w:rPr>
        <w:t xml:space="preserve"> C</w:t>
      </w:r>
      <w:r>
        <w:rPr>
          <w:rFonts w:ascii="Arial" w:cs="Arial" w:eastAsia="Arial" w:hAnsi="Arial"/>
          <w:sz w:val="23"/>
          <w:szCs w:val="23"/>
          <w:b w:val="1"/>
          <w:bCs w:val="1"/>
          <w:color w:val="auto"/>
        </w:rPr>
        <w:t>ORPORATION</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2021 E</w:t>
      </w:r>
      <w:r>
        <w:rPr>
          <w:rFonts w:ascii="Arial" w:cs="Arial" w:eastAsia="Arial" w:hAnsi="Arial"/>
          <w:sz w:val="23"/>
          <w:szCs w:val="23"/>
          <w:b w:val="1"/>
          <w:bCs w:val="1"/>
          <w:color w:val="auto"/>
        </w:rPr>
        <w:t>QUITY</w:t>
      </w:r>
      <w:r>
        <w:rPr>
          <w:rFonts w:ascii="Arial" w:cs="Arial" w:eastAsia="Arial" w:hAnsi="Arial"/>
          <w:sz w:val="29"/>
          <w:szCs w:val="29"/>
          <w:b w:val="1"/>
          <w:bCs w:val="1"/>
          <w:color w:val="auto"/>
        </w:rPr>
        <w:t xml:space="preserve"> I</w:t>
      </w:r>
      <w:r>
        <w:rPr>
          <w:rFonts w:ascii="Arial" w:cs="Arial" w:eastAsia="Arial" w:hAnsi="Arial"/>
          <w:sz w:val="23"/>
          <w:szCs w:val="23"/>
          <w:b w:val="1"/>
          <w:bCs w:val="1"/>
          <w:color w:val="auto"/>
        </w:rPr>
        <w:t>NCENTIVE</w:t>
      </w:r>
      <w:r>
        <w:rPr>
          <w:rFonts w:ascii="Arial" w:cs="Arial" w:eastAsia="Arial" w:hAnsi="Arial"/>
          <w:sz w:val="29"/>
          <w:szCs w:val="29"/>
          <w:b w:val="1"/>
          <w:bCs w:val="1"/>
          <w:color w:val="auto"/>
        </w:rPr>
        <w:t xml:space="preserve"> P</w:t>
      </w:r>
      <w:r>
        <w:rPr>
          <w:rFonts w:ascii="Arial" w:cs="Arial" w:eastAsia="Arial" w:hAnsi="Arial"/>
          <w:sz w:val="23"/>
          <w:szCs w:val="23"/>
          <w:b w:val="1"/>
          <w:bCs w:val="1"/>
          <w:color w:val="auto"/>
        </w:rPr>
        <w:t>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N</w:t>
      </w:r>
      <w:r>
        <w:rPr>
          <w:rFonts w:ascii="Arial" w:cs="Arial" w:eastAsia="Arial" w:hAnsi="Arial"/>
          <w:sz w:val="23"/>
          <w:szCs w:val="23"/>
          <w:b w:val="1"/>
          <w:bCs w:val="1"/>
          <w:color w:val="auto"/>
        </w:rPr>
        <w:t>OTICE OF</w:t>
      </w:r>
      <w:r>
        <w:rPr>
          <w:rFonts w:ascii="Arial" w:cs="Arial" w:eastAsia="Arial" w:hAnsi="Arial"/>
          <w:sz w:val="29"/>
          <w:szCs w:val="29"/>
          <w:b w:val="1"/>
          <w:bCs w:val="1"/>
          <w:color w:val="auto"/>
        </w:rPr>
        <w:t xml:space="preserve"> S</w:t>
      </w:r>
      <w:r>
        <w:rPr>
          <w:rFonts w:ascii="Arial" w:cs="Arial" w:eastAsia="Arial" w:hAnsi="Arial"/>
          <w:sz w:val="23"/>
          <w:szCs w:val="23"/>
          <w:b w:val="1"/>
          <w:bCs w:val="1"/>
          <w:color w:val="auto"/>
        </w:rPr>
        <w:t>TOCK</w:t>
      </w:r>
      <w:r>
        <w:rPr>
          <w:rFonts w:ascii="Arial" w:cs="Arial" w:eastAsia="Arial" w:hAnsi="Arial"/>
          <w:sz w:val="29"/>
          <w:szCs w:val="29"/>
          <w:b w:val="1"/>
          <w:bCs w:val="1"/>
          <w:color w:val="auto"/>
        </w:rPr>
        <w:t xml:space="preserve"> O</w:t>
      </w:r>
      <w:r>
        <w:rPr>
          <w:rFonts w:ascii="Arial" w:cs="Arial" w:eastAsia="Arial" w:hAnsi="Arial"/>
          <w:sz w:val="23"/>
          <w:szCs w:val="23"/>
          <w:b w:val="1"/>
          <w:bCs w:val="1"/>
          <w:color w:val="auto"/>
        </w:rPr>
        <w:t>PTION</w:t>
      </w:r>
      <w:r>
        <w:rPr>
          <w:rFonts w:ascii="Arial" w:cs="Arial" w:eastAsia="Arial" w:hAnsi="Arial"/>
          <w:sz w:val="29"/>
          <w:szCs w:val="29"/>
          <w:b w:val="1"/>
          <w:bCs w:val="1"/>
          <w:color w:val="auto"/>
        </w:rPr>
        <w:t xml:space="preserve"> G</w:t>
      </w:r>
      <w:r>
        <w:rPr>
          <w:rFonts w:ascii="Arial" w:cs="Arial" w:eastAsia="Arial" w:hAnsi="Arial"/>
          <w:sz w:val="23"/>
          <w:szCs w:val="23"/>
          <w:b w:val="1"/>
          <w:bCs w:val="1"/>
          <w:color w:val="auto"/>
        </w:rPr>
        <w:t>RANT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You have been granted the following option to purchase shares of the common stock of Flywire Corporation (the “Company”):</w:t>
      </w:r>
    </w:p>
    <w:p>
      <w:pPr>
        <w:sectPr>
          <w:pgSz w:w="11900" w:h="16838" w:orient="portrait"/>
          <w:cols w:equalWidth="0" w:num="1">
            <w:col w:w="11000"/>
          </w:cols>
          <w:pgMar w:left="440" w:top="256" w:right="459" w:bottom="1440" w:gutter="0" w:footer="0" w:header="0"/>
        </w:sectPr>
      </w:pPr>
    </w:p>
    <w:p>
      <w:pPr>
        <w:spacing w:after="0" w:line="27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4340"/>
        <w:spacing w:after="0"/>
        <w:rPr>
          <w:sz w:val="20"/>
          <w:szCs w:val="20"/>
          <w:color w:val="auto"/>
        </w:rPr>
      </w:pPr>
      <w:r>
        <w:rPr>
          <w:rFonts w:ascii="Arial" w:cs="Arial" w:eastAsia="Arial" w:hAnsi="Arial"/>
          <w:sz w:val="15"/>
          <w:szCs w:val="15"/>
          <w:color w:val="auto"/>
        </w:rPr>
        <w:t>«Name»</w:t>
      </w:r>
    </w:p>
    <w:p>
      <w:pPr>
        <w:spacing w:after="0" w:line="151" w:lineRule="exact"/>
        <w:rPr>
          <w:sz w:val="20"/>
          <w:szCs w:val="20"/>
          <w:color w:val="auto"/>
        </w:rPr>
      </w:pPr>
    </w:p>
    <w:p>
      <w:pPr>
        <w:sectPr>
          <w:pgSz w:w="11900" w:h="16838" w:orient="portrait"/>
          <w:cols w:equalWidth="0" w:num="2">
            <w:col w:w="5340" w:space="720"/>
            <w:col w:w="4940"/>
          </w:cols>
          <w:pgMar w:left="440" w:top="256" w:right="45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«TotalShares»</w:t>
      </w:r>
    </w:p>
    <w:p>
      <w:pPr>
        <w:spacing w:after="0" w:line="151" w:lineRule="exact"/>
        <w:rPr>
          <w:sz w:val="20"/>
          <w:szCs w:val="20"/>
          <w:color w:val="auto"/>
        </w:rPr>
      </w:pPr>
    </w:p>
    <w:p>
      <w:pPr>
        <w:sectPr>
          <w:pgSz w:w="11900" w:h="16838" w:orient="portrait"/>
          <w:cols w:equalWidth="0" w:num="2">
            <w:col w:w="5340" w:space="720"/>
            <w:col w:w="4940"/>
          </w:cols>
          <w:pgMar w:left="440" w:top="256" w:right="45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«ISO» Incentive Stock Option</w:t>
      </w:r>
    </w:p>
    <w:p>
      <w:pPr>
        <w:spacing w:after="0" w:line="140" w:lineRule="exact"/>
        <w:rPr>
          <w:sz w:val="20"/>
          <w:szCs w:val="20"/>
          <w:color w:val="auto"/>
        </w:rPr>
      </w:pPr>
    </w:p>
    <w:p>
      <w:pPr>
        <w:sectPr>
          <w:pgSz w:w="11900" w:h="16838" w:orient="portrait"/>
          <w:cols w:equalWidth="0" w:num="2">
            <w:col w:w="5340" w:space="720"/>
            <w:col w:w="4940"/>
          </w:cols>
          <w:pgMar w:left="440" w:top="256" w:right="45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«NSO» Nonstatutory Stock Option</w:t>
      </w:r>
    </w:p>
    <w:p>
      <w:pPr>
        <w:sectPr>
          <w:pgSz w:w="11900" w:h="16838" w:orient="portrait"/>
          <w:cols w:equalWidth="0" w:num="1">
            <w:col w:w="11000"/>
          </w:cols>
          <w:pgMar w:left="440" w:top="256" w:right="459" w:bottom="1440" w:gutter="0" w:footer="0" w:header="0"/>
          <w:type w:val="continuous"/>
        </w:sectPr>
      </w:pPr>
    </w:p>
    <w:p>
      <w:pPr>
        <w:spacing w:after="0" w:line="14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Exercise Price per Share: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660"/>
        <w:spacing w:after="0"/>
        <w:rPr>
          <w:sz w:val="20"/>
          <w:szCs w:val="20"/>
          <w:color w:val="auto"/>
        </w:rPr>
      </w:pPr>
      <w:r>
        <w:rPr>
          <w:rFonts w:ascii="Arial" w:cs="Arial" w:eastAsia="Arial" w:hAnsi="Arial"/>
          <w:sz w:val="15"/>
          <w:szCs w:val="15"/>
          <w:color w:val="auto"/>
        </w:rPr>
        <w:t>$«PricePerShare»</w:t>
      </w:r>
    </w:p>
    <w:p>
      <w:pPr>
        <w:spacing w:after="0" w:line="151" w:lineRule="exact"/>
        <w:rPr>
          <w:sz w:val="20"/>
          <w:szCs w:val="20"/>
          <w:color w:val="auto"/>
        </w:rPr>
      </w:pPr>
    </w:p>
    <w:p>
      <w:pPr>
        <w:sectPr>
          <w:pgSz w:w="11900" w:h="16838" w:orient="portrait"/>
          <w:cols w:equalWidth="0" w:num="2">
            <w:col w:w="5340" w:space="720"/>
            <w:col w:w="4940"/>
          </w:cols>
          <w:pgMar w:left="440" w:top="256" w:right="45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jc w:val="center"/>
        <w:ind w:right="4020"/>
        <w:spacing w:after="0"/>
        <w:rPr>
          <w:sz w:val="20"/>
          <w:szCs w:val="20"/>
          <w:color w:val="auto"/>
        </w:rPr>
      </w:pPr>
      <w:r>
        <w:rPr>
          <w:rFonts w:ascii="Arial" w:cs="Arial" w:eastAsia="Arial" w:hAnsi="Arial"/>
          <w:sz w:val="16"/>
          <w:szCs w:val="16"/>
          <w:color w:val="auto"/>
        </w:rPr>
        <w:t>«DateGrant»</w:t>
      </w:r>
    </w:p>
    <w:p>
      <w:pPr>
        <w:spacing w:after="0" w:line="140" w:lineRule="exact"/>
        <w:rPr>
          <w:sz w:val="20"/>
          <w:szCs w:val="20"/>
          <w:color w:val="auto"/>
        </w:rPr>
      </w:pPr>
    </w:p>
    <w:p>
      <w:pPr>
        <w:sectPr>
          <w:pgSz w:w="11900" w:h="16838" w:orient="portrait"/>
          <w:cols w:equalWidth="0" w:num="2">
            <w:col w:w="5340" w:space="720"/>
            <w:col w:w="4940"/>
          </w:cols>
          <w:pgMar w:left="440" w:top="256" w:right="45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«VestDay»</w:t>
      </w:r>
    </w:p>
    <w:p>
      <w:pPr>
        <w:spacing w:after="0" w:line="151" w:lineRule="exact"/>
        <w:rPr>
          <w:sz w:val="20"/>
          <w:szCs w:val="20"/>
          <w:color w:val="auto"/>
        </w:rPr>
      </w:pPr>
    </w:p>
    <w:p>
      <w:pPr>
        <w:sectPr>
          <w:pgSz w:w="11900" w:h="16838" w:orient="portrait"/>
          <w:cols w:equalWidth="0" w:num="2">
            <w:col w:w="5340" w:space="720"/>
            <w:col w:w="4940"/>
          </w:cols>
          <w:pgMar w:left="440" w:top="256" w:right="45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ind w:right="80"/>
        <w:spacing w:after="0" w:line="290" w:lineRule="auto"/>
        <w:rPr>
          <w:sz w:val="20"/>
          <w:szCs w:val="20"/>
          <w:color w:val="auto"/>
        </w:rPr>
      </w:pPr>
      <w:r>
        <w:rPr>
          <w:rFonts w:ascii="Arial" w:cs="Arial" w:eastAsia="Arial" w:hAnsi="Arial"/>
          <w:sz w:val="16"/>
          <w:szCs w:val="16"/>
          <w:color w:val="auto"/>
        </w:rPr>
        <w:t>This option shall vest and become exercisable with respect to the first «CliffPercent» of the shares subject to this option when you complete «CliffPeriod» months of continuous service as an [Employee or Consultant][Outside Director] (“Service”) after the Vesting Commencement Date. This option shall vest and become exercisable with respect to an additional «IncrementalPercent» of the shares subject to this option when you complete each additional month of continuous Service thereafter.</w:t>
      </w:r>
    </w:p>
    <w:p>
      <w:pPr>
        <w:spacing w:after="0" w:line="57" w:lineRule="exact"/>
        <w:rPr>
          <w:sz w:val="20"/>
          <w:szCs w:val="20"/>
          <w:color w:val="auto"/>
        </w:rPr>
      </w:pPr>
    </w:p>
    <w:p>
      <w:pPr>
        <w:sectPr>
          <w:pgSz w:w="11900" w:h="16838" w:orient="portrait"/>
          <w:cols w:equalWidth="0" w:num="2">
            <w:col w:w="5340" w:space="720"/>
            <w:col w:w="4940"/>
          </w:cols>
          <w:pgMar w:left="440" w:top="256" w:right="45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7"/>
          <w:szCs w:val="17"/>
          <w:color w:val="auto"/>
        </w:rPr>
        <w:t>«ExpDate». This option expires earlier if your Service terminates earlier, as described in the Stock Option Agreement, and may terminate earlier in connection with certain corporate transactions as described in Article 9 of the Plan.</w:t>
      </w:r>
    </w:p>
    <w:p>
      <w:pPr>
        <w:spacing w:after="0" w:line="171" w:lineRule="exact"/>
        <w:rPr>
          <w:sz w:val="20"/>
          <w:szCs w:val="20"/>
          <w:color w:val="auto"/>
        </w:rPr>
      </w:pPr>
    </w:p>
    <w:p>
      <w:pPr>
        <w:sectPr>
          <w:pgSz w:w="11900" w:h="16838" w:orient="portrait"/>
          <w:cols w:equalWidth="0" w:num="2">
            <w:col w:w="5340" w:space="720"/>
            <w:col w:w="4940"/>
          </w:cols>
          <w:pgMar w:left="440" w:top="256" w:right="459" w:bottom="1440" w:gutter="0" w:footer="0" w:header="0"/>
          <w:type w:val="continuous"/>
        </w:sectPr>
      </w:pPr>
    </w:p>
    <w:p>
      <w:pPr>
        <w:ind w:right="60"/>
        <w:spacing w:after="0" w:line="263" w:lineRule="auto"/>
        <w:rPr>
          <w:sz w:val="20"/>
          <w:szCs w:val="20"/>
          <w:color w:val="auto"/>
        </w:rPr>
      </w:pPr>
      <w:r>
        <w:rPr>
          <w:rFonts w:ascii="Arial" w:cs="Arial" w:eastAsia="Arial" w:hAnsi="Arial"/>
          <w:sz w:val="18"/>
          <w:szCs w:val="18"/>
          <w:color w:val="auto"/>
        </w:rPr>
        <w:t>You and the Company agree that this option is granted under and governed by the terms and conditions of the Company’s 2021 Equity Incentive Plan (the “Plan”) and the Stock Option Agreement, both of which are attached to, and made a part of, this document. Capitalized terms not otherwise defined herein shall have the meanings assigned to such terms in the Plan.</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may, in its sole discretion, decide to deliver any documents related to options awarded under the Plan, future options that may be awarded under the Plan and all other documents that the Company is required to deliver to security holders (including annual reports and proxy statements) by email or other electronic means (including by posting them on a website maintained by the Company or a third party under contract with the Company). You hereby consent to receive such documents by electronic delivery and agree to participate in the Plan through any on-line or electronic system established and maintained by the Company or another third party designated by the Company. You acknowledge that you may incur costs in connection with any such delivery by means of electronic transmission, including the cost of accessing the Internet and printing fees, and that an interruption of Internet access may interfere with your ability to access the documents.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further agree to comply with the Company’s </w:t>
      </w:r>
      <w:r>
        <w:rPr>
          <w:rFonts w:ascii="Arial" w:cs="Arial" w:eastAsia="Arial" w:hAnsi="Arial"/>
          <w:sz w:val="18"/>
          <w:szCs w:val="18"/>
          <w:i w:val="1"/>
          <w:iCs w:val="1"/>
          <w:color w:val="auto"/>
        </w:rPr>
        <w:t>Insider Trading Policy</w:t>
      </w:r>
      <w:r>
        <w:rPr>
          <w:rFonts w:ascii="Arial" w:cs="Arial" w:eastAsia="Arial" w:hAnsi="Arial"/>
          <w:sz w:val="18"/>
          <w:szCs w:val="18"/>
          <w:color w:val="auto"/>
        </w:rPr>
        <w:t xml:space="preserve"> when selling shares of the Company’s common stock.</w:t>
      </w:r>
    </w:p>
    <w:p>
      <w:pPr>
        <w:sectPr>
          <w:pgSz w:w="11900" w:h="16838" w:orient="portrait"/>
          <w:cols w:equalWidth="0" w:num="1">
            <w:col w:w="11000"/>
          </w:cols>
          <w:pgMar w:left="440" w:top="256" w:right="459" w:bottom="1440" w:gutter="0" w:footer="0" w:header="0"/>
          <w:type w:val="continuous"/>
        </w:sectPr>
      </w:pPr>
    </w:p>
    <w:bookmarkStart w:id="501" w:name="page502"/>
    <w:bookmarkEnd w:id="501"/>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w:t>
      </w:r>
      <w:r>
        <w:rPr>
          <w:rFonts w:ascii="Arial" w:cs="Arial" w:eastAsia="Arial" w:hAnsi="Arial"/>
          <w:sz w:val="23"/>
          <w:szCs w:val="23"/>
          <w:b w:val="1"/>
          <w:bCs w:val="1"/>
          <w:color w:val="auto"/>
        </w:rPr>
        <w:t>LYWIRE</w:t>
      </w:r>
      <w:r>
        <w:rPr>
          <w:rFonts w:ascii="Arial" w:cs="Arial" w:eastAsia="Arial" w:hAnsi="Arial"/>
          <w:sz w:val="29"/>
          <w:szCs w:val="29"/>
          <w:b w:val="1"/>
          <w:bCs w:val="1"/>
          <w:color w:val="auto"/>
        </w:rPr>
        <w:t xml:space="preserve"> C</w:t>
      </w:r>
      <w:r>
        <w:rPr>
          <w:rFonts w:ascii="Arial" w:cs="Arial" w:eastAsia="Arial" w:hAnsi="Arial"/>
          <w:sz w:val="23"/>
          <w:szCs w:val="23"/>
          <w:b w:val="1"/>
          <w:bCs w:val="1"/>
          <w:color w:val="auto"/>
        </w:rPr>
        <w:t>ORPORATION</w:t>
      </w:r>
    </w:p>
    <w:p>
      <w:pPr>
        <w:spacing w:after="0" w:line="45"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2021 E</w:t>
      </w:r>
      <w:r>
        <w:rPr>
          <w:rFonts w:ascii="Arial" w:cs="Arial" w:eastAsia="Arial" w:hAnsi="Arial"/>
          <w:sz w:val="23"/>
          <w:szCs w:val="23"/>
          <w:b w:val="1"/>
          <w:bCs w:val="1"/>
          <w:color w:val="auto"/>
        </w:rPr>
        <w:t>QUITY</w:t>
      </w:r>
      <w:r>
        <w:rPr>
          <w:rFonts w:ascii="Arial" w:cs="Arial" w:eastAsia="Arial" w:hAnsi="Arial"/>
          <w:sz w:val="29"/>
          <w:szCs w:val="29"/>
          <w:b w:val="1"/>
          <w:bCs w:val="1"/>
          <w:color w:val="auto"/>
        </w:rPr>
        <w:t xml:space="preserve"> I</w:t>
      </w:r>
      <w:r>
        <w:rPr>
          <w:rFonts w:ascii="Arial" w:cs="Arial" w:eastAsia="Arial" w:hAnsi="Arial"/>
          <w:sz w:val="23"/>
          <w:szCs w:val="23"/>
          <w:b w:val="1"/>
          <w:bCs w:val="1"/>
          <w:color w:val="auto"/>
        </w:rPr>
        <w:t>NCENTIVE</w:t>
      </w:r>
      <w:r>
        <w:rPr>
          <w:rFonts w:ascii="Arial" w:cs="Arial" w:eastAsia="Arial" w:hAnsi="Arial"/>
          <w:sz w:val="29"/>
          <w:szCs w:val="29"/>
          <w:b w:val="1"/>
          <w:bCs w:val="1"/>
          <w:color w:val="auto"/>
        </w:rPr>
        <w:t xml:space="preserve"> P</w:t>
      </w:r>
      <w:r>
        <w:rPr>
          <w:rFonts w:ascii="Arial" w:cs="Arial" w:eastAsia="Arial" w:hAnsi="Arial"/>
          <w:sz w:val="23"/>
          <w:szCs w:val="23"/>
          <w:b w:val="1"/>
          <w:bCs w:val="1"/>
          <w:color w:val="auto"/>
        </w:rPr>
        <w:t>LAN</w:t>
      </w:r>
    </w:p>
    <w:p>
      <w:pPr>
        <w:spacing w:after="0" w:line="71"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S</w:t>
      </w:r>
      <w:r>
        <w:rPr>
          <w:rFonts w:ascii="Arial" w:cs="Arial" w:eastAsia="Arial" w:hAnsi="Arial"/>
          <w:sz w:val="23"/>
          <w:szCs w:val="23"/>
          <w:b w:val="1"/>
          <w:bCs w:val="1"/>
          <w:color w:val="auto"/>
        </w:rPr>
        <w:t>TOCK</w:t>
      </w:r>
      <w:r>
        <w:rPr>
          <w:rFonts w:ascii="Arial" w:cs="Arial" w:eastAsia="Arial" w:hAnsi="Arial"/>
          <w:sz w:val="29"/>
          <w:szCs w:val="29"/>
          <w:b w:val="1"/>
          <w:bCs w:val="1"/>
          <w:color w:val="auto"/>
        </w:rPr>
        <w:t xml:space="preserve"> O</w:t>
      </w:r>
      <w:r>
        <w:rPr>
          <w:rFonts w:ascii="Arial" w:cs="Arial" w:eastAsia="Arial" w:hAnsi="Arial"/>
          <w:sz w:val="23"/>
          <w:szCs w:val="23"/>
          <w:b w:val="1"/>
          <w:bCs w:val="1"/>
          <w:color w:val="auto"/>
        </w:rPr>
        <w:t>PTION</w:t>
      </w:r>
      <w:r>
        <w:rPr>
          <w:rFonts w:ascii="Arial" w:cs="Arial" w:eastAsia="Arial" w:hAnsi="Arial"/>
          <w:sz w:val="29"/>
          <w:szCs w:val="29"/>
          <w:b w:val="1"/>
          <w:bCs w:val="1"/>
          <w:color w:val="auto"/>
        </w:rPr>
        <w:t xml:space="preserve"> A</w:t>
      </w:r>
      <w:r>
        <w:rPr>
          <w:rFonts w:ascii="Arial" w:cs="Arial" w:eastAsia="Arial" w:hAnsi="Arial"/>
          <w:sz w:val="23"/>
          <w:szCs w:val="23"/>
          <w:b w:val="1"/>
          <w:bCs w:val="1"/>
          <w:color w:val="auto"/>
        </w:rPr>
        <w:t>GREEMENT</w:t>
      </w:r>
    </w:p>
    <w:p>
      <w:pPr>
        <w:sectPr>
          <w:pgSz w:w="11900" w:h="16838" w:orient="portrait"/>
          <w:cols w:equalWidth="0" w:num="1">
            <w:col w:w="10920"/>
          </w:cols>
          <w:pgMar w:left="440" w:top="256" w:right="53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 of Option</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Subject to all of the terms and conditions set forth in the Notice of Stock Option Grant (the “Grant Notice”), this Stock Option Agreement (the “Agreement”) and the Plan, the Company has granted you an option to purchase up to the total number of shares specified in the Grant Notice at the exercise price indicated in the Grant Notice.</w:t>
      </w:r>
    </w:p>
    <w:p>
      <w:pPr>
        <w:spacing w:after="0" w:line="71" w:lineRule="exact"/>
        <w:rPr>
          <w:sz w:val="20"/>
          <w:szCs w:val="20"/>
          <w:color w:val="auto"/>
        </w:rPr>
      </w:pPr>
    </w:p>
    <w:p>
      <w:pPr>
        <w:sectPr>
          <w:pgSz w:w="11900" w:h="16838" w:orient="portrait"/>
          <w:cols w:equalWidth="0" w:num="2">
            <w:col w:w="1500" w:space="720"/>
            <w:col w:w="8700"/>
          </w:cols>
          <w:pgMar w:left="440" w:top="256" w:right="539" w:bottom="1440" w:gutter="0" w:footer="0" w:header="0"/>
          <w:type w:val="continuous"/>
        </w:sectPr>
      </w:pPr>
    </w:p>
    <w:p>
      <w:pPr>
        <w:ind w:left="2220" w:right="380"/>
        <w:spacing w:after="0" w:line="277" w:lineRule="auto"/>
        <w:rPr>
          <w:sz w:val="20"/>
          <w:szCs w:val="20"/>
          <w:color w:val="auto"/>
        </w:rPr>
      </w:pPr>
      <w:r>
        <w:rPr>
          <w:rFonts w:ascii="Arial" w:cs="Arial" w:eastAsia="Arial" w:hAnsi="Arial"/>
          <w:sz w:val="18"/>
          <w:szCs w:val="18"/>
          <w:color w:val="auto"/>
        </w:rPr>
        <w:t>All capitalized terms used in this Agreement shall have the meanings assigned to them in this Agreement, the Grant Notice or the Plan.</w:t>
      </w:r>
    </w:p>
    <w:p>
      <w:pPr>
        <w:sectPr>
          <w:pgSz w:w="11900" w:h="16838" w:orient="portrait"/>
          <w:cols w:equalWidth="0" w:num="1">
            <w:col w:w="10920"/>
          </w:cols>
          <w:pgMar w:left="440" w:top="256" w:right="53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Treatment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This option is intended to be an incentive stock option under Section 422 of the Code or a nonstatutory stock option, as provided in the Grant Notice. However, even if this option is designated as an incentive stock option in the Grant Notice, it shall be deemed to be a nonstatutory stock option to the extent it does not qualify as an incentive stock option under federal tax law, including under the $100,000 annual limitation under Section 422(d) of the Code.</w:t>
      </w:r>
    </w:p>
    <w:p>
      <w:pPr>
        <w:spacing w:after="0" w:line="45" w:lineRule="exact"/>
        <w:rPr>
          <w:sz w:val="20"/>
          <w:szCs w:val="20"/>
          <w:color w:val="auto"/>
        </w:rPr>
      </w:pPr>
    </w:p>
    <w:p>
      <w:pPr>
        <w:sectPr>
          <w:pgSz w:w="11900" w:h="16838" w:orient="portrait"/>
          <w:cols w:equalWidth="0" w:num="2">
            <w:col w:w="1500" w:space="720"/>
            <w:col w:w="8700"/>
          </w:cols>
          <w:pgMar w:left="440" w:top="256" w:right="5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This option vests and becomes exercisable in accordance with the vesting schedule set forth in the Grant Notice.</w:t>
      </w:r>
    </w:p>
    <w:p>
      <w:pPr>
        <w:spacing w:after="0" w:line="154" w:lineRule="exact"/>
        <w:rPr>
          <w:sz w:val="20"/>
          <w:szCs w:val="20"/>
          <w:color w:val="auto"/>
        </w:rPr>
      </w:pPr>
    </w:p>
    <w:p>
      <w:pPr>
        <w:sectPr>
          <w:pgSz w:w="11900" w:h="16838" w:orient="portrait"/>
          <w:cols w:equalWidth="0" w:num="2">
            <w:col w:w="1500" w:space="720"/>
            <w:col w:w="8700"/>
          </w:cols>
          <w:pgMar w:left="440" w:top="256" w:right="539" w:bottom="1440" w:gutter="0" w:footer="0" w:header="0"/>
          <w:type w:val="continuous"/>
        </w:sectPr>
      </w:pPr>
    </w:p>
    <w:p>
      <w:pPr>
        <w:ind w:left="2220" w:right="280"/>
        <w:spacing w:after="0" w:line="308" w:lineRule="auto"/>
        <w:rPr>
          <w:sz w:val="20"/>
          <w:szCs w:val="20"/>
          <w:color w:val="auto"/>
        </w:rPr>
      </w:pPr>
      <w:r>
        <w:rPr>
          <w:rFonts w:ascii="Arial" w:cs="Arial" w:eastAsia="Arial" w:hAnsi="Arial"/>
          <w:sz w:val="17"/>
          <w:szCs w:val="17"/>
          <w:color w:val="auto"/>
        </w:rPr>
        <w:t>In no event will this option vest or become exercisable for additional shares after your Service has terminated for any reason unless expressly provided in a written agreement between you and the Company.</w:t>
      </w:r>
    </w:p>
    <w:p>
      <w:pPr>
        <w:sectPr>
          <w:pgSz w:w="11900" w:h="16838" w:orient="portrait"/>
          <w:cols w:equalWidth="0" w:num="1">
            <w:col w:w="10920"/>
          </w:cols>
          <w:pgMar w:left="440" w:top="256" w:right="5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of Option</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option expires in any event at the close of business at Company headquarters on the day before the 10th anniversary of the Date of Grant, as shown in the Grant Notice. (This option will expire earlier if your Service terminates earlier, as described below, and this option may be terminated earlier as provided in Article 9 of the Plan.)</w:t>
      </w:r>
    </w:p>
    <w:p>
      <w:pPr>
        <w:spacing w:after="0" w:line="37" w:lineRule="exact"/>
        <w:rPr>
          <w:sz w:val="20"/>
          <w:szCs w:val="20"/>
          <w:color w:val="auto"/>
        </w:rPr>
      </w:pPr>
    </w:p>
    <w:p>
      <w:pPr>
        <w:sectPr>
          <w:pgSz w:w="11900" w:h="16838" w:orient="portrait"/>
          <w:cols w:equalWidth="0" w:num="2">
            <w:col w:w="1500" w:space="720"/>
            <w:col w:w="8700"/>
          </w:cols>
          <w:pgMar w:left="440" w:top="256" w:right="5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Termination of Service</w:t>
      </w:r>
    </w:p>
    <w:p>
      <w:pPr>
        <w:spacing w:after="0" w:line="20" w:lineRule="exact"/>
        <w:rPr>
          <w:sz w:val="20"/>
          <w:szCs w:val="20"/>
          <w:color w:val="auto"/>
        </w:rPr>
      </w:pPr>
      <w:r>
        <w:rPr>
          <w:sz w:val="20"/>
          <w:szCs w:val="20"/>
          <w:color w:val="auto"/>
        </w:rPr>
        <w:br w:type="column"/>
      </w:r>
    </w:p>
    <w:p>
      <w:pPr>
        <w:jc w:val="both"/>
        <w:ind w:right="180"/>
        <w:spacing w:after="0" w:line="263" w:lineRule="auto"/>
        <w:rPr>
          <w:sz w:val="20"/>
          <w:szCs w:val="20"/>
          <w:color w:val="auto"/>
        </w:rPr>
      </w:pPr>
      <w:r>
        <w:rPr>
          <w:rFonts w:ascii="Arial" w:cs="Arial" w:eastAsia="Arial" w:hAnsi="Arial"/>
          <w:sz w:val="18"/>
          <w:szCs w:val="18"/>
          <w:color w:val="auto"/>
        </w:rPr>
        <w:t>If your Service terminates for any reason, this option will expire to the extent it is unvested as of your termination date and does not vest as a result of your termination of Service. The Company determines whether and when your Service terminates for all purposes of this option.</w:t>
      </w:r>
    </w:p>
    <w:p>
      <w:pPr>
        <w:spacing w:after="0" w:line="72" w:lineRule="exact"/>
        <w:rPr>
          <w:sz w:val="20"/>
          <w:szCs w:val="20"/>
          <w:color w:val="auto"/>
        </w:rPr>
      </w:pPr>
    </w:p>
    <w:p>
      <w:pPr>
        <w:sectPr>
          <w:pgSz w:w="11900" w:h="16838" w:orient="portrait"/>
          <w:cols w:equalWidth="0" w:num="2">
            <w:col w:w="1740" w:space="480"/>
            <w:col w:w="8700"/>
          </w:cols>
          <w:pgMar w:left="440" w:top="256" w:right="5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Regular Termination</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If your Service terminates for any reason except death or total and permanent disability, then this option, to the extent vested as of your termination date, will expire at the close of business at Company headquarters on the date three months after your termination date.</w:t>
      </w:r>
    </w:p>
    <w:p>
      <w:pPr>
        <w:sectPr>
          <w:pgSz w:w="11900" w:h="16838" w:orient="portrait"/>
          <w:cols w:equalWidth="0" w:num="2">
            <w:col w:w="1620" w:space="600"/>
            <w:col w:w="8700"/>
          </w:cols>
          <w:pgMar w:left="440" w:top="256" w:right="539" w:bottom="1440" w:gutter="0" w:footer="0" w:header="0"/>
          <w:type w:val="continuous"/>
        </w:sectPr>
      </w:pPr>
    </w:p>
    <w:bookmarkStart w:id="502" w:name="page503"/>
    <w:bookmarkEnd w:id="502"/>
    <w:p>
      <w:pPr>
        <w:spacing w:after="0"/>
        <w:rPr>
          <w:sz w:val="20"/>
          <w:szCs w:val="20"/>
          <w:color w:val="auto"/>
        </w:rPr>
      </w:pPr>
      <w:r>
        <w:rPr>
          <w:rFonts w:ascii="Arial" w:cs="Arial" w:eastAsia="Arial" w:hAnsi="Arial"/>
          <w:sz w:val="16"/>
          <w:szCs w:val="16"/>
          <w:b w:val="1"/>
          <w:bCs w:val="1"/>
          <w:color w:val="auto"/>
        </w:rPr>
        <w:t>Death</w:t>
      </w:r>
    </w:p>
    <w:p>
      <w:pPr>
        <w:spacing w:after="0" w:line="20" w:lineRule="exact"/>
        <w:rPr>
          <w:sz w:val="20"/>
          <w:szCs w:val="20"/>
          <w:color w:val="auto"/>
        </w:rPr>
      </w:pPr>
      <w:r>
        <w:rPr>
          <w:sz w:val="20"/>
          <w:szCs w:val="20"/>
          <w:color w:val="auto"/>
        </w:rPr>
        <w:br w:type="column"/>
      </w:r>
    </w:p>
    <w:p>
      <w:pPr>
        <w:ind w:right="80"/>
        <w:spacing w:after="0" w:line="342" w:lineRule="auto"/>
        <w:rPr>
          <w:sz w:val="20"/>
          <w:szCs w:val="20"/>
          <w:color w:val="auto"/>
        </w:rPr>
      </w:pPr>
      <w:r>
        <w:rPr>
          <w:rFonts w:ascii="Arial" w:cs="Arial" w:eastAsia="Arial" w:hAnsi="Arial"/>
          <w:sz w:val="16"/>
          <w:szCs w:val="16"/>
          <w:color w:val="auto"/>
        </w:rPr>
        <w:t>If your Service terminates as a result of your death, then this option, to the extent vested as of the date of your death, will expire at the close of business at Company headquarters on the date twelve months after the date of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-417195</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2">
            <w:col w:w="1500" w:space="720"/>
            <w:col w:w="8780"/>
          </w:cols>
          <w:pgMar w:left="440" w:top="269" w:right="459" w:bottom="1440" w:gutter="0" w:footer="0" w:header="0"/>
        </w:sectPr>
      </w:pPr>
    </w:p>
    <w:p>
      <w:pPr>
        <w:spacing w:after="0"/>
        <w:rPr>
          <w:sz w:val="20"/>
          <w:szCs w:val="20"/>
          <w:color w:val="auto"/>
        </w:rPr>
      </w:pPr>
      <w:r>
        <w:rPr>
          <w:rFonts w:ascii="Arial" w:cs="Arial" w:eastAsia="Arial" w:hAnsi="Arial"/>
          <w:sz w:val="16"/>
          <w:szCs w:val="16"/>
          <w:b w:val="1"/>
          <w:bCs w:val="1"/>
          <w:color w:val="auto"/>
        </w:rPr>
        <w:t>Disability</w:t>
      </w:r>
    </w:p>
    <w:p>
      <w:pPr>
        <w:spacing w:after="0" w:line="20" w:lineRule="exact"/>
        <w:rPr>
          <w:sz w:val="20"/>
          <w:szCs w:val="20"/>
          <w:color w:val="auto"/>
        </w:rPr>
      </w:pPr>
      <w:r>
        <w:rPr>
          <w:sz w:val="20"/>
          <w:szCs w:val="20"/>
          <w:color w:val="auto"/>
        </w:rPr>
        <w:br w:type="column"/>
      </w:r>
    </w:p>
    <w:p>
      <w:pPr>
        <w:ind w:right="100"/>
        <w:spacing w:after="0" w:line="263" w:lineRule="auto"/>
        <w:rPr>
          <w:sz w:val="20"/>
          <w:szCs w:val="20"/>
          <w:color w:val="auto"/>
        </w:rPr>
      </w:pPr>
      <w:r>
        <w:rPr>
          <w:rFonts w:ascii="Arial" w:cs="Arial" w:eastAsia="Arial" w:hAnsi="Arial"/>
          <w:sz w:val="18"/>
          <w:szCs w:val="18"/>
          <w:color w:val="auto"/>
        </w:rPr>
        <w:t>If your Service terminates because of your total and permanent disability, then this option, to the extent vested as of your termination date, will expire at the close of business at Company headquarters on the date six months after your termination date.</w:t>
      </w:r>
    </w:p>
    <w:p>
      <w:pPr>
        <w:spacing w:after="0" w:line="89" w:lineRule="exact"/>
        <w:rPr>
          <w:sz w:val="20"/>
          <w:szCs w:val="20"/>
          <w:color w:val="auto"/>
        </w:rPr>
      </w:pPr>
    </w:p>
    <w:p>
      <w:pPr>
        <w:sectPr>
          <w:pgSz w:w="11900" w:h="16838" w:orient="portrait"/>
          <w:cols w:equalWidth="0" w:num="2">
            <w:col w:w="1500" w:space="720"/>
            <w:col w:w="8780"/>
          </w:cols>
          <w:pgMar w:left="440" w:top="269" w:right="459" w:bottom="1440" w:gutter="0" w:footer="0" w:header="0"/>
          <w:type w:val="continuous"/>
        </w:sectPr>
      </w:pPr>
    </w:p>
    <w:p>
      <w:pPr>
        <w:ind w:left="2220" w:right="360"/>
        <w:spacing w:after="0" w:line="259" w:lineRule="auto"/>
        <w:rPr>
          <w:sz w:val="20"/>
          <w:szCs w:val="20"/>
          <w:color w:val="auto"/>
        </w:rPr>
      </w:pPr>
      <w:r>
        <w:rPr>
          <w:rFonts w:ascii="Arial" w:cs="Arial" w:eastAsia="Arial" w:hAnsi="Arial"/>
          <w:sz w:val="18"/>
          <w:szCs w:val="18"/>
          <w:color w:val="auto"/>
        </w:rPr>
        <w:t>For all purposes under this Agreement, “total and permanent disability” means that you are unable to engage in any substantial gainful activity by reason of any medically determinable physical or mental impairment which can be expected to result in death or which has lasted, or can be expected to last, for a continuous period of not less than one year.</w:t>
      </w:r>
    </w:p>
    <w:p>
      <w:pPr>
        <w:sectPr>
          <w:pgSz w:w="11900" w:h="16838" w:orient="portrait"/>
          <w:cols w:equalWidth="0" w:num="1">
            <w:col w:w="11000"/>
          </w:cols>
          <w:pgMar w:left="440" w:top="269" w:right="45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Leaves of Absence and</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Part-Time Work</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For purposes of this option, your Service does not terminate when you go on a military leave, a sick leave or another </w:t>
      </w:r>
      <w:r>
        <w:rPr>
          <w:rFonts w:ascii="Arial" w:cs="Arial" w:eastAsia="Arial" w:hAnsi="Arial"/>
          <w:sz w:val="17"/>
          <w:szCs w:val="17"/>
          <w:i w:val="1"/>
          <w:iCs w:val="1"/>
          <w:color w:val="auto"/>
        </w:rPr>
        <w:t>bona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fide </w:t>
      </w:r>
      <w:r>
        <w:rPr>
          <w:rFonts w:ascii="Arial" w:cs="Arial" w:eastAsia="Arial" w:hAnsi="Arial"/>
          <w:sz w:val="17"/>
          <w:szCs w:val="17"/>
          <w:color w:val="auto"/>
        </w:rPr>
        <w:t>leave of absence, if the leave was approved by the Company in writing, and if continued crediting of Service is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by applicable law, the Company’s leave of absence policy or the terms of your leave. However, your Service terminates when the approved leave ends, unless you immediately return to active work.</w:t>
      </w:r>
    </w:p>
    <w:p>
      <w:pPr>
        <w:spacing w:after="0" w:line="77" w:lineRule="exact"/>
        <w:rPr>
          <w:sz w:val="20"/>
          <w:szCs w:val="20"/>
          <w:color w:val="auto"/>
        </w:rPr>
      </w:pPr>
    </w:p>
    <w:p>
      <w:pPr>
        <w:sectPr>
          <w:pgSz w:w="11900" w:h="16838" w:orient="portrait"/>
          <w:cols w:equalWidth="0" w:num="2">
            <w:col w:w="1740" w:space="480"/>
            <w:col w:w="8780"/>
          </w:cols>
          <w:pgMar w:left="440" w:top="269" w:right="459" w:bottom="1440" w:gutter="0" w:footer="0" w:header="0"/>
          <w:type w:val="continuous"/>
        </w:sectPr>
      </w:pPr>
    </w:p>
    <w:p>
      <w:pPr>
        <w:ind w:left="2220" w:right="200"/>
        <w:spacing w:after="0" w:line="263" w:lineRule="auto"/>
        <w:rPr>
          <w:sz w:val="20"/>
          <w:szCs w:val="20"/>
          <w:color w:val="auto"/>
        </w:rPr>
      </w:pPr>
      <w:r>
        <w:rPr>
          <w:rFonts w:ascii="Arial" w:cs="Arial" w:eastAsia="Arial" w:hAnsi="Arial"/>
          <w:sz w:val="18"/>
          <w:szCs w:val="18"/>
          <w:color w:val="auto"/>
        </w:rPr>
        <w:t>If you go on a leave of absence, or if you commence working on a part-time basis, the Company may adjust the vesting schedule in accordance with the Company’s leave of absence policy or the terms of your leave or so that the rate of vesting is commensurate with your reduced work schedule, as applicable.</w:t>
      </w:r>
    </w:p>
    <w:p>
      <w:pPr>
        <w:sectPr>
          <w:pgSz w:w="11900" w:h="16838" w:orient="portrait"/>
          <w:cols w:equalWidth="0" w:num="1">
            <w:col w:w="11000"/>
          </w:cols>
          <w:pgMar w:left="440" w:top="269" w:right="45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Restrictions on Exercise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will not permit you to exercise this option if the issuance of shares at that time would violate any law or regulation.</w:t>
      </w:r>
    </w:p>
    <w:p>
      <w:pPr>
        <w:spacing w:after="0" w:line="58" w:lineRule="exact"/>
        <w:rPr>
          <w:sz w:val="20"/>
          <w:szCs w:val="20"/>
          <w:color w:val="auto"/>
        </w:rPr>
      </w:pPr>
    </w:p>
    <w:p>
      <w:pPr>
        <w:sectPr>
          <w:pgSz w:w="11900" w:h="16838" w:orient="portrait"/>
          <w:cols w:equalWidth="0" w:num="2">
            <w:col w:w="1840" w:space="380"/>
            <w:col w:w="8780"/>
          </w:cols>
          <w:pgMar w:left="440" w:top="269"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Notice of Exercise</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When you wish to exercise this option, you must notify the Company by filing the proper “Notice of Exercise” form at the address given on the form or, if the Company has designated a third party to administer the Plan, you must notify such third party in the manner such third party requires. Your notice must specify how many shares you wish to purchase. The notice will be effective when the Company receives it.</w:t>
      </w:r>
    </w:p>
    <w:p>
      <w:pPr>
        <w:spacing w:after="0" w:line="92" w:lineRule="exact"/>
        <w:rPr>
          <w:sz w:val="20"/>
          <w:szCs w:val="20"/>
          <w:color w:val="auto"/>
        </w:rPr>
      </w:pPr>
    </w:p>
    <w:p>
      <w:pPr>
        <w:sectPr>
          <w:pgSz w:w="11900" w:h="16838" w:orient="portrait"/>
          <w:cols w:equalWidth="0" w:num="2">
            <w:col w:w="1500" w:space="720"/>
            <w:col w:w="8780"/>
          </w:cols>
          <w:pgMar w:left="440" w:top="269" w:right="459" w:bottom="1440" w:gutter="0" w:footer="0" w:header="0"/>
          <w:type w:val="continuous"/>
        </w:sectPr>
      </w:pPr>
    </w:p>
    <w:p>
      <w:pPr>
        <w:ind w:left="2220" w:right="380"/>
        <w:spacing w:after="0" w:line="277" w:lineRule="auto"/>
        <w:rPr>
          <w:sz w:val="20"/>
          <w:szCs w:val="20"/>
          <w:color w:val="auto"/>
        </w:rPr>
      </w:pPr>
      <w:r>
        <w:rPr>
          <w:rFonts w:ascii="Arial" w:cs="Arial" w:eastAsia="Arial" w:hAnsi="Arial"/>
          <w:sz w:val="18"/>
          <w:szCs w:val="18"/>
          <w:color w:val="auto"/>
        </w:rPr>
        <w:t>However, if you wish to exercise this option by executing a same-day sale (as described below), you must follow the instructions of the Company and the broker who will execute the sale.</w:t>
      </w:r>
    </w:p>
    <w:p>
      <w:pPr>
        <w:spacing w:after="0" w:line="76" w:lineRule="exact"/>
        <w:rPr>
          <w:sz w:val="20"/>
          <w:szCs w:val="20"/>
          <w:color w:val="auto"/>
        </w:rPr>
      </w:pPr>
    </w:p>
    <w:p>
      <w:pPr>
        <w:ind w:left="2220" w:right="160"/>
        <w:spacing w:after="0" w:line="277" w:lineRule="auto"/>
        <w:rPr>
          <w:sz w:val="20"/>
          <w:szCs w:val="20"/>
          <w:color w:val="auto"/>
        </w:rPr>
      </w:pPr>
      <w:r>
        <w:rPr>
          <w:rFonts w:ascii="Arial" w:cs="Arial" w:eastAsia="Arial" w:hAnsi="Arial"/>
          <w:sz w:val="18"/>
          <w:szCs w:val="18"/>
          <w:color w:val="auto"/>
        </w:rPr>
        <w:t>If someone else wants to exercise this option after your death, that person must prove to the Company’s satisfaction that he or she is entitled to do so.</w:t>
      </w:r>
    </w:p>
    <w:p>
      <w:pPr>
        <w:spacing w:after="0" w:line="76"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You may only exercise your option for whole shares.</w:t>
      </w:r>
    </w:p>
    <w:p>
      <w:pPr>
        <w:sectPr>
          <w:pgSz w:w="11900" w:h="16838" w:orient="portrait"/>
          <w:cols w:equalWidth="0" w:num="1">
            <w:col w:w="11000"/>
          </w:cols>
          <w:pgMar w:left="440" w:top="269" w:right="459" w:bottom="1440" w:gutter="0" w:footer="0" w:header="0"/>
          <w:type w:val="continuous"/>
        </w:sectPr>
      </w:pPr>
    </w:p>
    <w:bookmarkStart w:id="503" w:name="page504"/>
    <w:bookmarkEnd w:id="503"/>
    <w:p>
      <w:pPr>
        <w:spacing w:after="0"/>
        <w:rPr>
          <w:sz w:val="20"/>
          <w:szCs w:val="20"/>
          <w:color w:val="auto"/>
        </w:rPr>
      </w:pPr>
      <w:r>
        <w:rPr>
          <w:rFonts w:ascii="Arial" w:cs="Arial" w:eastAsia="Arial" w:hAnsi="Arial"/>
          <w:sz w:val="16"/>
          <w:szCs w:val="16"/>
          <w:b w:val="1"/>
          <w:bCs w:val="1"/>
          <w:color w:val="auto"/>
        </w:rPr>
        <w:t>Form of Payment</w:t>
      </w:r>
    </w:p>
    <w:p>
      <w:pPr>
        <w:spacing w:after="0" w:line="20" w:lineRule="exact"/>
        <w:rPr>
          <w:sz w:val="20"/>
          <w:szCs w:val="20"/>
          <w:color w:val="auto"/>
        </w:rPr>
      </w:pPr>
      <w:r>
        <w:rPr>
          <w:sz w:val="20"/>
          <w:szCs w:val="20"/>
          <w:color w:val="auto"/>
        </w:rPr>
        <w:br w:type="column"/>
      </w:r>
    </w:p>
    <w:p>
      <w:pPr>
        <w:ind w:right="140"/>
        <w:spacing w:after="0" w:line="263" w:lineRule="auto"/>
        <w:rPr>
          <w:sz w:val="20"/>
          <w:szCs w:val="20"/>
          <w:color w:val="auto"/>
        </w:rPr>
      </w:pPr>
      <w:r>
        <w:rPr>
          <w:rFonts w:ascii="Arial" w:cs="Arial" w:eastAsia="Arial" w:hAnsi="Arial"/>
          <w:sz w:val="18"/>
          <w:szCs w:val="18"/>
          <w:color w:val="auto"/>
        </w:rPr>
        <w:t>When you submit your notice of exercise, you must make arrangements for the payment of the option exercise price for the shares that you are purchasing. To the extent permitted by applicable law, payment may be made in one (or a combination of two or more) of the following 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-516255</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1500" w:space="720"/>
            <w:col w:w="8740"/>
          </w:cols>
          <w:pgMar w:left="440" w:top="269" w:right="499" w:bottom="1440" w:gutter="0" w:footer="0" w:header="0"/>
        </w:sectPr>
      </w:pPr>
    </w:p>
    <w:p>
      <w:pPr>
        <w:ind w:left="2560" w:right="420" w:hanging="260"/>
        <w:spacing w:after="0" w:line="277" w:lineRule="auto"/>
        <w:tabs>
          <w:tab w:leader="none" w:pos="254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By delivering to the Company your personal check, a cashier’s check or a money order, or arranging for a wire transfer.</w:t>
      </w:r>
    </w:p>
    <w:p>
      <w:pPr>
        <w:spacing w:after="0" w:line="75" w:lineRule="exact"/>
        <w:rPr>
          <w:rFonts w:ascii="Arial" w:cs="Arial" w:eastAsia="Arial" w:hAnsi="Arial"/>
          <w:sz w:val="18"/>
          <w:szCs w:val="18"/>
          <w:color w:val="auto"/>
        </w:rPr>
      </w:pPr>
    </w:p>
    <w:p>
      <w:pPr>
        <w:ind w:left="2560" w:right="140" w:hanging="260"/>
        <w:spacing w:after="0" w:line="275" w:lineRule="auto"/>
        <w:tabs>
          <w:tab w:leader="none" w:pos="2544" w:val="left"/>
        </w:tabs>
        <w:numPr>
          <w:ilvl w:val="0"/>
          <w:numId w:val="367"/>
        </w:numPr>
        <w:rPr>
          <w:rFonts w:ascii="Arial" w:cs="Arial" w:eastAsia="Arial" w:hAnsi="Arial"/>
          <w:sz w:val="17"/>
          <w:szCs w:val="17"/>
          <w:color w:val="auto"/>
        </w:rPr>
      </w:pPr>
      <w:r>
        <w:rPr>
          <w:rFonts w:ascii="Arial" w:cs="Arial" w:eastAsia="Arial" w:hAnsi="Arial"/>
          <w:sz w:val="17"/>
          <w:szCs w:val="17"/>
          <w:color w:val="auto"/>
        </w:rPr>
        <w:t>By giving to a securities broker approved by the Company irrevocable directions to sell all or part of your option shares and to deliver to the Company, from the sale proceeds, an amount sufficient to pay the option exercise price and any Tax-Related Items (as defined below). (The balance of the sale proceeds, if any, will be delivered to you.) The directions must be given in accordance with the instructions of the Company and the broker. This exercise method is sometimes called a “same-day sale.”</w:t>
      </w:r>
    </w:p>
    <w:p>
      <w:pPr>
        <w:spacing w:after="0" w:line="8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The Company may permit other forms of payment in its discretion to the extent permitted by the Plan.</w:t>
      </w:r>
    </w:p>
    <w:p>
      <w:pPr>
        <w:sectPr>
          <w:pgSz w:w="11900" w:h="16838" w:orient="portrait"/>
          <w:cols w:equalWidth="0" w:num="1">
            <w:col w:w="10960"/>
          </w:cols>
          <w:pgMar w:left="440" w:top="269" w:right="49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Withholding Taxes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Regardless of any action the Company (or, if applicable, the Parent, Subsidiary or Affiliate employing or retaining you (the “Employer”)) takes with respect to any or all income tax, social insurance, payroll tax, payment on account or other tax-related items related to the participation in the Plan and legally applicable to you (“Tax-Related Items”), you acknowledge that the ultimate liability for all Tax-Related Items is and remains your responsibility and may exceed the amount actually withheld by the Company and/or the Employer. You further acknowledge that the Company and the Employer (1) make no representations or undertakings regarding the treatment of any Tax-Related Items in connection with any aspect of the options, including, but not limited to, the grant, vesting or exercise of the option, the issuance of shares upon exercise of the option, the subsequent sale of shares acquired pursuant to such exercise and the receipt of any dividends and/or any dividend equivalents; and (2) do not commit to and are under no obligation to structure the terms of the option or any aspect of the option to reduce or eliminate your liability for Tax-Related Items or achieve any particular tax result. Further, if you are subject to tax in more than one jurisdiction, you acknowledge that the Company and/or the Employer may be required to withhold or account for Tax-Related Items in more than one jurisdiction.</w:t>
      </w:r>
    </w:p>
    <w:p>
      <w:pPr>
        <w:spacing w:after="0" w:line="73" w:lineRule="exact"/>
        <w:rPr>
          <w:sz w:val="20"/>
          <w:szCs w:val="20"/>
          <w:color w:val="auto"/>
        </w:rPr>
      </w:pPr>
    </w:p>
    <w:p>
      <w:pPr>
        <w:sectPr>
          <w:pgSz w:w="11900" w:h="16838" w:orient="portrait"/>
          <w:cols w:equalWidth="0" w:num="2">
            <w:col w:w="1500" w:space="720"/>
            <w:col w:w="8740"/>
          </w:cols>
          <w:pgMar w:left="440" w:top="269" w:right="499" w:bottom="1440" w:gutter="0" w:footer="0" w:header="0"/>
          <w:type w:val="continuous"/>
        </w:sectPr>
      </w:pPr>
    </w:p>
    <w:p>
      <w:pPr>
        <w:jc w:val="both"/>
        <w:ind w:left="2220" w:right="380"/>
        <w:spacing w:after="0" w:line="311" w:lineRule="auto"/>
        <w:rPr>
          <w:sz w:val="20"/>
          <w:szCs w:val="20"/>
          <w:color w:val="auto"/>
        </w:rPr>
      </w:pPr>
      <w:r>
        <w:rPr>
          <w:rFonts w:ascii="Arial" w:cs="Arial" w:eastAsia="Arial" w:hAnsi="Arial"/>
          <w:sz w:val="16"/>
          <w:szCs w:val="16"/>
          <w:color w:val="auto"/>
        </w:rPr>
        <w:t>You will not be allowed to exercise this option unless you make arrangements acceptable to the Company and/or the Employer to pay any Tax-Related Items that the Company and/or the Employer determine must be withheld. These arrangements include payment in cash or via the same-day sale procedure described above. With the Company’s</w:t>
      </w:r>
    </w:p>
    <w:p>
      <w:pPr>
        <w:sectPr>
          <w:pgSz w:w="11900" w:h="16838" w:orient="portrait"/>
          <w:cols w:equalWidth="0" w:num="1">
            <w:col w:w="10960"/>
          </w:cols>
          <w:pgMar w:left="440" w:top="269" w:right="499" w:bottom="1440" w:gutter="0" w:footer="0" w:header="0"/>
          <w:type w:val="continuous"/>
        </w:sectPr>
      </w:pPr>
    </w:p>
    <w:bookmarkStart w:id="504" w:name="page505"/>
    <w:bookmarkEnd w:id="504"/>
    <w:p>
      <w:pPr>
        <w:ind w:left="2220"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 these arrangements may also include (a) withholding shares of Company stock that otherwise would be issued to you when you exercise this option with a value equal to withholding taxes, (b) surrendering shares that you previously acquired with a value equal to the withholding taxes, or (c) withholding cash from other compensation. The value of withheld or surrendered shares, determined as of the date when taxes otherwise would have been withheld in cash, will be applied to the Tax-Related Items.</w:t>
      </w:r>
    </w:p>
    <w:p>
      <w:pPr>
        <w:sectPr>
          <w:pgSz w:w="11900" w:h="16838" w:orient="portrait"/>
          <w:cols w:equalWidth="0" w:num="1">
            <w:col w:w="11000"/>
          </w:cols>
          <w:pgMar w:left="440" w:top="273" w:right="45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Restrictions on Resale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You agree not to sell any option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pacing w:after="0" w:line="53" w:lineRule="exact"/>
        <w:rPr>
          <w:sz w:val="20"/>
          <w:szCs w:val="20"/>
          <w:color w:val="auto"/>
        </w:rPr>
      </w:pPr>
    </w:p>
    <w:p>
      <w:pPr>
        <w:sectPr>
          <w:pgSz w:w="11900" w:h="16838" w:orient="portrait"/>
          <w:cols w:equalWidth="0" w:num="2">
            <w:col w:w="1700" w:space="520"/>
            <w:col w:w="8780"/>
          </w:cols>
          <w:pgMar w:left="440" w:top="273"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Transfer of Option</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Prior to your death, only you may exercise this option. You cannot transfer or assign this option. For instance, you may not sell this option or use it as security for a loan. If you attempt to do any of these things, this option will immediately become invalid. You may, however, dispose of this option in your will or by means of a written beneficiary designation (if authorized by the Company and to the extent such beneficiary designation is valid under applicable law) which must be filed with the Company on the proper form; provided, however, that your beneficiary or a representative of your estate acknowledges and agrees in writing in a form reasonably acceptable to the Company, to be bound by the provisions of this Agreement and the Plan as if such beneficiary or representative of the estate were you.</w:t>
      </w:r>
    </w:p>
    <w:p>
      <w:pPr>
        <w:spacing w:after="0" w:line="72" w:lineRule="exact"/>
        <w:rPr>
          <w:sz w:val="20"/>
          <w:szCs w:val="20"/>
          <w:color w:val="auto"/>
        </w:rPr>
      </w:pPr>
    </w:p>
    <w:p>
      <w:pPr>
        <w:sectPr>
          <w:pgSz w:w="11900" w:h="16838" w:orient="portrait"/>
          <w:cols w:equalWidth="0" w:num="2">
            <w:col w:w="1500" w:space="720"/>
            <w:col w:w="8780"/>
          </w:cols>
          <w:pgMar w:left="440" w:top="273" w:right="459" w:bottom="1440" w:gutter="0" w:footer="0" w:header="0"/>
          <w:type w:val="continuous"/>
        </w:sectPr>
      </w:pPr>
    </w:p>
    <w:p>
      <w:pPr>
        <w:ind w:left="2220" w:right="20"/>
        <w:spacing w:after="0" w:line="263" w:lineRule="auto"/>
        <w:rPr>
          <w:sz w:val="20"/>
          <w:szCs w:val="20"/>
          <w:color w:val="auto"/>
        </w:rPr>
      </w:pPr>
      <w:r>
        <w:rPr>
          <w:rFonts w:ascii="Arial" w:cs="Arial" w:eastAsia="Arial" w:hAnsi="Arial"/>
          <w:sz w:val="18"/>
          <w:szCs w:val="18"/>
          <w:color w:val="auto"/>
        </w:rPr>
        <w:t>Regardless of any marital property settlement agreement, the Company is not obligated to honor a notice of exercise from your former spouse, nor is the Company obligated to recognize your former spouse’s interest in your option in any other way.</w:t>
      </w:r>
    </w:p>
    <w:p>
      <w:pPr>
        <w:sectPr>
          <w:pgSz w:w="11900" w:h="16838" w:orient="portrait"/>
          <w:cols w:equalWidth="0" w:num="1">
            <w:col w:w="11000"/>
          </w:cols>
          <w:pgMar w:left="440" w:top="273" w:right="45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Retention Rights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understand that neither this option nor this Agreement alters the at-will nature of your relationship with the Company. Your option or this Agreement does not give you the right to be retained by the Company, a Parent, Subsidiary, or an Affiliate in any capacity. The Company and its Parents, Subsidiaries, and Affiliates reserve the right to terminate your Service at any time, with or without cause.</w:t>
      </w:r>
    </w:p>
    <w:p>
      <w:pPr>
        <w:spacing w:after="0" w:line="75" w:lineRule="exact"/>
        <w:rPr>
          <w:sz w:val="20"/>
          <w:szCs w:val="20"/>
          <w:color w:val="auto"/>
        </w:rPr>
      </w:pPr>
    </w:p>
    <w:p>
      <w:pPr>
        <w:sectPr>
          <w:pgSz w:w="11900" w:h="16838" w:orient="portrait"/>
          <w:cols w:equalWidth="0" w:num="2">
            <w:col w:w="1560" w:space="660"/>
            <w:col w:w="8780"/>
          </w:cols>
          <w:pgMar w:left="440" w:top="273"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Stockholder Rights</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You, or your estate or heirs, have no rights as a stockholder of the Company until you have exercised this option by giving the required notice to the Company, paying the exercise price, and satisfying any applicable Tax-Related Items. No adjustments are made for dividends or other rights if the applicable record date occurs before you exercise this option, except as described in the Plan.</w:t>
      </w:r>
    </w:p>
    <w:p>
      <w:pPr>
        <w:spacing w:after="0" w:line="75" w:lineRule="exact"/>
        <w:rPr>
          <w:sz w:val="20"/>
          <w:szCs w:val="20"/>
          <w:color w:val="auto"/>
        </w:rPr>
      </w:pPr>
    </w:p>
    <w:p>
      <w:pPr>
        <w:sectPr>
          <w:pgSz w:w="11900" w:h="16838" w:orient="portrait"/>
          <w:cols w:equalWidth="0" w:num="2">
            <w:col w:w="1500" w:space="720"/>
            <w:col w:w="8780"/>
          </w:cols>
          <w:pgMar w:left="440" w:top="273"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Recoupment Policy</w:t>
      </w:r>
    </w:p>
    <w:p>
      <w:pPr>
        <w:spacing w:after="0" w:line="20" w:lineRule="exact"/>
        <w:rPr>
          <w:sz w:val="20"/>
          <w:szCs w:val="20"/>
          <w:color w:val="auto"/>
        </w:rPr>
      </w:pPr>
      <w:r>
        <w:rPr>
          <w:sz w:val="20"/>
          <w:szCs w:val="20"/>
          <w:color w:val="auto"/>
        </w:rPr>
        <w:br w:type="column"/>
      </w:r>
    </w:p>
    <w:p>
      <w:pPr>
        <w:ind w:right="620"/>
        <w:spacing w:after="0" w:line="277" w:lineRule="auto"/>
        <w:rPr>
          <w:sz w:val="20"/>
          <w:szCs w:val="20"/>
          <w:color w:val="auto"/>
        </w:rPr>
      </w:pPr>
      <w:r>
        <w:rPr>
          <w:rFonts w:ascii="Arial" w:cs="Arial" w:eastAsia="Arial" w:hAnsi="Arial"/>
          <w:sz w:val="18"/>
          <w:szCs w:val="18"/>
          <w:color w:val="auto"/>
        </w:rPr>
        <w:t>This option, and the shares acquired upon exercise of this option, shall be subject to any Company recoupment or clawback policy in effect from time to time.</w:t>
      </w:r>
    </w:p>
    <w:p>
      <w:pPr>
        <w:sectPr>
          <w:pgSz w:w="11900" w:h="16838" w:orient="portrait"/>
          <w:cols w:equalWidth="0" w:num="2">
            <w:col w:w="1500" w:space="720"/>
            <w:col w:w="8780"/>
          </w:cols>
          <w:pgMar w:left="440" w:top="273" w:right="459" w:bottom="1440" w:gutter="0" w:footer="0" w:header="0"/>
          <w:type w:val="continuous"/>
        </w:sectPr>
      </w:pPr>
    </w:p>
    <w:bookmarkStart w:id="505" w:name="page506"/>
    <w:bookmarkEnd w:id="505"/>
    <w:p>
      <w:pPr>
        <w:spacing w:after="0"/>
        <w:tabs>
          <w:tab w:leader="none" w:pos="220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Adjustments</w:t>
      </w:r>
      <w:r>
        <w:rPr>
          <w:sz w:val="20"/>
          <w:szCs w:val="20"/>
          <w:color w:val="auto"/>
        </w:rPr>
        <w:tab/>
      </w:r>
      <w:r>
        <w:rPr>
          <w:rFonts w:ascii="Arial" w:cs="Arial" w:eastAsia="Arial" w:hAnsi="Arial"/>
          <w:sz w:val="16"/>
          <w:szCs w:val="16"/>
          <w:color w:val="auto"/>
        </w:rPr>
        <w:t>In the event of a stock split, a stock dividend or a similar change in Company common stock, the number of shares</w:t>
      </w:r>
    </w:p>
    <w:p>
      <w:pPr>
        <w:spacing w:after="0" w:line="50"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covered by this option and the exercise price per share will be adjusted pursuant to the Plan.</w:t>
      </w:r>
    </w:p>
    <w:p>
      <w:pPr>
        <w:spacing w:after="0" w:line="99"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Effect of Significant</w:t>
      </w:r>
      <w:r>
        <w:rPr>
          <w:sz w:val="20"/>
          <w:szCs w:val="20"/>
          <w:color w:val="auto"/>
        </w:rPr>
        <w:tab/>
      </w:r>
      <w:r>
        <w:rPr>
          <w:rFonts w:ascii="Arial" w:cs="Arial" w:eastAsia="Arial" w:hAnsi="Arial"/>
          <w:sz w:val="16"/>
          <w:szCs w:val="16"/>
          <w:color w:val="auto"/>
        </w:rPr>
        <w:t>If the Company is a party to a merger, consolidation, or certain change in control transactions, then this option will be</w:t>
      </w:r>
    </w:p>
    <w:p>
      <w:pPr>
        <w:spacing w:after="0" w:line="27"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8"/>
          <w:szCs w:val="18"/>
          <w:b w:val="1"/>
          <w:bCs w:val="1"/>
          <w:color w:val="auto"/>
        </w:rPr>
        <w:t>Corporate Transactions</w:t>
      </w:r>
      <w:r>
        <w:rPr>
          <w:sz w:val="20"/>
          <w:szCs w:val="20"/>
          <w:color w:val="auto"/>
        </w:rPr>
        <w:tab/>
      </w:r>
      <w:r>
        <w:rPr>
          <w:rFonts w:ascii="Arial" w:cs="Arial" w:eastAsia="Arial" w:hAnsi="Arial"/>
          <w:sz w:val="16"/>
          <w:szCs w:val="16"/>
          <w:color w:val="auto"/>
        </w:rPr>
        <w:t>subject to the applicable provisions of Article 9 of the Plan.</w:t>
      </w:r>
    </w:p>
    <w:p>
      <w:pPr>
        <w:spacing w:after="0" w:line="99"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Applicable Law</w:t>
      </w:r>
      <w:r>
        <w:rPr>
          <w:sz w:val="20"/>
          <w:szCs w:val="20"/>
          <w:color w:val="auto"/>
        </w:rPr>
        <w:tab/>
      </w:r>
      <w:r>
        <w:rPr>
          <w:rFonts w:ascii="Arial" w:cs="Arial" w:eastAsia="Arial" w:hAnsi="Arial"/>
          <w:sz w:val="16"/>
          <w:szCs w:val="16"/>
          <w:color w:val="auto"/>
        </w:rPr>
        <w:t>This Agreement will be interpreted and enforced under the laws of the State of Delaware (without regard to its</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choice-of-law provisions).</w:t>
      </w:r>
    </w:p>
    <w:p>
      <w:pPr>
        <w:sectPr>
          <w:pgSz w:w="11900" w:h="16838" w:orient="portrait"/>
          <w:cols w:equalWidth="0" w:num="1">
            <w:col w:w="10720"/>
          </w:cols>
          <w:pgMar w:left="440" w:top="269" w:right="739" w:bottom="1440" w:gutter="0" w:footer="0" w:header="0"/>
        </w:sectPr>
      </w:pPr>
    </w:p>
    <w:p>
      <w:pPr>
        <w:spacing w:after="0" w:line="99" w:lineRule="exact"/>
        <w:rPr>
          <w:sz w:val="20"/>
          <w:szCs w:val="20"/>
          <w:color w:val="auto"/>
        </w:rPr>
      </w:pPr>
    </w:p>
    <w:p>
      <w:pPr>
        <w:ind w:left="180" w:hanging="179"/>
        <w:spacing w:after="0" w:line="347" w:lineRule="auto"/>
        <w:rPr>
          <w:sz w:val="20"/>
          <w:szCs w:val="20"/>
          <w:color w:val="auto"/>
        </w:rPr>
      </w:pPr>
      <w:r>
        <w:rPr>
          <w:rFonts w:ascii="Arial" w:cs="Arial" w:eastAsia="Arial" w:hAnsi="Arial"/>
          <w:sz w:val="16"/>
          <w:szCs w:val="16"/>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text of the Plan is incorporated in this Agreement by reference.</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Plan, this Agreement and the Grant Notice constitute the entire understanding between you and the Company regarding this option. Any prior agreements, commitments or negotiations concerning this option are superseded. This Agreement may be amended only by another written agreement between the parties.</w:t>
      </w:r>
    </w:p>
    <w:p>
      <w:pPr>
        <w:spacing w:after="0" w:line="175" w:lineRule="exact"/>
        <w:rPr>
          <w:sz w:val="20"/>
          <w:szCs w:val="20"/>
          <w:color w:val="auto"/>
        </w:rPr>
      </w:pPr>
    </w:p>
    <w:p>
      <w:pPr>
        <w:jc w:val="center"/>
        <w:ind w:right="1920"/>
        <w:spacing w:after="0"/>
        <w:rPr>
          <w:sz w:val="20"/>
          <w:szCs w:val="20"/>
          <w:color w:val="auto"/>
        </w:rPr>
      </w:pPr>
      <w:r>
        <w:rPr>
          <w:rFonts w:ascii="Arial" w:cs="Arial" w:eastAsia="Arial" w:hAnsi="Arial"/>
          <w:sz w:val="18"/>
          <w:szCs w:val="18"/>
          <w:b w:val="1"/>
          <w:bCs w:val="1"/>
          <w:color w:val="auto"/>
        </w:rPr>
        <w:t>BY ACCEPTING THIS OPTION GRANT, YOU AGREE TO ALL OF THE TERMS</w:t>
      </w:r>
    </w:p>
    <w:p>
      <w:pPr>
        <w:spacing w:after="0" w:line="27" w:lineRule="exact"/>
        <w:rPr>
          <w:sz w:val="20"/>
          <w:szCs w:val="20"/>
          <w:color w:val="auto"/>
        </w:rPr>
      </w:pPr>
    </w:p>
    <w:p>
      <w:pPr>
        <w:jc w:val="center"/>
        <w:ind w:right="1920"/>
        <w:spacing w:after="0"/>
        <w:rPr>
          <w:sz w:val="20"/>
          <w:szCs w:val="20"/>
          <w:color w:val="auto"/>
        </w:rPr>
      </w:pPr>
      <w:r>
        <w:rPr>
          <w:rFonts w:ascii="Arial" w:cs="Arial" w:eastAsia="Arial" w:hAnsi="Arial"/>
          <w:sz w:val="18"/>
          <w:szCs w:val="18"/>
          <w:b w:val="1"/>
          <w:bCs w:val="1"/>
          <w:color w:val="auto"/>
        </w:rPr>
        <w:t>AND CONDITIONS DESCRIBED ABOVE AND IN THE PLAN.</w:t>
      </w:r>
    </w:p>
    <w:p>
      <w:pPr>
        <w:sectPr>
          <w:pgSz w:w="11900" w:h="16838" w:orient="portrait"/>
          <w:cols w:equalWidth="0" w:num="2">
            <w:col w:w="1540" w:space="680"/>
            <w:col w:w="8500"/>
          </w:cols>
          <w:pgMar w:left="440" w:top="269" w:right="739" w:bottom="1440" w:gutter="0" w:footer="0" w:header="0"/>
          <w:type w:val="continuous"/>
        </w:sectPr>
      </w:pPr>
    </w:p>
    <w:bookmarkStart w:id="506" w:name="page507"/>
    <w:bookmarkEnd w:id="506"/>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LYWIRE CORPORATION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(AS ADOPTED ON APRIL 28, 2021)</w:t>
      </w:r>
    </w:p>
    <w:p>
      <w:pPr>
        <w:sectPr>
          <w:pgSz w:w="11900" w:h="16838" w:orient="portrait"/>
          <w:cols w:equalWidth="0" w:num="1">
            <w:col w:w="10020"/>
          </w:cols>
          <w:pgMar w:left="1440" w:top="121" w:right="439" w:bottom="1440" w:gutter="0" w:footer="0" w:header="0"/>
        </w:sectPr>
      </w:pPr>
    </w:p>
    <w:bookmarkStart w:id="507" w:name="page508"/>
    <w:bookmarkEnd w:id="5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w:t>
      </w:r>
      <w:r>
        <w:rPr>
          <w:rFonts w:ascii="Arial" w:cs="Arial" w:eastAsia="Arial" w:hAnsi="Arial"/>
          <w:sz w:val="14"/>
          <w:szCs w:val="14"/>
          <w:b w:val="1"/>
          <w:bCs w:val="1"/>
          <w:color w:val="auto"/>
        </w:rPr>
        <w:t>LYWIRE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7"/>
          <w:szCs w:val="17"/>
          <w:b w:val="1"/>
          <w:bCs w:val="1"/>
          <w:color w:val="auto"/>
        </w:rPr>
        <w:t>PURPOSE OF THE PLAN.</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Board adopted the Plan effective as of the IPO Date. The purpose of the Plan is to provide Eligible Employees with an opportunity to increase their proprietary interest in the success of the Company by purchasing Stock from the Company on favorable terms and to pay for such purchases through payroll deductions or other approved contributions.</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2.</w:t>
        <w:tab/>
        <w:t>ADMINISTRATION OF THE PLAN.</w:t>
      </w:r>
    </w:p>
    <w:p>
      <w:pPr>
        <w:spacing w:after="0" w:line="117" w:lineRule="exact"/>
        <w:rPr>
          <w:sz w:val="20"/>
          <w:szCs w:val="20"/>
          <w:color w:val="auto"/>
        </w:rPr>
      </w:pPr>
    </w:p>
    <w:p>
      <w:pPr>
        <w:ind w:right="100" w:firstLine="436"/>
        <w:spacing w:after="0" w:line="292" w:lineRule="auto"/>
        <w:tabs>
          <w:tab w:leader="none" w:pos="820" w:val="left"/>
        </w:tabs>
        <w:numPr>
          <w:ilvl w:val="0"/>
          <w:numId w:val="368"/>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The Plan may be administered by the Board or one or more Committees to which the Board (or an authorized Board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has delegated authority. If administration is delegated to a Committee, the Committee shall have the powers theretofore possessed by the Board, including, to the extent permitted by applicable law, the power to delegate to a sub-committee any of the administrative powers the Committee is authorized to exercise (and references in this Plan to either the Board or the Administrator shall hereafter also encompass the Committee or subcommittee, as applicable). The Board may abolish the Committee’s delegation at any time and the Board shall at all times also retain the authority it has delegated to the Committee. Each Committee shall comply with rules and regulations applicable to it, including under the rules of any exchange on which the Stock is traded, and shall have the authority and be responsible for such functions as have been assigned to it.</w:t>
      </w:r>
    </w:p>
    <w:p>
      <w:pPr>
        <w:spacing w:after="0" w:line="161" w:lineRule="exact"/>
        <w:rPr>
          <w:rFonts w:ascii="Arial" w:cs="Arial" w:eastAsia="Arial" w:hAnsi="Arial"/>
          <w:sz w:val="16"/>
          <w:szCs w:val="16"/>
          <w:color w:val="auto"/>
        </w:rPr>
      </w:pPr>
    </w:p>
    <w:p>
      <w:pPr>
        <w:ind w:firstLine="436"/>
        <w:spacing w:after="0" w:line="261" w:lineRule="auto"/>
        <w:tabs>
          <w:tab w:leader="none" w:pos="830" w:val="left"/>
        </w:tabs>
        <w:numPr>
          <w:ilvl w:val="0"/>
          <w:numId w:val="368"/>
        </w:numPr>
        <w:rPr>
          <w:rFonts w:ascii="Arial" w:cs="Arial" w:eastAsia="Arial" w:hAnsi="Arial"/>
          <w:sz w:val="18"/>
          <w:szCs w:val="18"/>
          <w:color w:val="auto"/>
        </w:rPr>
      </w:pPr>
      <w:r>
        <w:rPr>
          <w:rFonts w:ascii="Arial" w:cs="Arial" w:eastAsia="Arial" w:hAnsi="Arial"/>
          <w:sz w:val="18"/>
          <w:szCs w:val="18"/>
          <w:b w:val="1"/>
          <w:bCs w:val="1"/>
          <w:color w:val="auto"/>
        </w:rPr>
        <w:t>Powers of the Administrator</w:t>
      </w:r>
      <w:r>
        <w:rPr>
          <w:rFonts w:ascii="Arial" w:cs="Arial" w:eastAsia="Arial" w:hAnsi="Arial"/>
          <w:sz w:val="18"/>
          <w:szCs w:val="18"/>
          <w:color w:val="auto"/>
        </w:rPr>
        <w:t>. Subject to the terms of the Plan, and in the case of a Committee, subject to the specific duties delegated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the Administrator shall have the power to establish the terms and conditions of Offering Periods (which need not be identical) under the Plan, to interpret the Plan and make all other policy decisions relating to the operation of the Plan. The Administrator may adopt such rules, guidelines and forms as it deems appropriate to implement the Plan.</w:t>
      </w:r>
    </w:p>
    <w:p>
      <w:pPr>
        <w:spacing w:after="0" w:line="179" w:lineRule="exact"/>
        <w:rPr>
          <w:rFonts w:ascii="Arial" w:cs="Arial" w:eastAsia="Arial" w:hAnsi="Arial"/>
          <w:sz w:val="18"/>
          <w:szCs w:val="18"/>
          <w:color w:val="auto"/>
        </w:rPr>
      </w:pPr>
    </w:p>
    <w:p>
      <w:pPr>
        <w:ind w:right="280" w:firstLine="436"/>
        <w:spacing w:after="0" w:line="282" w:lineRule="auto"/>
        <w:tabs>
          <w:tab w:leader="none" w:pos="820" w:val="left"/>
        </w:tabs>
        <w:numPr>
          <w:ilvl w:val="0"/>
          <w:numId w:val="368"/>
        </w:numPr>
        <w:rPr>
          <w:rFonts w:ascii="Arial" w:cs="Arial" w:eastAsia="Arial" w:hAnsi="Arial"/>
          <w:sz w:val="18"/>
          <w:szCs w:val="18"/>
          <w:color w:val="auto"/>
        </w:rPr>
      </w:pPr>
      <w:r>
        <w:rPr>
          <w:rFonts w:ascii="Arial" w:cs="Arial" w:eastAsia="Arial" w:hAnsi="Arial"/>
          <w:sz w:val="18"/>
          <w:szCs w:val="18"/>
          <w:b w:val="1"/>
          <w:bCs w:val="1"/>
          <w:color w:val="auto"/>
        </w:rPr>
        <w:t>Effects of Administrator’s Decisions</w:t>
      </w:r>
      <w:r>
        <w:rPr>
          <w:rFonts w:ascii="Arial" w:cs="Arial" w:eastAsia="Arial" w:hAnsi="Arial"/>
          <w:sz w:val="18"/>
          <w:szCs w:val="18"/>
          <w:color w:val="auto"/>
        </w:rPr>
        <w:t>. The Administrator’s decisions, determinations and interpretations shall be final and binding on all</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parties.</w:t>
      </w:r>
    </w:p>
    <w:p>
      <w:pPr>
        <w:spacing w:after="0" w:line="161" w:lineRule="exact"/>
        <w:rPr>
          <w:rFonts w:ascii="Arial" w:cs="Arial" w:eastAsia="Arial" w:hAnsi="Arial"/>
          <w:sz w:val="18"/>
          <w:szCs w:val="18"/>
          <w:color w:val="auto"/>
        </w:rPr>
      </w:pPr>
    </w:p>
    <w:p>
      <w:pPr>
        <w:ind w:right="240" w:firstLine="436"/>
        <w:spacing w:after="0" w:line="282" w:lineRule="auto"/>
        <w:tabs>
          <w:tab w:leader="none" w:pos="830" w:val="left"/>
        </w:tabs>
        <w:numPr>
          <w:ilvl w:val="0"/>
          <w:numId w:val="368"/>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shall be governed by, and construed in accordance with, the laws of the State of Delaware (except its choice of</w:t>
      </w:r>
      <w:r>
        <w:rPr>
          <w:rFonts w:ascii="Arial" w:cs="Arial" w:eastAsia="Arial" w:hAnsi="Arial"/>
          <w:sz w:val="18"/>
          <w:szCs w:val="18"/>
          <w:b w:val="1"/>
          <w:bCs w:val="1"/>
          <w:color w:val="auto"/>
        </w:rPr>
        <w:t xml:space="preserve"> </w:t>
      </w:r>
      <w:r>
        <w:rPr>
          <w:rFonts w:ascii="Arial" w:cs="Arial" w:eastAsia="Arial" w:hAnsi="Arial"/>
          <w:sz w:val="18"/>
          <w:szCs w:val="18"/>
          <w:color w:val="auto"/>
        </w:rPr>
        <w:t>law provisions).</w:t>
      </w:r>
    </w:p>
    <w:p>
      <w:pPr>
        <w:spacing w:after="0" w:line="2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STOCK OFFERED UNDER THE PLAN.</w:t>
      </w:r>
    </w:p>
    <w:p>
      <w:pPr>
        <w:spacing w:after="0" w:line="117" w:lineRule="exact"/>
        <w:rPr>
          <w:sz w:val="20"/>
          <w:szCs w:val="20"/>
          <w:color w:val="auto"/>
        </w:rPr>
      </w:pPr>
    </w:p>
    <w:p>
      <w:pPr>
        <w:ind w:right="100" w:firstLine="436"/>
        <w:spacing w:after="0" w:line="266" w:lineRule="auto"/>
        <w:tabs>
          <w:tab w:leader="none" w:pos="820" w:val="left"/>
        </w:tabs>
        <w:numPr>
          <w:ilvl w:val="0"/>
          <w:numId w:val="369"/>
        </w:numPr>
        <w:rPr>
          <w:rFonts w:ascii="Arial" w:cs="Arial" w:eastAsia="Arial" w:hAnsi="Arial"/>
          <w:sz w:val="18"/>
          <w:szCs w:val="18"/>
          <w:color w:val="auto"/>
        </w:rPr>
      </w:pPr>
      <w:r>
        <w:rPr>
          <w:rFonts w:ascii="Arial" w:cs="Arial" w:eastAsia="Arial" w:hAnsi="Arial"/>
          <w:sz w:val="18"/>
          <w:szCs w:val="18"/>
          <w:b w:val="1"/>
          <w:bCs w:val="1"/>
          <w:color w:val="auto"/>
        </w:rPr>
        <w:t>Authorized Shares</w:t>
      </w:r>
      <w:r>
        <w:rPr>
          <w:rFonts w:ascii="Arial" w:cs="Arial" w:eastAsia="Arial" w:hAnsi="Arial"/>
          <w:sz w:val="18"/>
          <w:szCs w:val="18"/>
          <w:color w:val="auto"/>
        </w:rPr>
        <w:t>. The number of shares of Stock available for purchase under the Plan shall be 1,639,810 shares of the Company’s Stock</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adjustment pursuant to Subsection (c) below), plus the additional shares described in Subsection (b) below. Shares of Stock issued pursuant to the Plan may be authorized but unissued shares or treasury shares.</w:t>
      </w:r>
    </w:p>
    <w:p>
      <w:pPr>
        <w:sectPr>
          <w:pgSz w:w="11900" w:h="16838" w:orient="portrait"/>
          <w:cols w:equalWidth="0" w:num="1">
            <w:col w:w="11000"/>
          </w:cols>
          <w:pgMar w:left="440" w:top="269" w:right="459" w:bottom="1440" w:gutter="0" w:footer="0" w:header="0"/>
        </w:sectPr>
      </w:pPr>
    </w:p>
    <w:bookmarkStart w:id="508" w:name="page509"/>
    <w:bookmarkEnd w:id="508"/>
    <w:p>
      <w:pPr>
        <w:ind w:right="120" w:firstLine="436"/>
        <w:spacing w:after="0" w:line="258" w:lineRule="auto"/>
        <w:tabs>
          <w:tab w:leader="none" w:pos="830" w:val="left"/>
        </w:tabs>
        <w:numPr>
          <w:ilvl w:val="0"/>
          <w:numId w:val="37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Annual Increase in Shares</w:t>
      </w:r>
      <w:r>
        <w:rPr>
          <w:rFonts w:ascii="Arial" w:cs="Arial" w:eastAsia="Arial" w:hAnsi="Arial"/>
          <w:sz w:val="18"/>
          <w:szCs w:val="18"/>
          <w:color w:val="auto"/>
        </w:rPr>
        <w:t>. On the first day of each fiscal year of the Company during the term of the Plan, commencing on January 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2022 and ending on (and including) January 1, 2041, the aggregate number of shares of Stock that may be issued under the Plan shall automatically increase by a number equal to the least of (i) one percent </w:t>
      </w:r>
      <w:r>
        <w:rPr>
          <w:rFonts w:ascii="Arial" w:cs="Arial" w:eastAsia="Arial" w:hAnsi="Arial"/>
          <w:sz w:val="18"/>
          <w:szCs w:val="18"/>
          <w:b w:val="1"/>
          <w:bCs w:val="1"/>
          <w:color w:val="auto"/>
        </w:rPr>
        <w:t>(</w:t>
      </w:r>
      <w:r>
        <w:rPr>
          <w:rFonts w:ascii="Arial" w:cs="Arial" w:eastAsia="Arial" w:hAnsi="Arial"/>
          <w:sz w:val="18"/>
          <w:szCs w:val="18"/>
          <w:color w:val="auto"/>
        </w:rPr>
        <w:t>1%) of the total number of shares of Stock actually issued and outstanding on the last day of the preceding fiscal year, or (ii) 2,000,000 shares of Stock (subject to adjustment pursuant to Subsection (c) below), or (iii) a number of shares of Stock determined by the Board.</w:t>
      </w:r>
    </w:p>
    <w:p>
      <w:pPr>
        <w:spacing w:after="0" w:line="183" w:lineRule="exact"/>
        <w:rPr>
          <w:rFonts w:ascii="Arial" w:cs="Arial" w:eastAsia="Arial" w:hAnsi="Arial"/>
          <w:sz w:val="18"/>
          <w:szCs w:val="18"/>
          <w:color w:val="auto"/>
        </w:rPr>
      </w:pPr>
    </w:p>
    <w:p>
      <w:pPr>
        <w:ind w:right="40" w:firstLine="436"/>
        <w:spacing w:after="0" w:line="273" w:lineRule="auto"/>
        <w:tabs>
          <w:tab w:leader="none" w:pos="820" w:val="left"/>
        </w:tabs>
        <w:numPr>
          <w:ilvl w:val="0"/>
          <w:numId w:val="370"/>
        </w:numPr>
        <w:rPr>
          <w:rFonts w:ascii="Arial" w:cs="Arial" w:eastAsia="Arial" w:hAnsi="Arial"/>
          <w:sz w:val="17"/>
          <w:szCs w:val="17"/>
          <w:color w:val="auto"/>
        </w:rPr>
      </w:pPr>
      <w:r>
        <w:rPr>
          <w:rFonts w:ascii="Arial" w:cs="Arial" w:eastAsia="Arial" w:hAnsi="Arial"/>
          <w:sz w:val="17"/>
          <w:szCs w:val="17"/>
          <w:b w:val="1"/>
          <w:bCs w:val="1"/>
          <w:color w:val="auto"/>
        </w:rPr>
        <w:t>Anti-Dilution Adjustments</w:t>
      </w:r>
      <w:r>
        <w:rPr>
          <w:rFonts w:ascii="Arial" w:cs="Arial" w:eastAsia="Arial" w:hAnsi="Arial"/>
          <w:sz w:val="17"/>
          <w:szCs w:val="17"/>
          <w:color w:val="auto"/>
        </w:rPr>
        <w:t>. In the event that any dividend or other distribution (whether in the form of cash, stock or other securities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property), recapitalization, stock split, reverse stock split, reorganization, merger, consolidation, split-up, spin-off, combination, reclassification, repurchase, or exchange of Stock or other securities of the Company, or other similar change in the corporate structure of the Company affecting the Stock and effected without receipt or payment of consideration by the Company occurs, then in order to prevent dilution or enlargement of the benefits or potential benefits intended to be made available under the Plan, there will be a proportionate adjustment of the number and class of Stock that may be delivered under the Plan, the Purchase Price per share and the number of shares and class of Stock covered by each option under the Plan which has not yet been exercised, and the numerical limits of Sections 3(a), 3(b)(ii) and 9(c).</w:t>
      </w:r>
    </w:p>
    <w:p>
      <w:pPr>
        <w:spacing w:after="0" w:line="171" w:lineRule="exact"/>
        <w:rPr>
          <w:rFonts w:ascii="Arial" w:cs="Arial" w:eastAsia="Arial" w:hAnsi="Arial"/>
          <w:sz w:val="17"/>
          <w:szCs w:val="17"/>
          <w:color w:val="auto"/>
        </w:rPr>
      </w:pPr>
    </w:p>
    <w:p>
      <w:pPr>
        <w:ind w:firstLine="436"/>
        <w:spacing w:after="0" w:line="294" w:lineRule="auto"/>
        <w:tabs>
          <w:tab w:leader="none" w:pos="830" w:val="left"/>
        </w:tabs>
        <w:numPr>
          <w:ilvl w:val="0"/>
          <w:numId w:val="370"/>
        </w:numPr>
        <w:rPr>
          <w:rFonts w:ascii="Arial" w:cs="Arial" w:eastAsia="Arial" w:hAnsi="Arial"/>
          <w:sz w:val="16"/>
          <w:szCs w:val="16"/>
          <w:color w:val="auto"/>
        </w:rPr>
      </w:pPr>
      <w:r>
        <w:rPr>
          <w:rFonts w:ascii="Arial" w:cs="Arial" w:eastAsia="Arial" w:hAnsi="Arial"/>
          <w:sz w:val="16"/>
          <w:szCs w:val="16"/>
          <w:b w:val="1"/>
          <w:bCs w:val="1"/>
          <w:color w:val="auto"/>
        </w:rPr>
        <w:t>Reorganizations</w:t>
      </w:r>
      <w:r>
        <w:rPr>
          <w:rFonts w:ascii="Arial" w:cs="Arial" w:eastAsia="Arial" w:hAnsi="Arial"/>
          <w:sz w:val="16"/>
          <w:szCs w:val="16"/>
          <w:color w:val="auto"/>
        </w:rPr>
        <w:t>. In the event of a Corporate Reorganization, the outstanding rights to purchase Stock under any Offering Period then in</w:t>
      </w:r>
      <w:r>
        <w:rPr>
          <w:rFonts w:ascii="Arial" w:cs="Arial" w:eastAsia="Arial" w:hAnsi="Arial"/>
          <w:sz w:val="16"/>
          <w:szCs w:val="16"/>
          <w:b w:val="1"/>
          <w:bCs w:val="1"/>
          <w:color w:val="auto"/>
        </w:rPr>
        <w:t xml:space="preserve"> </w:t>
      </w:r>
      <w:r>
        <w:rPr>
          <w:rFonts w:ascii="Arial" w:cs="Arial" w:eastAsia="Arial" w:hAnsi="Arial"/>
          <w:sz w:val="16"/>
          <w:szCs w:val="16"/>
          <w:color w:val="auto"/>
        </w:rPr>
        <w:t>progress may be continued, assumed or substituted by the surviving entity or its parent. If such acquirer refuses to continue, assume or substitute for any such rights, then a new Purchase Date for such Offering Period(s) will be set prior to the effective time of the Corporate Reorganization, the Participants’ accumulated contributions will be applied to purchase Stock on such date, and any such Offering Periods shall terminate immediately after such purchase. In the event a new Purchase Date is set under this Section 3(d), Participants will be given notice of the new Purchase Date. The Plan shall in no event be construed to restrict in any way the Company’s right to undertake a dissolution, liquidation, merger, consolidation or other reorganization.</w:t>
      </w:r>
    </w:p>
    <w:p>
      <w:pPr>
        <w:spacing w:after="0" w:line="2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4.</w:t>
        <w:tab/>
        <w:t>ENROLLMENT AND PARTICIPATION.</w:t>
      </w:r>
    </w:p>
    <w:p>
      <w:pPr>
        <w:spacing w:after="0" w:line="117" w:lineRule="exact"/>
        <w:rPr>
          <w:sz w:val="20"/>
          <w:szCs w:val="20"/>
          <w:color w:val="auto"/>
        </w:rPr>
      </w:pPr>
    </w:p>
    <w:p>
      <w:pPr>
        <w:ind w:left="820" w:hanging="384"/>
        <w:spacing w:after="0"/>
        <w:tabs>
          <w:tab w:leader="none" w:pos="820" w:val="left"/>
        </w:tabs>
        <w:numPr>
          <w:ilvl w:val="0"/>
          <w:numId w:val="371"/>
        </w:numPr>
        <w:rPr>
          <w:rFonts w:ascii="Arial" w:cs="Arial" w:eastAsia="Arial" w:hAnsi="Arial"/>
          <w:sz w:val="18"/>
          <w:szCs w:val="18"/>
          <w:color w:val="auto"/>
        </w:rPr>
      </w:pPr>
      <w:r>
        <w:rPr>
          <w:rFonts w:ascii="Arial" w:cs="Arial" w:eastAsia="Arial" w:hAnsi="Arial"/>
          <w:sz w:val="18"/>
          <w:szCs w:val="18"/>
          <w:b w:val="1"/>
          <w:bCs w:val="1"/>
          <w:color w:val="auto"/>
        </w:rPr>
        <w:t>Offering Periods and Purchase Periods.</w:t>
      </w:r>
    </w:p>
    <w:p>
      <w:pPr>
        <w:spacing w:after="0" w:line="130" w:lineRule="exact"/>
        <w:rPr>
          <w:rFonts w:ascii="Arial" w:cs="Arial" w:eastAsia="Arial" w:hAnsi="Arial"/>
          <w:sz w:val="18"/>
          <w:szCs w:val="18"/>
          <w:color w:val="auto"/>
        </w:rPr>
      </w:pPr>
    </w:p>
    <w:p>
      <w:pPr>
        <w:ind w:left="1420" w:right="240" w:hanging="439"/>
        <w:spacing w:after="0" w:line="294" w:lineRule="auto"/>
        <w:tabs>
          <w:tab w:leader="none" w:pos="1420" w:val="left"/>
        </w:tabs>
        <w:numPr>
          <w:ilvl w:val="1"/>
          <w:numId w:val="371"/>
        </w:numPr>
        <w:rPr>
          <w:rFonts w:ascii="Arial" w:cs="Arial" w:eastAsia="Arial" w:hAnsi="Arial"/>
          <w:sz w:val="16"/>
          <w:szCs w:val="16"/>
          <w:color w:val="auto"/>
        </w:rPr>
      </w:pPr>
      <w:r>
        <w:rPr>
          <w:rFonts w:ascii="Arial" w:cs="Arial" w:eastAsia="Arial" w:hAnsi="Arial"/>
          <w:sz w:val="16"/>
          <w:szCs w:val="16"/>
          <w:b w:val="1"/>
          <w:bCs w:val="1"/>
          <w:color w:val="auto"/>
        </w:rPr>
        <w:t>Base Offering Periods</w:t>
      </w:r>
      <w:r>
        <w:rPr>
          <w:rFonts w:ascii="Arial" w:cs="Arial" w:eastAsia="Arial" w:hAnsi="Arial"/>
          <w:sz w:val="16"/>
          <w:szCs w:val="16"/>
          <w:color w:val="auto"/>
        </w:rPr>
        <w:t>. The Administrator may from time to time establish Offering Periods (consisting of one or more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of such frequency and duration as it may deem appropriate (the “</w:t>
      </w:r>
      <w:r>
        <w:rPr>
          <w:rFonts w:ascii="Arial" w:cs="Arial" w:eastAsia="Arial" w:hAnsi="Arial"/>
          <w:sz w:val="16"/>
          <w:szCs w:val="16"/>
          <w:b w:val="1"/>
          <w:bCs w:val="1"/>
          <w:i w:val="1"/>
          <w:iCs w:val="1"/>
          <w:color w:val="auto"/>
        </w:rPr>
        <w:t>Base Offering Periods</w:t>
      </w:r>
      <w:r>
        <w:rPr>
          <w:rFonts w:ascii="Arial" w:cs="Arial" w:eastAsia="Arial" w:hAnsi="Arial"/>
          <w:sz w:val="16"/>
          <w:szCs w:val="16"/>
          <w:color w:val="auto"/>
        </w:rPr>
        <w:t>”); provided that a Base Offering Period shall in no event be longer than 27 months (or such other period as may be imposed under applicable tax law). Each Base Offering Period shall contain such terms and conditions (consistent with the Plan) as the Administrator deems appropriate. Within the limits of the Plan, the Administrator may change the frequency, duration and other terms and conditions of the Base Offering Periods as it deems appropriate from time to time. The Base Offering Periods are intended to qualify under Code Section 423.</w:t>
      </w:r>
    </w:p>
    <w:p>
      <w:pPr>
        <w:sectPr>
          <w:pgSz w:w="11900" w:h="16838" w:orient="portrait"/>
          <w:cols w:equalWidth="0" w:num="1">
            <w:col w:w="11000"/>
          </w:cols>
          <w:pgMar w:left="440" w:top="269" w:right="459" w:bottom="1440" w:gutter="0" w:footer="0" w:header="0"/>
        </w:sectPr>
      </w:pPr>
    </w:p>
    <w:bookmarkStart w:id="509" w:name="page510"/>
    <w:bookmarkEnd w:id="509"/>
    <w:p>
      <w:pPr>
        <w:ind w:left="984" w:hanging="439"/>
        <w:spacing w:after="0" w:line="286" w:lineRule="auto"/>
        <w:tabs>
          <w:tab w:leader="none" w:pos="984" w:val="left"/>
        </w:tabs>
        <w:numPr>
          <w:ilvl w:val="1"/>
          <w:numId w:val="372"/>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Offering Periods</w:t>
      </w:r>
      <w:r>
        <w:rPr>
          <w:rFonts w:ascii="Arial" w:cs="Arial" w:eastAsia="Arial" w:hAnsi="Arial"/>
          <w:sz w:val="16"/>
          <w:szCs w:val="16"/>
          <w:color w:val="auto"/>
        </w:rPr>
        <w:t>. At the discretion of the Administrator, additional Offering Periods (the “</w:t>
      </w:r>
      <w:r>
        <w:rPr>
          <w:rFonts w:ascii="Arial" w:cs="Arial" w:eastAsia="Arial" w:hAnsi="Arial"/>
          <w:sz w:val="16"/>
          <w:szCs w:val="16"/>
          <w:b w:val="1"/>
          <w:bCs w:val="1"/>
          <w:i w:val="1"/>
          <w:iCs w:val="1"/>
          <w:color w:val="auto"/>
        </w:rPr>
        <w:t>Additional Offering</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Periods</w:t>
      </w:r>
      <w:r>
        <w:rPr>
          <w:rFonts w:ascii="Arial" w:cs="Arial" w:eastAsia="Arial" w:hAnsi="Arial"/>
          <w:sz w:val="16"/>
          <w:szCs w:val="16"/>
          <w:color w:val="auto"/>
        </w:rPr>
        <w:t>”) may be conducted under the Plan including, if necessary or advisable in the sole discretion of the Administrator, under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separate sub-plan or sub-plans, permitting grants to Eligible Employees of certain Participating Companies (each, a “</w:t>
      </w:r>
      <w:r>
        <w:rPr>
          <w:rFonts w:ascii="Arial" w:cs="Arial" w:eastAsia="Arial" w:hAnsi="Arial"/>
          <w:sz w:val="16"/>
          <w:szCs w:val="16"/>
          <w:b w:val="1"/>
          <w:bCs w:val="1"/>
          <w:i w:val="1"/>
          <w:iCs w:val="1"/>
          <w:color w:val="auto"/>
        </w:rPr>
        <w:t>Sub-Plan</w:t>
      </w:r>
      <w:r>
        <w:rPr>
          <w:rFonts w:ascii="Arial" w:cs="Arial" w:eastAsia="Arial" w:hAnsi="Arial"/>
          <w:sz w:val="16"/>
          <w:szCs w:val="16"/>
          <w:color w:val="auto"/>
        </w:rPr>
        <w:t>”). Such Additional Offering Periods will be designed to achieve desired tax objectives in particular locations outside the United States or to comply with local laws applicable to offerings in such foreign jurisdictions and may, but need not, qualify under Code Section 423. The Administrator shall determine the commencement and duration of each Additional Offering Period, and Additional Offering Periods may be consecutive or overlapping. The other terms and conditions of each Additional Offering Period shall be those set forth in this Plan document or in terms and conditions approved by the Administrator with respect to such Additional Offering Period (whether or not set forth in a written Sub-Plan), with such changes or additional features as the Administrator determines necessary to comply with local law. Each Additional Offering Period (whether or not set forth in a written Sub-Plan) shall be considered a separate plan from the Plan (the “</w:t>
      </w:r>
      <w:r>
        <w:rPr>
          <w:rFonts w:ascii="Arial" w:cs="Arial" w:eastAsia="Arial" w:hAnsi="Arial"/>
          <w:sz w:val="16"/>
          <w:szCs w:val="16"/>
          <w:b w:val="1"/>
          <w:bCs w:val="1"/>
          <w:i w:val="1"/>
          <w:iCs w:val="1"/>
          <w:color w:val="auto"/>
        </w:rPr>
        <w:t>Statutory Plan</w:t>
      </w:r>
      <w:r>
        <w:rPr>
          <w:rFonts w:ascii="Arial" w:cs="Arial" w:eastAsia="Arial" w:hAnsi="Arial"/>
          <w:sz w:val="16"/>
          <w:szCs w:val="16"/>
          <w:color w:val="auto"/>
        </w:rPr>
        <w:t>”). The total number of Shares authorized to be issued under the Plan as provided in Section 3 above applies in the aggregate to both the Statutory Plan and any Additional Offering Period. Unless otherwise superseded by the terms and conditions approved by the Administrator with respect to an Additional Offering Period, the provisions of this Plan document shall govern the operation of any offering conducted hereunder.</w:t>
      </w:r>
    </w:p>
    <w:p>
      <w:pPr>
        <w:spacing w:after="0" w:line="76" w:lineRule="exact"/>
        <w:rPr>
          <w:rFonts w:ascii="Arial" w:cs="Arial" w:eastAsia="Arial" w:hAnsi="Arial"/>
          <w:sz w:val="16"/>
          <w:szCs w:val="16"/>
          <w:color w:val="auto"/>
        </w:rPr>
      </w:pPr>
    </w:p>
    <w:p>
      <w:pPr>
        <w:ind w:left="984" w:right="520" w:hanging="439"/>
        <w:spacing w:after="0" w:line="282" w:lineRule="auto"/>
        <w:tabs>
          <w:tab w:leader="none" w:pos="984" w:val="left"/>
        </w:tabs>
        <w:numPr>
          <w:ilvl w:val="1"/>
          <w:numId w:val="372"/>
        </w:numPr>
        <w:rPr>
          <w:rFonts w:ascii="Arial" w:cs="Arial" w:eastAsia="Arial" w:hAnsi="Arial"/>
          <w:sz w:val="18"/>
          <w:szCs w:val="18"/>
          <w:color w:val="auto"/>
        </w:rPr>
      </w:pPr>
      <w:r>
        <w:rPr>
          <w:rFonts w:ascii="Arial" w:cs="Arial" w:eastAsia="Arial" w:hAnsi="Arial"/>
          <w:sz w:val="18"/>
          <w:szCs w:val="18"/>
          <w:b w:val="1"/>
          <w:bCs w:val="1"/>
          <w:color w:val="auto"/>
        </w:rPr>
        <w:t>Separate Offerings</w:t>
      </w:r>
      <w:r>
        <w:rPr>
          <w:rFonts w:ascii="Arial" w:cs="Arial" w:eastAsia="Arial" w:hAnsi="Arial"/>
          <w:sz w:val="18"/>
          <w:szCs w:val="18"/>
          <w:color w:val="auto"/>
        </w:rPr>
        <w:t>. Each Base Offering Period and each Additional Offering Period conducted under the Plan is intended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separate “offering” for purposes of Code Section 423.</w:t>
      </w:r>
    </w:p>
    <w:p>
      <w:pPr>
        <w:spacing w:after="0" w:line="67" w:lineRule="exact"/>
        <w:rPr>
          <w:rFonts w:ascii="Arial" w:cs="Arial" w:eastAsia="Arial" w:hAnsi="Arial"/>
          <w:sz w:val="18"/>
          <w:szCs w:val="18"/>
          <w:color w:val="auto"/>
        </w:rPr>
      </w:pPr>
    </w:p>
    <w:p>
      <w:pPr>
        <w:ind w:left="984" w:right="80" w:hanging="439"/>
        <w:spacing w:after="0" w:line="261" w:lineRule="auto"/>
        <w:tabs>
          <w:tab w:leader="none" w:pos="984" w:val="left"/>
        </w:tabs>
        <w:numPr>
          <w:ilvl w:val="1"/>
          <w:numId w:val="372"/>
        </w:numPr>
        <w:rPr>
          <w:rFonts w:ascii="Arial" w:cs="Arial" w:eastAsia="Arial" w:hAnsi="Arial"/>
          <w:sz w:val="18"/>
          <w:szCs w:val="18"/>
          <w:color w:val="auto"/>
        </w:rPr>
      </w:pPr>
      <w:r>
        <w:rPr>
          <w:rFonts w:ascii="Arial" w:cs="Arial" w:eastAsia="Arial" w:hAnsi="Arial"/>
          <w:sz w:val="18"/>
          <w:szCs w:val="18"/>
          <w:b w:val="1"/>
          <w:bCs w:val="1"/>
          <w:color w:val="auto"/>
        </w:rPr>
        <w:t>Equal Rights and Privileges</w:t>
      </w:r>
      <w:r>
        <w:rPr>
          <w:rFonts w:ascii="Arial" w:cs="Arial" w:eastAsia="Arial" w:hAnsi="Arial"/>
          <w:sz w:val="18"/>
          <w:szCs w:val="18"/>
          <w:color w:val="auto"/>
        </w:rPr>
        <w:t>. To the extent an Offering Period is intended to qualify under Code Section 423, all participants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Offering Period shall have the same rights and privileges with respect to their participation in such Offering Period in accordance with Code Section 423 and the regulations thereunder except for differences that may be mandated by local law and are consistent with the requirements of Code Section 423(b)(5).</w:t>
      </w:r>
    </w:p>
    <w:p>
      <w:pPr>
        <w:spacing w:after="0" w:line="179" w:lineRule="exact"/>
        <w:rPr>
          <w:rFonts w:ascii="Arial" w:cs="Arial" w:eastAsia="Arial" w:hAnsi="Arial"/>
          <w:sz w:val="18"/>
          <w:szCs w:val="18"/>
          <w:color w:val="auto"/>
        </w:rPr>
      </w:pPr>
    </w:p>
    <w:p>
      <w:pPr>
        <w:ind w:left="-436" w:right="20" w:firstLine="436"/>
        <w:spacing w:after="0" w:line="261" w:lineRule="auto"/>
        <w:tabs>
          <w:tab w:leader="none" w:pos="394"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Enrollment</w:t>
      </w:r>
      <w:r>
        <w:rPr>
          <w:rFonts w:ascii="Arial" w:cs="Arial" w:eastAsia="Arial" w:hAnsi="Arial"/>
          <w:sz w:val="18"/>
          <w:szCs w:val="18"/>
          <w:color w:val="auto"/>
        </w:rPr>
        <w:t>. In the case of any individual who qualifies as an Eligible Employee on the first day of any Offering Period, he or she may elect</w:t>
      </w:r>
      <w:r>
        <w:rPr>
          <w:rFonts w:ascii="Arial" w:cs="Arial" w:eastAsia="Arial" w:hAnsi="Arial"/>
          <w:sz w:val="18"/>
          <w:szCs w:val="18"/>
          <w:b w:val="1"/>
          <w:bCs w:val="1"/>
          <w:color w:val="auto"/>
        </w:rPr>
        <w:t xml:space="preserve"> </w:t>
      </w:r>
      <w:r>
        <w:rPr>
          <w:rFonts w:ascii="Arial" w:cs="Arial" w:eastAsia="Arial" w:hAnsi="Arial"/>
          <w:sz w:val="18"/>
          <w:szCs w:val="18"/>
          <w:color w:val="auto"/>
        </w:rPr>
        <w:t>to become a Participant on such day by filing the prescribed enrollment form with the Company. The enrollment form shall be filed in the prescribed manner during the applicable Enrollment Period for such Offering Period. The Administrator may establish other procedures for enrollment by Eligible Employees.</w:t>
      </w:r>
    </w:p>
    <w:p>
      <w:pPr>
        <w:sectPr>
          <w:pgSz w:w="11900" w:h="16838" w:orient="portrait"/>
          <w:cols w:equalWidth="0" w:num="1">
            <w:col w:w="10524"/>
          </w:cols>
          <w:pgMar w:left="876" w:top="269" w:right="499" w:bottom="1440" w:gutter="0" w:footer="0" w:header="0"/>
        </w:sectPr>
      </w:pPr>
    </w:p>
    <w:bookmarkStart w:id="510" w:name="page511"/>
    <w:bookmarkEnd w:id="510"/>
    <w:p>
      <w:pPr>
        <w:ind w:left="820" w:hanging="384"/>
        <w:spacing w:after="0"/>
        <w:tabs>
          <w:tab w:leader="none" w:pos="820" w:val="left"/>
        </w:tabs>
        <w:numPr>
          <w:ilvl w:val="0"/>
          <w:numId w:val="37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Duration of Participation</w:t>
      </w:r>
      <w:r>
        <w:rPr>
          <w:rFonts w:ascii="Arial" w:cs="Arial" w:eastAsia="Arial" w:hAnsi="Arial"/>
          <w:sz w:val="18"/>
          <w:szCs w:val="18"/>
          <w:color w:val="auto"/>
        </w:rPr>
        <w:t>. Once enrolled in the Plan, a Participant shall continue to participate in the Plan until he or she:</w:t>
      </w:r>
    </w:p>
    <w:p>
      <w:pPr>
        <w:spacing w:after="0" w:line="134" w:lineRule="exact"/>
        <w:rPr>
          <w:rFonts w:ascii="Arial" w:cs="Arial" w:eastAsia="Arial" w:hAnsi="Arial"/>
          <w:sz w:val="18"/>
          <w:szCs w:val="18"/>
          <w:color w:val="auto"/>
        </w:rPr>
      </w:pPr>
    </w:p>
    <w:p>
      <w:pPr>
        <w:ind w:left="1420" w:right="780" w:hanging="439"/>
        <w:spacing w:after="0" w:line="277" w:lineRule="auto"/>
        <w:tabs>
          <w:tab w:leader="none" w:pos="142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Reaches the end of the Offering Period or Purchase Period, as applicable, in which his or her employee contributions were discontinued under Section 5(c) or 9(b);</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Withdraws from the Plan under Section 6(a);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Ceases to be an Eligible Employee.</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 Participant whose employee contributions were discontinued automatically under Section 9(b) shall automatically resume participation as described therein. In all other cases, a former Participant may again become a Participant, if he or she then is an Eligible Employee, by following the procedure described in Subsection (b) above.</w:t>
      </w:r>
    </w:p>
    <w:p>
      <w:pPr>
        <w:spacing w:after="0" w:line="180" w:lineRule="exact"/>
        <w:rPr>
          <w:sz w:val="20"/>
          <w:szCs w:val="20"/>
          <w:color w:val="auto"/>
        </w:rPr>
      </w:pPr>
    </w:p>
    <w:p>
      <w:pPr>
        <w:ind w:right="400" w:firstLine="436"/>
        <w:spacing w:after="0" w:line="282" w:lineRule="auto"/>
        <w:tabs>
          <w:tab w:leader="none" w:pos="830" w:val="left"/>
        </w:tabs>
        <w:numPr>
          <w:ilvl w:val="0"/>
          <w:numId w:val="375"/>
        </w:numPr>
        <w:rPr>
          <w:rFonts w:ascii="Arial" w:cs="Arial" w:eastAsia="Arial" w:hAnsi="Arial"/>
          <w:sz w:val="18"/>
          <w:szCs w:val="18"/>
          <w:color w:val="auto"/>
        </w:rPr>
      </w:pPr>
      <w:r>
        <w:rPr>
          <w:rFonts w:ascii="Arial" w:cs="Arial" w:eastAsia="Arial" w:hAnsi="Arial"/>
          <w:sz w:val="18"/>
          <w:szCs w:val="18"/>
          <w:b w:val="1"/>
          <w:bCs w:val="1"/>
          <w:color w:val="auto"/>
        </w:rPr>
        <w:t>Applicable Offering Period</w:t>
      </w:r>
      <w:r>
        <w:rPr>
          <w:rFonts w:ascii="Arial" w:cs="Arial" w:eastAsia="Arial" w:hAnsi="Arial"/>
          <w:sz w:val="18"/>
          <w:szCs w:val="18"/>
          <w:color w:val="auto"/>
        </w:rPr>
        <w:t>. For purposes of calculating the Purchase Price under Section 8(b), the applicable Offering Period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as follows:</w:t>
      </w:r>
    </w:p>
    <w:p>
      <w:pPr>
        <w:spacing w:after="0" w:line="71" w:lineRule="exact"/>
        <w:rPr>
          <w:rFonts w:ascii="Arial" w:cs="Arial" w:eastAsia="Arial" w:hAnsi="Arial"/>
          <w:sz w:val="18"/>
          <w:szCs w:val="18"/>
          <w:color w:val="auto"/>
        </w:rPr>
      </w:pPr>
    </w:p>
    <w:p>
      <w:pPr>
        <w:ind w:left="1420" w:right="100" w:hanging="439"/>
        <w:spacing w:after="0" w:line="274" w:lineRule="auto"/>
        <w:tabs>
          <w:tab w:leader="none" w:pos="1420" w:val="left"/>
        </w:tabs>
        <w:numPr>
          <w:ilvl w:val="1"/>
          <w:numId w:val="375"/>
        </w:numPr>
        <w:rPr>
          <w:rFonts w:ascii="Arial" w:cs="Arial" w:eastAsia="Arial" w:hAnsi="Arial"/>
          <w:sz w:val="17"/>
          <w:szCs w:val="17"/>
          <w:color w:val="auto"/>
        </w:rPr>
      </w:pPr>
      <w:r>
        <w:rPr>
          <w:rFonts w:ascii="Arial" w:cs="Arial" w:eastAsia="Arial" w:hAnsi="Arial"/>
          <w:sz w:val="17"/>
          <w:szCs w:val="17"/>
          <w:color w:val="auto"/>
        </w:rPr>
        <w:t>Once a Participant is enrolled in the Plan for an Offering Period, such Offering Period shall continue to apply to him or her until the earliest of (A) the end of such Offering Period, (B) the end of his or her participation under Subsection (c) above, or</w:t>
      </w:r>
    </w:p>
    <w:p>
      <w:pPr>
        <w:ind w:left="1420"/>
        <w:spacing w:after="0"/>
        <w:rPr>
          <w:rFonts w:ascii="Arial" w:cs="Arial" w:eastAsia="Arial" w:hAnsi="Arial"/>
          <w:sz w:val="17"/>
          <w:szCs w:val="17"/>
          <w:color w:val="auto"/>
        </w:rPr>
      </w:pPr>
      <w:r>
        <w:rPr>
          <w:rFonts w:ascii="Arial" w:cs="Arial" w:eastAsia="Arial" w:hAnsi="Arial"/>
          <w:sz w:val="18"/>
          <w:szCs w:val="18"/>
          <w:color w:val="auto"/>
        </w:rPr>
        <w:t>(C) re-enrollment for a subsequent Offering Period under Paragraph (ii) or (iii) below.</w:t>
      </w:r>
    </w:p>
    <w:p>
      <w:pPr>
        <w:spacing w:after="0" w:line="116" w:lineRule="exact"/>
        <w:rPr>
          <w:rFonts w:ascii="Arial" w:cs="Arial" w:eastAsia="Arial" w:hAnsi="Arial"/>
          <w:sz w:val="17"/>
          <w:szCs w:val="17"/>
          <w:color w:val="auto"/>
        </w:rPr>
      </w:pPr>
    </w:p>
    <w:p>
      <w:pPr>
        <w:ind w:left="1420" w:hanging="439"/>
        <w:spacing w:after="0" w:line="257" w:lineRule="auto"/>
        <w:tabs>
          <w:tab w:leader="none" w:pos="142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Any other provision of the Plan notwithstanding, the Administrator (at its sole discretion) may determine prior to the commencement of any new Offering Period that all Participants shall be re-enrolled for such new Offering Period. In addition, the Administrator may structure an Offering Period so that in the event that the Fair Market Value of a Share on the first day of the Offering Period for which the Participant is enrolled is higher than on the first day of any subsequent Offering Period, the Participant shall automatically be re-enrolled for such subsequent Offering Period.</w:t>
      </w:r>
    </w:p>
    <w:p>
      <w:pPr>
        <w:spacing w:after="0" w:line="93" w:lineRule="exact"/>
        <w:rPr>
          <w:rFonts w:ascii="Arial" w:cs="Arial" w:eastAsia="Arial" w:hAnsi="Arial"/>
          <w:sz w:val="18"/>
          <w:szCs w:val="18"/>
          <w:color w:val="auto"/>
        </w:rPr>
      </w:pPr>
    </w:p>
    <w:p>
      <w:pPr>
        <w:ind w:left="1420" w:right="520" w:hanging="439"/>
        <w:spacing w:after="0" w:line="342" w:lineRule="auto"/>
        <w:tabs>
          <w:tab w:leader="none" w:pos="142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When a Participant reaches the end of an Offering Period but his or her participation is to continue, then such Participant shall automatically be re-enrolled for the Offering Period that commences immediately after the end of the prior Offering Period.</w:t>
      </w:r>
    </w:p>
    <w:p>
      <w:pPr>
        <w:spacing w:after="0" w:line="22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5.</w:t>
        <w:tab/>
        <w:t>EMPLOYEE CONTRIBUTIONS.</w:t>
      </w:r>
    </w:p>
    <w:p>
      <w:pPr>
        <w:spacing w:after="0" w:line="117" w:lineRule="exact"/>
        <w:rPr>
          <w:sz w:val="20"/>
          <w:szCs w:val="20"/>
          <w:color w:val="auto"/>
        </w:rPr>
      </w:pPr>
    </w:p>
    <w:p>
      <w:pPr>
        <w:ind w:firstLine="436"/>
        <w:spacing w:after="0" w:line="277" w:lineRule="auto"/>
        <w:tabs>
          <w:tab w:leader="none" w:pos="820" w:val="left"/>
        </w:tabs>
        <w:numPr>
          <w:ilvl w:val="0"/>
          <w:numId w:val="376"/>
        </w:numPr>
        <w:rPr>
          <w:rFonts w:ascii="Arial" w:cs="Arial" w:eastAsia="Arial" w:hAnsi="Arial"/>
          <w:sz w:val="17"/>
          <w:szCs w:val="17"/>
          <w:color w:val="auto"/>
        </w:rPr>
      </w:pPr>
      <w:r>
        <w:rPr>
          <w:rFonts w:ascii="Arial" w:cs="Arial" w:eastAsia="Arial" w:hAnsi="Arial"/>
          <w:sz w:val="17"/>
          <w:szCs w:val="17"/>
          <w:b w:val="1"/>
          <w:bCs w:val="1"/>
          <w:color w:val="auto"/>
        </w:rPr>
        <w:t>Commencement of Payroll Deductions</w:t>
      </w:r>
      <w:r>
        <w:rPr>
          <w:rFonts w:ascii="Arial" w:cs="Arial" w:eastAsia="Arial" w:hAnsi="Arial"/>
          <w:sz w:val="17"/>
          <w:szCs w:val="17"/>
          <w:color w:val="auto"/>
        </w:rPr>
        <w:t>. A Participant may purchase shares of Stock under the Plan by means of payroll deductions or (if so</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by the Administrator with respect to all Participants in a Base Offering Period) other approved contributions in form and substance satisfactory to the Administrator. Payroll deductions or other approved contributions shall commence as soon as reasonably practicable after the Company has received the prescribed enrollment form. In jurisdictions where payroll deductions are not permitted under local law, Participants may purchase shares of Stock by making contributions in the form that is acceptable and approved by the Administrator.</w:t>
      </w:r>
    </w:p>
    <w:p>
      <w:pPr>
        <w:sectPr>
          <w:pgSz w:w="11900" w:h="16838" w:orient="portrait"/>
          <w:cols w:equalWidth="0" w:num="1">
            <w:col w:w="11000"/>
          </w:cols>
          <w:pgMar w:left="440" w:top="269" w:right="459" w:bottom="1440" w:gutter="0" w:footer="0" w:header="0"/>
        </w:sectPr>
      </w:pPr>
    </w:p>
    <w:bookmarkStart w:id="511" w:name="page512"/>
    <w:bookmarkEnd w:id="511"/>
    <w:p>
      <w:pPr>
        <w:ind w:right="360" w:firstLine="436"/>
        <w:spacing w:after="0" w:line="314" w:lineRule="auto"/>
        <w:tabs>
          <w:tab w:leader="none" w:pos="830" w:val="left"/>
        </w:tabs>
        <w:numPr>
          <w:ilvl w:val="0"/>
          <w:numId w:val="37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 of Payroll Deductions</w:t>
      </w:r>
      <w:r>
        <w:rPr>
          <w:rFonts w:ascii="Arial" w:cs="Arial" w:eastAsia="Arial" w:hAnsi="Arial"/>
          <w:sz w:val="16"/>
          <w:szCs w:val="16"/>
          <w:color w:val="auto"/>
        </w:rPr>
        <w:t>. An Eligible Employee shall designate on the prescribed enrollment form the portion of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that he or she elects to have withheld for the purchase of Stock. Such portion shall be a whole percentage of the Eligible Employee’s Compensation, but not less than 1% nor more than 15% (or such lesser percentage established by the Administrator for an Offering Period).</w:t>
      </w:r>
    </w:p>
    <w:p>
      <w:pPr>
        <w:spacing w:after="0" w:line="141" w:lineRule="exact"/>
        <w:rPr>
          <w:rFonts w:ascii="Arial" w:cs="Arial" w:eastAsia="Arial" w:hAnsi="Arial"/>
          <w:sz w:val="16"/>
          <w:szCs w:val="16"/>
          <w:color w:val="auto"/>
        </w:rPr>
      </w:pPr>
    </w:p>
    <w:p>
      <w:pPr>
        <w:ind w:right="20" w:firstLine="436"/>
        <w:spacing w:after="0" w:line="273" w:lineRule="auto"/>
        <w:tabs>
          <w:tab w:leader="none" w:pos="820" w:val="left"/>
        </w:tabs>
        <w:numPr>
          <w:ilvl w:val="0"/>
          <w:numId w:val="377"/>
        </w:numPr>
        <w:rPr>
          <w:rFonts w:ascii="Arial" w:cs="Arial" w:eastAsia="Arial" w:hAnsi="Arial"/>
          <w:sz w:val="17"/>
          <w:szCs w:val="17"/>
          <w:color w:val="auto"/>
        </w:rPr>
      </w:pPr>
      <w:r>
        <w:rPr>
          <w:rFonts w:ascii="Arial" w:cs="Arial" w:eastAsia="Arial" w:hAnsi="Arial"/>
          <w:sz w:val="17"/>
          <w:szCs w:val="17"/>
          <w:b w:val="1"/>
          <w:bCs w:val="1"/>
          <w:color w:val="auto"/>
        </w:rPr>
        <w:t>Reducing Withholding Rate or Discontinuing Payroll Deductions</w:t>
      </w:r>
      <w:r>
        <w:rPr>
          <w:rFonts w:ascii="Arial" w:cs="Arial" w:eastAsia="Arial" w:hAnsi="Arial"/>
          <w:sz w:val="17"/>
          <w:szCs w:val="17"/>
          <w:color w:val="auto"/>
        </w:rPr>
        <w:t>. If a Participant wishes to reduce his or her rate of payroll 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such Participant may do so by filing a new enrollment form with the Company in the manner prescribed by the Administrator. The new withholding rate shall be effective as soon as reasonably practicable after the Company has received such form. The new withholding rate may be 0% or any whole percentage of the Participant’s Compensation, but not more than his or her old withholding rate. The Administrator may limit the number of times a Participant may elect to reduce his or her rate of withholding during any Offering Period and/or Purchase Period. Unless a different rule is established for an Offering Period, no Participant shall make more than one election under this Subsection (c) during any Purchase Period. (In addition, employee contributions may be discontinued automatically pursuant to Section 9(b).)</w:t>
      </w:r>
    </w:p>
    <w:p>
      <w:pPr>
        <w:spacing w:after="0" w:line="171" w:lineRule="exact"/>
        <w:rPr>
          <w:rFonts w:ascii="Arial" w:cs="Arial" w:eastAsia="Arial" w:hAnsi="Arial"/>
          <w:sz w:val="17"/>
          <w:szCs w:val="17"/>
          <w:color w:val="auto"/>
        </w:rPr>
      </w:pPr>
    </w:p>
    <w:p>
      <w:pPr>
        <w:ind w:right="20" w:firstLine="436"/>
        <w:spacing w:after="0" w:line="274" w:lineRule="auto"/>
        <w:tabs>
          <w:tab w:leader="none" w:pos="830" w:val="left"/>
        </w:tabs>
        <w:numPr>
          <w:ilvl w:val="0"/>
          <w:numId w:val="377"/>
        </w:numPr>
        <w:rPr>
          <w:rFonts w:ascii="Arial" w:cs="Arial" w:eastAsia="Arial" w:hAnsi="Arial"/>
          <w:sz w:val="17"/>
          <w:szCs w:val="17"/>
          <w:color w:val="auto"/>
        </w:rPr>
      </w:pPr>
      <w:r>
        <w:rPr>
          <w:rFonts w:ascii="Arial" w:cs="Arial" w:eastAsia="Arial" w:hAnsi="Arial"/>
          <w:sz w:val="17"/>
          <w:szCs w:val="17"/>
          <w:b w:val="1"/>
          <w:bCs w:val="1"/>
          <w:color w:val="auto"/>
        </w:rPr>
        <w:t xml:space="preserve">Increasing Withholding Rate. Unless </w:t>
      </w:r>
      <w:r>
        <w:rPr>
          <w:rFonts w:ascii="Arial" w:cs="Arial" w:eastAsia="Arial" w:hAnsi="Arial"/>
          <w:sz w:val="17"/>
          <w:szCs w:val="17"/>
          <w:color w:val="auto"/>
        </w:rPr>
        <w:t>the Administrator establishes a different rule for an Offering Period, a Participant may not increase</w:t>
      </w:r>
      <w:r>
        <w:rPr>
          <w:rFonts w:ascii="Arial" w:cs="Arial" w:eastAsia="Arial" w:hAnsi="Arial"/>
          <w:sz w:val="17"/>
          <w:szCs w:val="17"/>
          <w:b w:val="1"/>
          <w:bCs w:val="1"/>
          <w:color w:val="auto"/>
        </w:rPr>
        <w:t xml:space="preserve"> </w:t>
      </w:r>
      <w:r>
        <w:rPr>
          <w:rFonts w:ascii="Arial" w:cs="Arial" w:eastAsia="Arial" w:hAnsi="Arial"/>
          <w:sz w:val="17"/>
          <w:szCs w:val="17"/>
          <w:color w:val="auto"/>
        </w:rPr>
        <w:t>his or her rate of payroll withholding during a Purchase Period. If a Participant wishes to increase his or her rate of payroll withholding, such Participant may do so by filing a new enrollment form with the Company at least fifteen (15) calendar days prior to commencement of a Purchase Period (or such other period as is specified by the Administrator). The new withholding rate shall be effective on the first day of the next-upcoming Purchase Period in which the Participant participates. The new withholding rate may be any whole percentage of the Participant’s Compensation, but not less than 1% nor more than the maximum amount established for the Offering Period.</w:t>
      </w:r>
    </w:p>
    <w:p>
      <w:pPr>
        <w:spacing w:after="0" w:line="28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6.</w:t>
        <w:tab/>
        <w:t>WITHDRAWAL FROM THE PLAN.</w:t>
      </w:r>
    </w:p>
    <w:p>
      <w:pPr>
        <w:spacing w:after="0" w:line="117" w:lineRule="exact"/>
        <w:rPr>
          <w:sz w:val="20"/>
          <w:szCs w:val="20"/>
          <w:color w:val="auto"/>
        </w:rPr>
      </w:pPr>
    </w:p>
    <w:p>
      <w:pPr>
        <w:ind w:right="240" w:firstLine="436"/>
        <w:spacing w:after="0" w:line="298" w:lineRule="auto"/>
        <w:tabs>
          <w:tab w:leader="none" w:pos="820" w:val="left"/>
        </w:tabs>
        <w:numPr>
          <w:ilvl w:val="0"/>
          <w:numId w:val="378"/>
        </w:numPr>
        <w:rPr>
          <w:rFonts w:ascii="Arial" w:cs="Arial" w:eastAsia="Arial" w:hAnsi="Arial"/>
          <w:sz w:val="16"/>
          <w:szCs w:val="16"/>
          <w:color w:val="auto"/>
        </w:rPr>
      </w:pPr>
      <w:r>
        <w:rPr>
          <w:rFonts w:ascii="Arial" w:cs="Arial" w:eastAsia="Arial" w:hAnsi="Arial"/>
          <w:sz w:val="16"/>
          <w:szCs w:val="16"/>
          <w:b w:val="1"/>
          <w:bCs w:val="1"/>
          <w:color w:val="auto"/>
        </w:rPr>
        <w:t>Withdrawal</w:t>
      </w:r>
      <w:r>
        <w:rPr>
          <w:rFonts w:ascii="Arial" w:cs="Arial" w:eastAsia="Arial" w:hAnsi="Arial"/>
          <w:sz w:val="16"/>
          <w:szCs w:val="16"/>
          <w:color w:val="auto"/>
        </w:rPr>
        <w:t>. A Participant may elect to withdraw from the Plan (and the Offering Period in which he or she is participating) by filing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prescribed form with the Company in the prescribed manner at least fifteen (15) calendar days prior to a Purchase Date (or such other period as is specified by the Administrator). As soon as reasonably practicable thereafter, payroll deductions or other approved contributions shall cease and the entire amount credited to the Participant’s Plan Account with respect to such Offering Period shall be refunded to him or her in cash, without interest (except as otherwise required by the laws of the local jurisdiction). No partial withdrawals from an Offering Period shall be permitted.</w:t>
      </w:r>
    </w:p>
    <w:p>
      <w:pPr>
        <w:spacing w:after="0" w:line="153" w:lineRule="exact"/>
        <w:rPr>
          <w:rFonts w:ascii="Arial" w:cs="Arial" w:eastAsia="Arial" w:hAnsi="Arial"/>
          <w:sz w:val="16"/>
          <w:szCs w:val="16"/>
          <w:color w:val="auto"/>
        </w:rPr>
      </w:pPr>
    </w:p>
    <w:p>
      <w:pPr>
        <w:ind w:left="820" w:hanging="384"/>
        <w:spacing w:after="0"/>
        <w:tabs>
          <w:tab w:leader="none" w:pos="820" w:val="left"/>
        </w:tabs>
        <w:numPr>
          <w:ilvl w:val="0"/>
          <w:numId w:val="378"/>
        </w:numPr>
        <w:rPr>
          <w:rFonts w:ascii="Arial" w:cs="Arial" w:eastAsia="Arial" w:hAnsi="Arial"/>
          <w:sz w:val="17"/>
          <w:szCs w:val="17"/>
          <w:color w:val="auto"/>
        </w:rPr>
      </w:pPr>
      <w:r>
        <w:rPr>
          <w:rFonts w:ascii="Arial" w:cs="Arial" w:eastAsia="Arial" w:hAnsi="Arial"/>
          <w:sz w:val="17"/>
          <w:szCs w:val="17"/>
          <w:b w:val="1"/>
          <w:bCs w:val="1"/>
          <w:color w:val="auto"/>
        </w:rPr>
        <w:t>Re-Enrollment After Withdrawal</w:t>
      </w:r>
      <w:r>
        <w:rPr>
          <w:rFonts w:ascii="Arial" w:cs="Arial" w:eastAsia="Arial" w:hAnsi="Arial"/>
          <w:sz w:val="17"/>
          <w:szCs w:val="17"/>
          <w:color w:val="auto"/>
        </w:rPr>
        <w:t>. A former Participant who has withdrawn from the Plan shall not be a Participant until he or she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re-enrolls in the Plan under Section 4(b) during an Enrollment Period. Re-enrollment may be effective only at the commencement of an Offering Period.</w:t>
      </w:r>
    </w:p>
    <w:p>
      <w:pPr>
        <w:sectPr>
          <w:pgSz w:w="11900" w:h="16838" w:orient="portrait"/>
          <w:cols w:equalWidth="0" w:num="1">
            <w:col w:w="10980"/>
          </w:cols>
          <w:pgMar w:left="440" w:top="269" w:right="479" w:bottom="1440" w:gutter="0" w:footer="0" w:header="0"/>
        </w:sectPr>
      </w:pPr>
    </w:p>
    <w:bookmarkStart w:id="512" w:name="page513"/>
    <w:bookmarkEnd w:id="512"/>
    <w:p>
      <w:pPr>
        <w:spacing w:after="0"/>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w:t>
        <w:tab/>
        <w:t>CHANGE IN EMPLOYMENT STATUS.</w:t>
      </w:r>
    </w:p>
    <w:p>
      <w:pPr>
        <w:spacing w:after="0" w:line="117" w:lineRule="exact"/>
        <w:rPr>
          <w:sz w:val="20"/>
          <w:szCs w:val="20"/>
          <w:color w:val="auto"/>
        </w:rPr>
      </w:pPr>
    </w:p>
    <w:p>
      <w:pPr>
        <w:ind w:right="140" w:firstLine="436"/>
        <w:spacing w:after="0" w:line="282" w:lineRule="auto"/>
        <w:tabs>
          <w:tab w:leader="none" w:pos="820" w:val="left"/>
        </w:tabs>
        <w:numPr>
          <w:ilvl w:val="0"/>
          <w:numId w:val="379"/>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Termination of employment as an Eligible Employee for any reason, including death, shall be treated as an</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 withdrawal from the Plan under Section 6(a).</w:t>
      </w:r>
    </w:p>
    <w:p>
      <w:pPr>
        <w:spacing w:after="0" w:line="161" w:lineRule="exact"/>
        <w:rPr>
          <w:rFonts w:ascii="Arial" w:cs="Arial" w:eastAsia="Arial" w:hAnsi="Arial"/>
          <w:sz w:val="18"/>
          <w:szCs w:val="18"/>
          <w:color w:val="auto"/>
        </w:rPr>
      </w:pPr>
    </w:p>
    <w:p>
      <w:pPr>
        <w:ind w:firstLine="436"/>
        <w:spacing w:after="0" w:line="271" w:lineRule="auto"/>
        <w:tabs>
          <w:tab w:leader="none" w:pos="830" w:val="left"/>
        </w:tabs>
        <w:numPr>
          <w:ilvl w:val="0"/>
          <w:numId w:val="379"/>
        </w:numPr>
        <w:rPr>
          <w:rFonts w:ascii="Arial" w:cs="Arial" w:eastAsia="Arial" w:hAnsi="Arial"/>
          <w:sz w:val="17"/>
          <w:szCs w:val="17"/>
          <w:color w:val="auto"/>
        </w:rPr>
      </w:pPr>
      <w:r>
        <w:rPr>
          <w:rFonts w:ascii="Arial" w:cs="Arial" w:eastAsia="Arial" w:hAnsi="Arial"/>
          <w:sz w:val="17"/>
          <w:szCs w:val="17"/>
          <w:b w:val="1"/>
          <w:bCs w:val="1"/>
          <w:color w:val="auto"/>
        </w:rPr>
        <w:t>Transfers of Employment</w:t>
      </w:r>
      <w:r>
        <w:rPr>
          <w:rFonts w:ascii="Arial" w:cs="Arial" w:eastAsia="Arial" w:hAnsi="Arial"/>
          <w:sz w:val="17"/>
          <w:szCs w:val="17"/>
          <w:color w:val="auto"/>
        </w:rPr>
        <w:t>. If a Participant transfers employment from a Participating Company that is participating in a Base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Period to a Participating Company that is participating in an Additional Offering Period, he or she will immediately cease to participate in the Base Offering Period, as applicable; however, such Participant’s Plan Account will be transferred to the Additional Offering Period, and such Participant will immediately join such Additional Offering Period on the terms and conditions applicable to such Additional Offering Period, except for any modifications required by applicable law. If a Participant transfers employment from a Participating Company that is participating in an Additional Offering Period to a Participating Company that is participating in the Base Offering Period, he or she will continue to participate in the Additional Offering Period until the earlier of (i) the end of such Additional Offering Period, or (ii) the commencement of the first Base Offering Period in which he or she is eligible. If a Participant transfers employment from a Participating Company to a Related Corporation that is not a Participating Company, he or she shall be deemed to have withdrawn from the Plan pursuant to Section 6(a).</w:t>
      </w:r>
    </w:p>
    <w:p>
      <w:pPr>
        <w:spacing w:after="0" w:line="173" w:lineRule="exact"/>
        <w:rPr>
          <w:rFonts w:ascii="Arial" w:cs="Arial" w:eastAsia="Arial" w:hAnsi="Arial"/>
          <w:sz w:val="17"/>
          <w:szCs w:val="17"/>
          <w:color w:val="auto"/>
        </w:rPr>
      </w:pPr>
    </w:p>
    <w:p>
      <w:pPr>
        <w:ind w:right="20" w:firstLine="436"/>
        <w:spacing w:after="0" w:line="303" w:lineRule="auto"/>
        <w:tabs>
          <w:tab w:leader="none" w:pos="820" w:val="left"/>
        </w:tabs>
        <w:numPr>
          <w:ilvl w:val="0"/>
          <w:numId w:val="379"/>
        </w:numPr>
        <w:rPr>
          <w:rFonts w:ascii="Arial" w:cs="Arial" w:eastAsia="Arial" w:hAnsi="Arial"/>
          <w:sz w:val="16"/>
          <w:szCs w:val="16"/>
          <w:color w:val="auto"/>
        </w:rPr>
      </w:pPr>
      <w:r>
        <w:rPr>
          <w:rFonts w:ascii="Arial" w:cs="Arial" w:eastAsia="Arial" w:hAnsi="Arial"/>
          <w:sz w:val="16"/>
          <w:szCs w:val="16"/>
          <w:b w:val="1"/>
          <w:bCs w:val="1"/>
          <w:color w:val="auto"/>
        </w:rPr>
        <w:t>Leave of Absence</w:t>
      </w:r>
      <w:r>
        <w:rPr>
          <w:rFonts w:ascii="Arial" w:cs="Arial" w:eastAsia="Arial" w:hAnsi="Arial"/>
          <w:sz w:val="16"/>
          <w:szCs w:val="16"/>
          <w:color w:val="auto"/>
        </w:rPr>
        <w:t>. For purposes of the Plan, employment shall not be deemed to terminate when the Participant goes on a military leave,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sick leave or another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leave of absence, if the leave was approved by the Company in writing. Employment, however, shall be deemed to terminate on the first day following three months after the Participant goes on a leave, unless a contract or statute guarantees his or her right to return to work. Employment shall be deemed to terminate in any event when the approved leave ends, unless the Participant immediately returns to work.</w:t>
      </w:r>
    </w:p>
    <w:p>
      <w:pPr>
        <w:spacing w:after="0" w:line="150" w:lineRule="exact"/>
        <w:rPr>
          <w:rFonts w:ascii="Arial" w:cs="Arial" w:eastAsia="Arial" w:hAnsi="Arial"/>
          <w:sz w:val="16"/>
          <w:szCs w:val="16"/>
          <w:color w:val="auto"/>
        </w:rPr>
      </w:pPr>
    </w:p>
    <w:p>
      <w:pPr>
        <w:ind w:right="20" w:firstLine="436"/>
        <w:spacing w:after="0" w:line="314" w:lineRule="auto"/>
        <w:tabs>
          <w:tab w:leader="none" w:pos="830" w:val="left"/>
        </w:tabs>
        <w:numPr>
          <w:ilvl w:val="0"/>
          <w:numId w:val="379"/>
        </w:numPr>
        <w:rPr>
          <w:rFonts w:ascii="Arial" w:cs="Arial" w:eastAsia="Arial" w:hAnsi="Arial"/>
          <w:sz w:val="16"/>
          <w:szCs w:val="16"/>
          <w:color w:val="auto"/>
        </w:rPr>
      </w:pPr>
      <w:r>
        <w:rPr>
          <w:rFonts w:ascii="Arial" w:cs="Arial" w:eastAsia="Arial" w:hAnsi="Arial"/>
          <w:sz w:val="16"/>
          <w:szCs w:val="16"/>
          <w:b w:val="1"/>
          <w:bCs w:val="1"/>
          <w:color w:val="auto"/>
        </w:rPr>
        <w:t>Death</w:t>
      </w:r>
      <w:r>
        <w:rPr>
          <w:rFonts w:ascii="Arial" w:cs="Arial" w:eastAsia="Arial" w:hAnsi="Arial"/>
          <w:sz w:val="16"/>
          <w:szCs w:val="16"/>
          <w:color w:val="auto"/>
        </w:rPr>
        <w:t>. In the event of the Participant’s death, the amount credited to his or her Plan Account shall be paid in cash, without interest (unless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required by the laws of the local jurisdiction), to a beneficiary designated by him or her for this purpose on the prescribed form or, if none, to the Participant’s estate. Such form shall be valid only if it was filed with the Company at the prescribed location before the Participant’s death.</w:t>
      </w:r>
    </w:p>
    <w:p>
      <w:pPr>
        <w:spacing w:after="0" w:line="25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7"/>
          <w:szCs w:val="17"/>
          <w:b w:val="1"/>
          <w:bCs w:val="1"/>
          <w:color w:val="auto"/>
        </w:rPr>
        <w:t>PLAN ACCOUNTS AND PURCHASE OF SHARES.</w:t>
      </w:r>
    </w:p>
    <w:p>
      <w:pPr>
        <w:spacing w:after="0" w:line="117" w:lineRule="exact"/>
        <w:rPr>
          <w:sz w:val="20"/>
          <w:szCs w:val="20"/>
          <w:color w:val="auto"/>
        </w:rPr>
      </w:pPr>
    </w:p>
    <w:p>
      <w:pPr>
        <w:ind w:firstLine="436"/>
        <w:spacing w:after="0" w:line="281" w:lineRule="auto"/>
        <w:tabs>
          <w:tab w:leader="none" w:pos="820" w:val="left"/>
        </w:tabs>
        <w:numPr>
          <w:ilvl w:val="0"/>
          <w:numId w:val="380"/>
        </w:numPr>
        <w:rPr>
          <w:rFonts w:ascii="Arial" w:cs="Arial" w:eastAsia="Arial" w:hAnsi="Arial"/>
          <w:sz w:val="17"/>
          <w:szCs w:val="17"/>
          <w:color w:val="auto"/>
        </w:rPr>
      </w:pPr>
      <w:r>
        <w:rPr>
          <w:rFonts w:ascii="Arial" w:cs="Arial" w:eastAsia="Arial" w:hAnsi="Arial"/>
          <w:sz w:val="17"/>
          <w:szCs w:val="17"/>
          <w:b w:val="1"/>
          <w:bCs w:val="1"/>
          <w:color w:val="auto"/>
        </w:rPr>
        <w:t>Plan Accounts</w:t>
      </w:r>
      <w:r>
        <w:rPr>
          <w:rFonts w:ascii="Arial" w:cs="Arial" w:eastAsia="Arial" w:hAnsi="Arial"/>
          <w:sz w:val="17"/>
          <w:szCs w:val="17"/>
          <w:color w:val="auto"/>
        </w:rPr>
        <w:t>. The Company shall maintain a Plan Account on its books in the name of each Participant. Whenever an amount is deducted</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Participant’s Compensation under the Plan, such amount shall be credited to the Participant’s Plan Account. Unless otherwise required by the laws of the local jurisdiction, (i) amounts credited to Plan Accounts shall not be trust funds and may be commingled with the Company’s general assets and applied to general corporate purposes, and (ii) no interest shall be credited to Plan Accounts.</w:t>
      </w:r>
    </w:p>
    <w:p>
      <w:pPr>
        <w:spacing w:after="0" w:line="164" w:lineRule="exact"/>
        <w:rPr>
          <w:rFonts w:ascii="Arial" w:cs="Arial" w:eastAsia="Arial" w:hAnsi="Arial"/>
          <w:sz w:val="17"/>
          <w:szCs w:val="17"/>
          <w:color w:val="auto"/>
        </w:rPr>
      </w:pPr>
    </w:p>
    <w:p>
      <w:pPr>
        <w:ind w:right="100" w:firstLine="436"/>
        <w:spacing w:after="0" w:line="282" w:lineRule="auto"/>
        <w:tabs>
          <w:tab w:leader="none" w:pos="830" w:val="left"/>
        </w:tabs>
        <w:numPr>
          <w:ilvl w:val="0"/>
          <w:numId w:val="380"/>
        </w:numPr>
        <w:rPr>
          <w:rFonts w:ascii="Arial" w:cs="Arial" w:eastAsia="Arial" w:hAnsi="Arial"/>
          <w:sz w:val="18"/>
          <w:szCs w:val="18"/>
          <w:color w:val="auto"/>
        </w:rPr>
      </w:pPr>
      <w:r>
        <w:rPr>
          <w:rFonts w:ascii="Arial" w:cs="Arial" w:eastAsia="Arial" w:hAnsi="Arial"/>
          <w:sz w:val="18"/>
          <w:szCs w:val="18"/>
          <w:b w:val="1"/>
          <w:bCs w:val="1"/>
          <w:color w:val="auto"/>
        </w:rPr>
        <w:t>Purchase Price</w:t>
      </w:r>
      <w:r>
        <w:rPr>
          <w:rFonts w:ascii="Arial" w:cs="Arial" w:eastAsia="Arial" w:hAnsi="Arial"/>
          <w:sz w:val="18"/>
          <w:szCs w:val="18"/>
          <w:color w:val="auto"/>
        </w:rPr>
        <w:t>. The Administrator shall establish the Purchase Price for each Offering Period; provided, however, that the 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for each share of Stock purchased on a Purchase Date shall not be less than the lower of:</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85% of the Fair Market Value of such share on the first trading day of such Offering Period;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85% of the Fair Market Value of such share on the Purchase Date.</w:t>
      </w:r>
    </w:p>
    <w:p>
      <w:pPr>
        <w:sectPr>
          <w:pgSz w:w="11900" w:h="16838" w:orient="portrait"/>
          <w:cols w:equalWidth="0" w:num="1">
            <w:col w:w="10920"/>
          </w:cols>
          <w:pgMar w:left="440" w:top="269" w:right="539" w:bottom="1440" w:gutter="0" w:footer="0" w:header="0"/>
        </w:sectPr>
      </w:pPr>
    </w:p>
    <w:bookmarkStart w:id="513" w:name="page514"/>
    <w:bookmarkEnd w:id="513"/>
    <w:p>
      <w:pPr>
        <w:ind w:left="-436" w:right="180" w:firstLine="436"/>
        <w:spacing w:after="0" w:line="273" w:lineRule="auto"/>
        <w:tabs>
          <w:tab w:leader="none" w:pos="384" w:val="left"/>
        </w:tabs>
        <w:numPr>
          <w:ilvl w:val="0"/>
          <w:numId w:val="38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Number of Shares Purchased</w:t>
      </w:r>
      <w:r>
        <w:rPr>
          <w:rFonts w:ascii="Arial" w:cs="Arial" w:eastAsia="Arial" w:hAnsi="Arial"/>
          <w:sz w:val="17"/>
          <w:szCs w:val="17"/>
          <w:color w:val="auto"/>
        </w:rPr>
        <w:t>. On each Purchase Date, each Participant shall be deemed to have elected to purchase the 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Stock calculated in accordance with this Subsection (c), unless the Participant has previously elected to withdraw from the Offering Period in accordance with Section 6(a). The amount then in the Participant’s Plan Account shall be divided by the Purchase Price, and the number of shares that results shall be purchased from the Company with the funds in the Participant’s Plan Account. The foregoing number of shares of Stock that may be purchased by a Participant are subject to the limitations set forth in Subsection (d) below and in Section 9. The Administrator may determine with respect to all Participants in an Offering Period that any fractional share, as calculated under this Subsection (c), shall be (i) rounded down to the next lower whole share or (ii) credited as a fractional share.</w:t>
      </w:r>
    </w:p>
    <w:p>
      <w:pPr>
        <w:spacing w:after="0" w:line="171" w:lineRule="exact"/>
        <w:rPr>
          <w:rFonts w:ascii="Arial" w:cs="Arial" w:eastAsia="Arial" w:hAnsi="Arial"/>
          <w:sz w:val="17"/>
          <w:szCs w:val="17"/>
          <w:color w:val="auto"/>
        </w:rPr>
      </w:pPr>
    </w:p>
    <w:p>
      <w:pPr>
        <w:ind w:left="-436" w:firstLine="436"/>
        <w:spacing w:after="0" w:line="289" w:lineRule="auto"/>
        <w:tabs>
          <w:tab w:leader="none" w:pos="394" w:val="left"/>
        </w:tabs>
        <w:numPr>
          <w:ilvl w:val="0"/>
          <w:numId w:val="381"/>
        </w:numPr>
        <w:rPr>
          <w:rFonts w:ascii="Arial" w:cs="Arial" w:eastAsia="Arial" w:hAnsi="Arial"/>
          <w:sz w:val="16"/>
          <w:szCs w:val="16"/>
          <w:color w:val="auto"/>
        </w:rPr>
      </w:pPr>
      <w:r>
        <w:rPr>
          <w:rFonts w:ascii="Arial" w:cs="Arial" w:eastAsia="Arial" w:hAnsi="Arial"/>
          <w:sz w:val="16"/>
          <w:szCs w:val="16"/>
          <w:b w:val="1"/>
          <w:bCs w:val="1"/>
          <w:color w:val="auto"/>
        </w:rPr>
        <w:t>Available Shares Insufficient</w:t>
      </w:r>
      <w:r>
        <w:rPr>
          <w:rFonts w:ascii="Arial" w:cs="Arial" w:eastAsia="Arial" w:hAnsi="Arial"/>
          <w:sz w:val="16"/>
          <w:szCs w:val="16"/>
          <w:color w:val="auto"/>
        </w:rPr>
        <w:t>. In the event that the aggregate number of shares that all Participants elect to purchase with respect to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particular Purchase Period exceeds (i) the number of shares of Stock that were available under Section 3 above for sale under the Plan on the first day of the applicable Offering Period, or (ii) the number of shares that were available under Section 3 above for sale under the Plan on the applicable Purchase Date, then the number of shares to which each Participant is entitled shall be determined by multiplying the number of shares available for issuance by a fraction. The numerator of such fraction is the number of shares that such Participant has elected to purchase, and the denominator of such fraction is the number of shares that all Participants have elected to purchase. The Company may make a pro rata allocation of the shares available on the first day of an applicable Offering Period pursuant to the preceding sentence, notwithstanding any authorization of additional shares for issuance under the Plan by the Company’s stockholders subsequent to such date. In the event of a pro-rata allocation under this Section (d), the Administrator may determine in its discretion to continue all Offering Periods then in effect or terminate all Offering Periods then in effect pursuant to Section 14.</w:t>
      </w:r>
    </w:p>
    <w:p>
      <w:pPr>
        <w:spacing w:after="0" w:line="166" w:lineRule="exact"/>
        <w:rPr>
          <w:rFonts w:ascii="Arial" w:cs="Arial" w:eastAsia="Arial" w:hAnsi="Arial"/>
          <w:sz w:val="16"/>
          <w:szCs w:val="16"/>
          <w:color w:val="auto"/>
        </w:rPr>
      </w:pPr>
    </w:p>
    <w:p>
      <w:pPr>
        <w:ind w:left="-436" w:right="160" w:firstLine="436"/>
        <w:spacing w:after="0" w:line="277" w:lineRule="auto"/>
        <w:tabs>
          <w:tab w:leader="none" w:pos="384" w:val="left"/>
        </w:tabs>
        <w:numPr>
          <w:ilvl w:val="0"/>
          <w:numId w:val="381"/>
        </w:numPr>
        <w:rPr>
          <w:rFonts w:ascii="Arial" w:cs="Arial" w:eastAsia="Arial" w:hAnsi="Arial"/>
          <w:sz w:val="17"/>
          <w:szCs w:val="17"/>
          <w:color w:val="auto"/>
        </w:rPr>
      </w:pPr>
      <w:r>
        <w:rPr>
          <w:rFonts w:ascii="Arial" w:cs="Arial" w:eastAsia="Arial" w:hAnsi="Arial"/>
          <w:sz w:val="17"/>
          <w:szCs w:val="17"/>
          <w:b w:val="1"/>
          <w:bCs w:val="1"/>
          <w:color w:val="auto"/>
        </w:rPr>
        <w:t>Issuance of Stock</w:t>
      </w:r>
      <w:r>
        <w:rPr>
          <w:rFonts w:ascii="Arial" w:cs="Arial" w:eastAsia="Arial" w:hAnsi="Arial"/>
          <w:sz w:val="17"/>
          <w:szCs w:val="17"/>
          <w:color w:val="auto"/>
        </w:rPr>
        <w:t>. The shares of Stock purchased by a Participant under the Plan will be registered in the name of such Participant.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(The two preceding sentences shall apply whether or not the Participant is required to pay income tax in the United States.)</w:t>
      </w:r>
    </w:p>
    <w:p>
      <w:pPr>
        <w:spacing w:after="0" w:line="167" w:lineRule="exact"/>
        <w:rPr>
          <w:rFonts w:ascii="Arial" w:cs="Arial" w:eastAsia="Arial" w:hAnsi="Arial"/>
          <w:sz w:val="17"/>
          <w:szCs w:val="17"/>
          <w:color w:val="auto"/>
        </w:rPr>
      </w:pPr>
    </w:p>
    <w:p>
      <w:pPr>
        <w:jc w:val="both"/>
        <w:ind w:left="-436" w:right="20" w:firstLine="436"/>
        <w:spacing w:after="0" w:line="266" w:lineRule="auto"/>
        <w:tabs>
          <w:tab w:leader="none" w:pos="364" w:val="left"/>
        </w:tabs>
        <w:numPr>
          <w:ilvl w:val="0"/>
          <w:numId w:val="381"/>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To the extent required by applicable federal, state, local or foreign law, a Participant shall make arrangements satisfactory</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for the satisfaction of any withholding tax obligations that arise in connection with the Plan. The Company shall not be required to issue any shares of Stock under the Plan until such obligations, if any, are satisfied.</w:t>
      </w:r>
    </w:p>
    <w:p>
      <w:pPr>
        <w:sectPr>
          <w:pgSz w:w="11900" w:h="16838" w:orient="portrait"/>
          <w:cols w:equalWidth="0" w:num="1">
            <w:col w:w="10564"/>
          </w:cols>
          <w:pgMar w:left="876" w:top="269" w:right="459" w:bottom="1440" w:gutter="0" w:footer="0" w:header="0"/>
        </w:sectPr>
      </w:pPr>
    </w:p>
    <w:bookmarkStart w:id="514" w:name="page515"/>
    <w:bookmarkEnd w:id="514"/>
    <w:p>
      <w:pPr>
        <w:ind w:right="140" w:firstLine="436"/>
        <w:spacing w:after="0" w:line="258" w:lineRule="auto"/>
        <w:tabs>
          <w:tab w:leader="none" w:pos="830" w:val="left"/>
        </w:tabs>
        <w:numPr>
          <w:ilvl w:val="0"/>
          <w:numId w:val="38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Unused Cash Balances</w:t>
      </w:r>
      <w:r>
        <w:rPr>
          <w:rFonts w:ascii="Arial" w:cs="Arial" w:eastAsia="Arial" w:hAnsi="Arial"/>
          <w:sz w:val="18"/>
          <w:szCs w:val="18"/>
          <w:color w:val="auto"/>
        </w:rPr>
        <w:t>. Subject to the final sentence of Section 8(c), any amount remaining in a Participant’s Plan Account at the end of a</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Period solely by reason of the inability to purchase a fractional share will be carried over to the next Offering Period or Purchase Period, as applicable. Any amount remaining in the Participant’s Plan Account that represents the Purchase Price for whole shares that could not be purchased by reason of Subsections (c) or (d) above or Section 9(b) shall be refunded to the Participant in cash, without interest (except as otherwise required by the laws of the local jurisdiction).</w:t>
      </w:r>
    </w:p>
    <w:p>
      <w:pPr>
        <w:spacing w:after="0" w:line="183" w:lineRule="exact"/>
        <w:rPr>
          <w:rFonts w:ascii="Arial" w:cs="Arial" w:eastAsia="Arial" w:hAnsi="Arial"/>
          <w:sz w:val="18"/>
          <w:szCs w:val="18"/>
          <w:color w:val="auto"/>
        </w:rPr>
      </w:pPr>
    </w:p>
    <w:p>
      <w:pPr>
        <w:ind w:right="240" w:firstLine="436"/>
        <w:spacing w:after="0" w:line="282" w:lineRule="auto"/>
        <w:tabs>
          <w:tab w:leader="none" w:pos="830" w:val="left"/>
        </w:tabs>
        <w:numPr>
          <w:ilvl w:val="0"/>
          <w:numId w:val="382"/>
        </w:numPr>
        <w:rPr>
          <w:rFonts w:ascii="Arial" w:cs="Arial" w:eastAsia="Arial" w:hAnsi="Arial"/>
          <w:sz w:val="18"/>
          <w:szCs w:val="18"/>
          <w:color w:val="auto"/>
        </w:rPr>
      </w:pPr>
      <w:r>
        <w:rPr>
          <w:rFonts w:ascii="Arial" w:cs="Arial" w:eastAsia="Arial" w:hAnsi="Arial"/>
          <w:sz w:val="18"/>
          <w:szCs w:val="18"/>
          <w:b w:val="1"/>
          <w:bCs w:val="1"/>
          <w:color w:val="auto"/>
        </w:rPr>
        <w:t>Stockholder Approval</w:t>
      </w:r>
      <w:r>
        <w:rPr>
          <w:rFonts w:ascii="Arial" w:cs="Arial" w:eastAsia="Arial" w:hAnsi="Arial"/>
          <w:sz w:val="18"/>
          <w:szCs w:val="18"/>
          <w:color w:val="auto"/>
        </w:rPr>
        <w:t>. Any other provision of the Plan notwithstanding, no shares of Stock shall be purchased under the Plan unless and</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Company’s stockholders have approved the adoption of the Plan.</w:t>
      </w:r>
    </w:p>
    <w:p>
      <w:pPr>
        <w:spacing w:after="0" w:line="2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9.</w:t>
        <w:tab/>
        <w:t>PLAN LIMITATIONS.</w:t>
      </w:r>
    </w:p>
    <w:p>
      <w:pPr>
        <w:spacing w:after="0" w:line="117" w:lineRule="exact"/>
        <w:rPr>
          <w:sz w:val="20"/>
          <w:szCs w:val="20"/>
          <w:color w:val="auto"/>
        </w:rPr>
      </w:pPr>
    </w:p>
    <w:p>
      <w:pPr>
        <w:ind w:right="20" w:firstLine="436"/>
        <w:spacing w:after="0" w:line="281" w:lineRule="auto"/>
        <w:tabs>
          <w:tab w:leader="none" w:pos="820" w:val="left"/>
        </w:tabs>
        <w:numPr>
          <w:ilvl w:val="0"/>
          <w:numId w:val="383"/>
        </w:numPr>
        <w:rPr>
          <w:rFonts w:ascii="Arial" w:cs="Arial" w:eastAsia="Arial" w:hAnsi="Arial"/>
          <w:sz w:val="17"/>
          <w:szCs w:val="17"/>
          <w:color w:val="auto"/>
        </w:rPr>
      </w:pPr>
      <w:r>
        <w:rPr>
          <w:rFonts w:ascii="Arial" w:cs="Arial" w:eastAsia="Arial" w:hAnsi="Arial"/>
          <w:sz w:val="17"/>
          <w:szCs w:val="17"/>
          <w:b w:val="1"/>
          <w:bCs w:val="1"/>
          <w:color w:val="auto"/>
        </w:rPr>
        <w:t>Five Percent Limit</w:t>
      </w:r>
      <w:r>
        <w:rPr>
          <w:rFonts w:ascii="Arial" w:cs="Arial" w:eastAsia="Arial" w:hAnsi="Arial"/>
          <w:sz w:val="17"/>
          <w:szCs w:val="17"/>
          <w:color w:val="auto"/>
        </w:rPr>
        <w:t>. Any other provision of the Plan notwithstanding, no Participant shall be granted a right to purchase Stock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if, immediately after such right is granted, such Participant would own stock possessing 5% or more of the total combined voting power or value of all classes of stock of the Company or any Related Corporation, applying the stock attribution rules of Code Section 424(d), and including any stock in which the Participant may purchase under outstanding options as stock owned by such Participant.</w:t>
      </w:r>
    </w:p>
    <w:p>
      <w:pPr>
        <w:spacing w:after="0" w:line="164" w:lineRule="exact"/>
        <w:rPr>
          <w:rFonts w:ascii="Arial" w:cs="Arial" w:eastAsia="Arial" w:hAnsi="Arial"/>
          <w:sz w:val="17"/>
          <w:szCs w:val="17"/>
          <w:color w:val="auto"/>
        </w:rPr>
      </w:pPr>
    </w:p>
    <w:p>
      <w:pPr>
        <w:ind w:firstLine="436"/>
        <w:spacing w:after="0" w:line="294" w:lineRule="auto"/>
        <w:tabs>
          <w:tab w:leader="none" w:pos="830" w:val="left"/>
        </w:tabs>
        <w:numPr>
          <w:ilvl w:val="0"/>
          <w:numId w:val="383"/>
        </w:numPr>
        <w:rPr>
          <w:rFonts w:ascii="Arial" w:cs="Arial" w:eastAsia="Arial" w:hAnsi="Arial"/>
          <w:sz w:val="16"/>
          <w:szCs w:val="16"/>
          <w:color w:val="auto"/>
        </w:rPr>
      </w:pPr>
      <w:r>
        <w:rPr>
          <w:rFonts w:ascii="Arial" w:cs="Arial" w:eastAsia="Arial" w:hAnsi="Arial"/>
          <w:sz w:val="16"/>
          <w:szCs w:val="16"/>
          <w:b w:val="1"/>
          <w:bCs w:val="1"/>
          <w:color w:val="auto"/>
        </w:rPr>
        <w:t>Dollar Limit</w:t>
      </w:r>
      <w:r>
        <w:rPr>
          <w:rFonts w:ascii="Arial" w:cs="Arial" w:eastAsia="Arial" w:hAnsi="Arial"/>
          <w:sz w:val="16"/>
          <w:szCs w:val="16"/>
          <w:color w:val="auto"/>
        </w:rPr>
        <w:t>. As specified by Code Section 423(b)(8), no Participant shall be entitled to accrue rights to purchase Stock pursuant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such rights outstanding under the Plan if and to the extent such accrual, when aggregated with (i) rights to purchase Stock accrued under any other right to purchase Stock under the Plan, and (ii) similar rights accrued under other employee stock purchase plans (within the meaning of Code Section 423) of the Company or any Related Corporation, would otherwise permit such Participant to purchase more than $25,000 worth of Stock of the Company or any Related Corporation (determined on the basis of the Fair Market Value per share on the date such rights are granted, and which, with respect to the Plan, will be determined as of the beginning of the respective Offering Period) for each calendar year such rights are at any time outstanding.</w:t>
      </w:r>
    </w:p>
    <w:p>
      <w:pPr>
        <w:spacing w:after="0" w:line="164"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If a Participant is precluded by this Subsection (b) from purchasing additional Stock under the Plan, then his or her employee contributions shall automatically be discontinued and shall automatically resume at the beginning of the next Purchase Period with a scheduled Purchase Date in the next calendar year, provided that he or she is an Eligible Employee at the beginning of such Purchase Period.</w:t>
      </w:r>
    </w:p>
    <w:p>
      <w:pPr>
        <w:spacing w:after="0" w:line="161" w:lineRule="exact"/>
        <w:rPr>
          <w:sz w:val="20"/>
          <w:szCs w:val="20"/>
          <w:color w:val="auto"/>
        </w:rPr>
      </w:pPr>
    </w:p>
    <w:p>
      <w:pPr>
        <w:ind w:right="80" w:firstLine="436"/>
        <w:spacing w:after="0" w:line="261" w:lineRule="auto"/>
        <w:tabs>
          <w:tab w:leader="none" w:pos="820" w:val="left"/>
        </w:tabs>
        <w:numPr>
          <w:ilvl w:val="0"/>
          <w:numId w:val="384"/>
        </w:numPr>
        <w:rPr>
          <w:rFonts w:ascii="Arial" w:cs="Arial" w:eastAsia="Arial" w:hAnsi="Arial"/>
          <w:sz w:val="18"/>
          <w:szCs w:val="18"/>
          <w:color w:val="auto"/>
        </w:rPr>
      </w:pPr>
      <w:r>
        <w:rPr>
          <w:rFonts w:ascii="Arial" w:cs="Arial" w:eastAsia="Arial" w:hAnsi="Arial"/>
          <w:sz w:val="18"/>
          <w:szCs w:val="18"/>
          <w:b w:val="1"/>
          <w:bCs w:val="1"/>
          <w:color w:val="auto"/>
        </w:rPr>
        <w:t>Purchase Period Share Purchase Limit</w:t>
      </w:r>
      <w:r>
        <w:rPr>
          <w:rFonts w:ascii="Arial" w:cs="Arial" w:eastAsia="Arial" w:hAnsi="Arial"/>
          <w:sz w:val="18"/>
          <w:szCs w:val="18"/>
          <w:color w:val="auto"/>
        </w:rPr>
        <w:t>. The Administrator may establish one or more limits on the number of shares of Stock that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during any Offering Period and/or Purchase Period, including individual limits and/or aggregate limits. Unless the Administrator provides otherwise with respect to an Offering Period, any other provision of the Plan notwithstanding, no Participant shall purchase more than 3,000 shares of Stock with respect to any Purchase Period.</w:t>
      </w:r>
    </w:p>
    <w:p>
      <w:pPr>
        <w:sectPr>
          <w:pgSz w:w="11900" w:h="16838" w:orient="portrait"/>
          <w:cols w:equalWidth="0" w:num="1">
            <w:col w:w="11000"/>
          </w:cols>
          <w:pgMar w:left="440" w:top="269" w:right="459" w:bottom="1440" w:gutter="0" w:footer="0" w:header="0"/>
        </w:sectPr>
      </w:pPr>
    </w:p>
    <w:bookmarkStart w:id="515" w:name="page516"/>
    <w:bookmarkEnd w:id="515"/>
    <w:p>
      <w:pPr>
        <w:spacing w:after="0"/>
        <w:tabs>
          <w:tab w:leader="none" w:pos="1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w:t>
      </w:r>
      <w:r>
        <w:rPr>
          <w:sz w:val="20"/>
          <w:szCs w:val="20"/>
          <w:color w:val="auto"/>
        </w:rPr>
        <w:tab/>
      </w:r>
      <w:r>
        <w:rPr>
          <w:rFonts w:ascii="Arial" w:cs="Arial" w:eastAsia="Arial" w:hAnsi="Arial"/>
          <w:sz w:val="17"/>
          <w:szCs w:val="17"/>
          <w:b w:val="1"/>
          <w:bCs w:val="1"/>
          <w:color w:val="auto"/>
        </w:rPr>
        <w:t>RIGHTS NOT TRANSFERABLE.</w:t>
      </w:r>
    </w:p>
    <w:p>
      <w:pPr>
        <w:spacing w:after="0" w:line="121"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beneficiary designation or the laws of descent and distribution. If a Participant in any manner attempts to transfer, assign or otherwise encumber his or her rights or interest under the Plan, other than by beneficiary designation or the laws of descent and distribution, then such act shall be treated as an election by the Participant to withdraw from the Plan under Section 6(a).</w:t>
      </w:r>
    </w:p>
    <w:p>
      <w:pPr>
        <w:spacing w:after="0" w:line="29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11.</w:t>
        <w:tab/>
        <w:t>NO RIGHTS AS AN EMPLOYEE.</w:t>
      </w:r>
    </w:p>
    <w:p>
      <w:pPr>
        <w:spacing w:after="0" w:line="12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spacing w:after="0" w:line="2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7"/>
          <w:szCs w:val="17"/>
          <w:b w:val="1"/>
          <w:bCs w:val="1"/>
          <w:color w:val="auto"/>
        </w:rPr>
        <w:t>NO RIGHTS AS A STOCKHOLDER.</w:t>
      </w:r>
    </w:p>
    <w:p>
      <w:pPr>
        <w:spacing w:after="0" w:line="12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A Participant shall have no rights as a stockholder with respect to any shares of Stock that he or she may have a right to purchase under the Plan until such shares have been purchased on the applicable Purchase Date.</w:t>
      </w:r>
    </w:p>
    <w:p>
      <w:pPr>
        <w:spacing w:after="0" w:line="27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13.</w:t>
        <w:tab/>
        <w:t>SECURITIES LAW REQUIREMENTS.</w:t>
      </w:r>
    </w:p>
    <w:p>
      <w:pPr>
        <w:spacing w:after="0" w:line="12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Shares of Stock shall not be issued, and the Company shall have no liability for failure to issue shares of Stock,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29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14.</w:t>
        <w:tab/>
        <w:t>AMENDMENT OR DISCONTINUANCE.</w:t>
      </w:r>
    </w:p>
    <w:p>
      <w:pPr>
        <w:spacing w:after="0" w:line="117" w:lineRule="exact"/>
        <w:rPr>
          <w:sz w:val="20"/>
          <w:szCs w:val="20"/>
          <w:color w:val="auto"/>
        </w:rPr>
      </w:pPr>
    </w:p>
    <w:p>
      <w:pPr>
        <w:ind w:firstLine="436"/>
        <w:spacing w:after="0" w:line="274" w:lineRule="auto"/>
        <w:tabs>
          <w:tab w:leader="none" w:pos="820" w:val="left"/>
        </w:tabs>
        <w:numPr>
          <w:ilvl w:val="0"/>
          <w:numId w:val="385"/>
        </w:numPr>
        <w:rPr>
          <w:rFonts w:ascii="Arial" w:cs="Arial" w:eastAsia="Arial" w:hAnsi="Arial"/>
          <w:sz w:val="17"/>
          <w:szCs w:val="17"/>
          <w:color w:val="auto"/>
        </w:rPr>
      </w:pPr>
      <w:r>
        <w:rPr>
          <w:rFonts w:ascii="Arial" w:cs="Arial" w:eastAsia="Arial" w:hAnsi="Arial"/>
          <w:sz w:val="17"/>
          <w:szCs w:val="17"/>
          <w:b w:val="1"/>
          <w:bCs w:val="1"/>
          <w:color w:val="auto"/>
        </w:rPr>
        <w:t>General Rule</w:t>
      </w:r>
      <w:r>
        <w:rPr>
          <w:rFonts w:ascii="Arial" w:cs="Arial" w:eastAsia="Arial" w:hAnsi="Arial"/>
          <w:sz w:val="17"/>
          <w:szCs w:val="17"/>
          <w:color w:val="auto"/>
        </w:rPr>
        <w:t>. The Administrator, in its sole discretion, may amend, suspend, or terminate the Plan, or any part thereof, at any time and for</w:t>
      </w:r>
      <w:r>
        <w:rPr>
          <w:rFonts w:ascii="Arial" w:cs="Arial" w:eastAsia="Arial" w:hAnsi="Arial"/>
          <w:sz w:val="17"/>
          <w:szCs w:val="17"/>
          <w:b w:val="1"/>
          <w:bCs w:val="1"/>
          <w:color w:val="auto"/>
        </w:rPr>
        <w:t xml:space="preserve"> </w:t>
      </w:r>
      <w:r>
        <w:rPr>
          <w:rFonts w:ascii="Arial" w:cs="Arial" w:eastAsia="Arial" w:hAnsi="Arial"/>
          <w:sz w:val="17"/>
          <w:szCs w:val="17"/>
          <w:color w:val="auto"/>
        </w:rPr>
        <w:t>any reason. If the Plan is terminated, the Administrator, in its discretion, may elect to terminate all outstanding Offering Periods either immediately or upon completion of the purchase of shares of Stock on the next Purchase Date, or may elect to permit Offering Periods to expire in accordance with their terms (and subject to any adjustment pursuant to Section 3(c) or (d)). If the Offering Periods are terminated prior to expiration, all amounts then credited to Participants’ accounts which have not been used to purchase shares of Stock will be returned to the Participants (without interest thereon, except as otherwise required by the laws of the local jurisdiction) as soon as administratively practicable.</w:t>
      </w:r>
    </w:p>
    <w:p>
      <w:pPr>
        <w:sectPr>
          <w:pgSz w:w="11900" w:h="16838" w:orient="portrait"/>
          <w:cols w:equalWidth="0" w:num="1">
            <w:col w:w="11000"/>
          </w:cols>
          <w:pgMar w:left="440" w:top="269" w:right="459" w:bottom="1440" w:gutter="0" w:footer="0" w:header="0"/>
        </w:sectPr>
      </w:pPr>
    </w:p>
    <w:bookmarkStart w:id="516" w:name="page517"/>
    <w:bookmarkEnd w:id="516"/>
    <w:p>
      <w:pPr>
        <w:ind w:right="60" w:firstLine="436"/>
        <w:spacing w:after="0" w:line="270" w:lineRule="auto"/>
        <w:tabs>
          <w:tab w:leader="none" w:pos="830" w:val="left"/>
        </w:tabs>
        <w:numPr>
          <w:ilvl w:val="0"/>
          <w:numId w:val="38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Administrator’s Discretion</w:t>
      </w:r>
      <w:r>
        <w:rPr>
          <w:rFonts w:ascii="Arial" w:cs="Arial" w:eastAsia="Arial" w:hAnsi="Arial"/>
          <w:sz w:val="17"/>
          <w:szCs w:val="17"/>
          <w:color w:val="auto"/>
        </w:rPr>
        <w:t>. Without stockholder consent and without limiting Subsection (a) above, the Administrator will be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Stock for each Participant properly correspond with amounts withheld from the Participant’s Compensation, amend any outstanding purchase rights or clarify any ambiguities regarding the terms of any Offering Period to enable the purchase rights to qualify under and/or comply with Section 423 of the Code, and establish such other limitations or procedures as it determines in its sole discretion advisable which are consistent with the Plan. The actions of the Administrator pursuant to this paragraph will not be considered to alter or impair the purchase rights granted under an Offering Period as they are to be deemed part of the initial terms of such Offering Period and purchase rights.</w:t>
      </w:r>
    </w:p>
    <w:p>
      <w:pPr>
        <w:spacing w:after="0" w:line="176" w:lineRule="exact"/>
        <w:rPr>
          <w:rFonts w:ascii="Arial" w:cs="Arial" w:eastAsia="Arial" w:hAnsi="Arial"/>
          <w:sz w:val="17"/>
          <w:szCs w:val="17"/>
          <w:color w:val="auto"/>
        </w:rPr>
      </w:pPr>
    </w:p>
    <w:p>
      <w:pPr>
        <w:ind w:right="260" w:firstLine="436"/>
        <w:spacing w:after="0" w:line="266" w:lineRule="auto"/>
        <w:tabs>
          <w:tab w:leader="none" w:pos="820" w:val="left"/>
        </w:tabs>
        <w:numPr>
          <w:ilvl w:val="0"/>
          <w:numId w:val="386"/>
        </w:numPr>
        <w:rPr>
          <w:rFonts w:ascii="Arial" w:cs="Arial" w:eastAsia="Arial" w:hAnsi="Arial"/>
          <w:sz w:val="18"/>
          <w:szCs w:val="18"/>
          <w:color w:val="auto"/>
        </w:rPr>
      </w:pPr>
      <w:r>
        <w:rPr>
          <w:rFonts w:ascii="Arial" w:cs="Arial" w:eastAsia="Arial" w:hAnsi="Arial"/>
          <w:sz w:val="18"/>
          <w:szCs w:val="18"/>
          <w:b w:val="1"/>
          <w:bCs w:val="1"/>
          <w:color w:val="auto"/>
        </w:rPr>
        <w:t>Accounting Consideration</w:t>
      </w:r>
      <w:r>
        <w:rPr>
          <w:rFonts w:ascii="Arial" w:cs="Arial" w:eastAsia="Arial" w:hAnsi="Arial"/>
          <w:sz w:val="18"/>
          <w:szCs w:val="18"/>
          <w:color w:val="auto"/>
        </w:rPr>
        <w:t>. In the event the Administrator determines that the ongoing operation of the Plan may result in unfavorable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accounting consequences, the Administrator may, in its discretion and, to the extent necessary or desirable, modify, amend or terminate the Plan to reduce or eliminate such accounting consequence including, but not limited to:</w:t>
      </w:r>
    </w:p>
    <w:p>
      <w:pPr>
        <w:spacing w:after="0" w:line="85" w:lineRule="exact"/>
        <w:rPr>
          <w:rFonts w:ascii="Arial" w:cs="Arial" w:eastAsia="Arial" w:hAnsi="Arial"/>
          <w:sz w:val="18"/>
          <w:szCs w:val="18"/>
          <w:color w:val="auto"/>
        </w:rPr>
      </w:pPr>
    </w:p>
    <w:p>
      <w:pPr>
        <w:ind w:left="1420" w:right="160" w:hanging="439"/>
        <w:spacing w:after="0" w:line="342" w:lineRule="auto"/>
        <w:tabs>
          <w:tab w:leader="none" w:pos="1420" w:val="left"/>
        </w:tabs>
        <w:numPr>
          <w:ilvl w:val="1"/>
          <w:numId w:val="386"/>
        </w:numPr>
        <w:rPr>
          <w:rFonts w:ascii="Arial" w:cs="Arial" w:eastAsia="Arial" w:hAnsi="Arial"/>
          <w:sz w:val="16"/>
          <w:szCs w:val="16"/>
          <w:color w:val="auto"/>
        </w:rPr>
      </w:pPr>
      <w:r>
        <w:rPr>
          <w:rFonts w:ascii="Arial" w:cs="Arial" w:eastAsia="Arial" w:hAnsi="Arial"/>
          <w:sz w:val="16"/>
          <w:szCs w:val="16"/>
          <w:color w:val="auto"/>
        </w:rPr>
        <w:t>Amending the Plan to conform with the safe harbor definition under Financial Accounting Standards Board Accounting Standards Codification Topic 718 (or successor provision), including with respect to an Offering Period underway at the time;</w:t>
      </w:r>
    </w:p>
    <w:p>
      <w:pPr>
        <w:spacing w:after="0" w:line="29" w:lineRule="exact"/>
        <w:rPr>
          <w:rFonts w:ascii="Arial" w:cs="Arial" w:eastAsia="Arial" w:hAnsi="Arial"/>
          <w:sz w:val="16"/>
          <w:szCs w:val="16"/>
          <w:color w:val="auto"/>
        </w:rPr>
      </w:pPr>
    </w:p>
    <w:p>
      <w:pPr>
        <w:ind w:left="1420" w:right="240" w:hanging="439"/>
        <w:spacing w:after="0" w:line="277" w:lineRule="auto"/>
        <w:tabs>
          <w:tab w:leader="none" w:pos="142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Altering the Purchase Price for any Offering Period including an Offering Period underway at the time of the change in Purchase Price;</w:t>
      </w:r>
    </w:p>
    <w:p>
      <w:pPr>
        <w:spacing w:after="0" w:line="75" w:lineRule="exact"/>
        <w:rPr>
          <w:rFonts w:ascii="Arial" w:cs="Arial" w:eastAsia="Arial" w:hAnsi="Arial"/>
          <w:sz w:val="18"/>
          <w:szCs w:val="18"/>
          <w:color w:val="auto"/>
        </w:rPr>
      </w:pPr>
    </w:p>
    <w:p>
      <w:pPr>
        <w:ind w:left="1420" w:right="120" w:hanging="439"/>
        <w:spacing w:after="0" w:line="277" w:lineRule="auto"/>
        <w:tabs>
          <w:tab w:leader="none" w:pos="142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Shortening any Offering Period (and any Purchase Periods encompassed by such Offering Period) by setting a new Purchase Date, including with respect to an Offering Period underway at the time of the Administrator’s action;</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Reducing the maximum percentage of Compensation a Participant may elect to set aside as payroll deductions;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Reducing the maximum number of shares of Stock a Participant may purchase during any Purchase Period.</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Such modifications or amendments will not require stockholder approval or the consent of any Plan Participants. The actions of the Administrator pursuant to this paragraph will not be considered to alter or impair the purchase rights granted under an Offering Period as they are to be deemed part of the initial terms of such Offering Period and purchase rights.</w:t>
      </w:r>
    </w:p>
    <w:p>
      <w:pPr>
        <w:spacing w:after="0" w:line="180" w:lineRule="exact"/>
        <w:rPr>
          <w:sz w:val="20"/>
          <w:szCs w:val="20"/>
          <w:color w:val="auto"/>
        </w:rPr>
      </w:pPr>
    </w:p>
    <w:p>
      <w:pPr>
        <w:ind w:right="100" w:firstLine="436"/>
        <w:spacing w:after="0" w:line="282" w:lineRule="auto"/>
        <w:tabs>
          <w:tab w:leader="none" w:pos="830" w:val="left"/>
        </w:tabs>
        <w:numPr>
          <w:ilvl w:val="0"/>
          <w:numId w:val="387"/>
        </w:numPr>
        <w:rPr>
          <w:rFonts w:ascii="Arial" w:cs="Arial" w:eastAsia="Arial" w:hAnsi="Arial"/>
          <w:sz w:val="18"/>
          <w:szCs w:val="18"/>
          <w:color w:val="auto"/>
        </w:rPr>
      </w:pPr>
      <w:r>
        <w:rPr>
          <w:rFonts w:ascii="Arial" w:cs="Arial" w:eastAsia="Arial" w:hAnsi="Arial"/>
          <w:sz w:val="18"/>
          <w:szCs w:val="18"/>
          <w:b w:val="1"/>
          <w:bCs w:val="1"/>
          <w:color w:val="auto"/>
        </w:rPr>
        <w:t>Stockholder Approval</w:t>
      </w:r>
      <w:r>
        <w:rPr>
          <w:rFonts w:ascii="Arial" w:cs="Arial" w:eastAsia="Arial" w:hAnsi="Arial"/>
          <w:sz w:val="18"/>
          <w:szCs w:val="18"/>
          <w:color w:val="auto"/>
        </w:rPr>
        <w:t>. Except as provided in Section 3, any increase in the aggregate number of shares of Stock that may be issued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subject to the</w:t>
      </w:r>
    </w:p>
    <w:p>
      <w:pPr>
        <w:sectPr>
          <w:pgSz w:w="11900" w:h="16838" w:orient="portrait"/>
          <w:cols w:equalWidth="0" w:num="1">
            <w:col w:w="10940"/>
          </w:cols>
          <w:pgMar w:left="440" w:top="269" w:right="519" w:bottom="1440" w:gutter="0" w:footer="0" w:header="0"/>
        </w:sectPr>
      </w:pPr>
    </w:p>
    <w:bookmarkStart w:id="517" w:name="page518"/>
    <w:bookmarkEnd w:id="517"/>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 of the Company’s stockholders. In addition, any other amendment of the Plan shall be subject to the approval of the Company’s stockholders to the extent required under Section 14(e) or by any applicable law or regulation.</w:t>
      </w:r>
    </w:p>
    <w:p>
      <w:pPr>
        <w:spacing w:after="0" w:line="166" w:lineRule="exact"/>
        <w:rPr>
          <w:sz w:val="20"/>
          <w:szCs w:val="20"/>
          <w:color w:val="auto"/>
        </w:rPr>
      </w:pPr>
    </w:p>
    <w:p>
      <w:pPr>
        <w:ind w:left="4" w:right="340" w:firstLine="436"/>
        <w:spacing w:after="0" w:line="282" w:lineRule="auto"/>
        <w:tabs>
          <w:tab w:leader="none" w:pos="824" w:val="left"/>
        </w:tabs>
        <w:numPr>
          <w:ilvl w:val="0"/>
          <w:numId w:val="388"/>
        </w:numPr>
        <w:rPr>
          <w:rFonts w:ascii="Arial" w:cs="Arial" w:eastAsia="Arial" w:hAnsi="Arial"/>
          <w:sz w:val="18"/>
          <w:szCs w:val="18"/>
          <w:color w:val="auto"/>
        </w:rPr>
      </w:pPr>
      <w:r>
        <w:rPr>
          <w:rFonts w:ascii="Arial" w:cs="Arial" w:eastAsia="Arial" w:hAnsi="Arial"/>
          <w:sz w:val="18"/>
          <w:szCs w:val="18"/>
          <w:b w:val="1"/>
          <w:bCs w:val="1"/>
          <w:color w:val="auto"/>
        </w:rPr>
        <w:t>Plan Termination</w:t>
      </w:r>
      <w:r>
        <w:rPr>
          <w:rFonts w:ascii="Arial" w:cs="Arial" w:eastAsia="Arial" w:hAnsi="Arial"/>
          <w:sz w:val="18"/>
          <w:szCs w:val="18"/>
          <w:color w:val="auto"/>
        </w:rPr>
        <w:t>. The Plan shall terminate automatically 20 years after its adoption by the Board, unless (i) the Plan is extended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(ii) the extension is approved within 12 months by a vote of the stockholders of the Company.</w:t>
      </w:r>
    </w:p>
    <w:p>
      <w:pPr>
        <w:spacing w:after="0" w:line="270" w:lineRule="exact"/>
        <w:rPr>
          <w:sz w:val="20"/>
          <w:szCs w:val="20"/>
          <w:color w:val="auto"/>
        </w:rPr>
      </w:pPr>
    </w:p>
    <w:p>
      <w:pPr>
        <w:ind w:left="4"/>
        <w:spacing w:after="0"/>
        <w:tabs>
          <w:tab w:leader="none" w:pos="1244" w:val="left"/>
        </w:tabs>
        <w:rPr>
          <w:sz w:val="20"/>
          <w:szCs w:val="20"/>
          <w:color w:val="auto"/>
        </w:rPr>
      </w:pPr>
      <w:r>
        <w:rPr>
          <w:rFonts w:ascii="Arial" w:cs="Arial" w:eastAsia="Arial" w:hAnsi="Arial"/>
          <w:sz w:val="18"/>
          <w:szCs w:val="18"/>
          <w:b w:val="1"/>
          <w:bCs w:val="1"/>
          <w:color w:val="auto"/>
        </w:rPr>
        <w:t>SECTION 15.</w:t>
        <w:tab/>
        <w:t>DEFINITIONS.</w:t>
      </w:r>
    </w:p>
    <w:p>
      <w:pPr>
        <w:spacing w:after="0" w:line="117" w:lineRule="exact"/>
        <w:rPr>
          <w:sz w:val="20"/>
          <w:szCs w:val="20"/>
          <w:color w:val="auto"/>
        </w:rPr>
      </w:pPr>
    </w:p>
    <w:p>
      <w:pPr>
        <w:ind w:left="824" w:hanging="384"/>
        <w:spacing w:after="0"/>
        <w:tabs>
          <w:tab w:leader="none" w:pos="824" w:val="left"/>
        </w:tabs>
        <w:numPr>
          <w:ilvl w:val="1"/>
          <w:numId w:val="3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means the Board or any Committee administering the Plan in accordance with Section 2.</w:t>
      </w:r>
    </w:p>
    <w:p>
      <w:pPr>
        <w:spacing w:after="0" w:line="225" w:lineRule="exact"/>
        <w:rPr>
          <w:rFonts w:ascii="Arial" w:cs="Arial" w:eastAsia="Arial" w:hAnsi="Arial"/>
          <w:sz w:val="18"/>
          <w:szCs w:val="18"/>
          <w:color w:val="auto"/>
        </w:rPr>
      </w:pPr>
    </w:p>
    <w:p>
      <w:pPr>
        <w:ind w:left="824" w:hanging="384"/>
        <w:spacing w:after="0"/>
        <w:tabs>
          <w:tab w:leader="none" w:pos="824" w:val="left"/>
        </w:tabs>
        <w:numPr>
          <w:ilvl w:val="1"/>
          <w:numId w:val="3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as constituted from time to time.</w:t>
      </w:r>
    </w:p>
    <w:p>
      <w:pPr>
        <w:spacing w:after="0" w:line="225" w:lineRule="exact"/>
        <w:rPr>
          <w:rFonts w:ascii="Arial" w:cs="Arial" w:eastAsia="Arial" w:hAnsi="Arial"/>
          <w:sz w:val="18"/>
          <w:szCs w:val="18"/>
          <w:color w:val="auto"/>
        </w:rPr>
      </w:pPr>
    </w:p>
    <w:p>
      <w:pPr>
        <w:ind w:left="824" w:hanging="384"/>
        <w:spacing w:after="0"/>
        <w:tabs>
          <w:tab w:leader="none" w:pos="824" w:val="left"/>
        </w:tabs>
        <w:numPr>
          <w:ilvl w:val="1"/>
          <w:numId w:val="3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4" w:right="80" w:firstLine="436"/>
        <w:spacing w:after="0" w:line="282" w:lineRule="auto"/>
        <w:tabs>
          <w:tab w:leader="none" w:pos="834" w:val="left"/>
        </w:tabs>
        <w:numPr>
          <w:ilvl w:val="1"/>
          <w:numId w:val="3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of one or more members of the Board, or of other individuals satisfying applicable laws, appointed by the Board to administer the Plan.</w:t>
      </w:r>
    </w:p>
    <w:p>
      <w:pPr>
        <w:spacing w:after="0" w:line="161" w:lineRule="exact"/>
        <w:rPr>
          <w:rFonts w:ascii="Arial" w:cs="Arial" w:eastAsia="Arial" w:hAnsi="Arial"/>
          <w:sz w:val="18"/>
          <w:szCs w:val="18"/>
          <w:color w:val="auto"/>
        </w:rPr>
      </w:pPr>
    </w:p>
    <w:p>
      <w:pPr>
        <w:ind w:left="824" w:hanging="384"/>
        <w:spacing w:after="0"/>
        <w:tabs>
          <w:tab w:leader="none" w:pos="824" w:val="left"/>
        </w:tabs>
        <w:numPr>
          <w:ilvl w:val="1"/>
          <w:numId w:val="3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Flywire Corporation, a Delaware corporation.</w:t>
      </w:r>
    </w:p>
    <w:p>
      <w:pPr>
        <w:spacing w:after="0" w:line="225" w:lineRule="exact"/>
        <w:rPr>
          <w:rFonts w:ascii="Arial" w:cs="Arial" w:eastAsia="Arial" w:hAnsi="Arial"/>
          <w:sz w:val="18"/>
          <w:szCs w:val="18"/>
          <w:color w:val="auto"/>
        </w:rPr>
      </w:pPr>
    </w:p>
    <w:p>
      <w:pPr>
        <w:ind w:left="4" w:firstLine="436"/>
        <w:spacing w:after="0" w:line="273" w:lineRule="auto"/>
        <w:tabs>
          <w:tab w:leader="none" w:pos="804" w:val="left"/>
        </w:tabs>
        <w:numPr>
          <w:ilvl w:val="1"/>
          <w:numId w:val="3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Compensation</w:t>
      </w:r>
      <w:r>
        <w:rPr>
          <w:rFonts w:ascii="Arial" w:cs="Arial" w:eastAsia="Arial" w:hAnsi="Arial"/>
          <w:sz w:val="17"/>
          <w:szCs w:val="17"/>
          <w:color w:val="auto"/>
        </w:rPr>
        <w:t xml:space="preserve">” means, unless otherwise determined by the Administrator with respect to an Offering Period, those components of a Participant’s cash compensation (prior to reductions pursuant to Code Sections 125, 132(f) or 401(k)) that are regular and recurring, </w:t>
      </w:r>
      <w:r>
        <w:rPr>
          <w:rFonts w:ascii="Arial" w:cs="Arial" w:eastAsia="Arial" w:hAnsi="Arial"/>
          <w:sz w:val="17"/>
          <w:szCs w:val="17"/>
          <w:i w:val="1"/>
          <w:iCs w:val="1"/>
          <w:color w:val="auto"/>
        </w:rPr>
        <w:t>including</w:t>
      </w:r>
      <w:r>
        <w:rPr>
          <w:rFonts w:ascii="Arial" w:cs="Arial" w:eastAsia="Arial" w:hAnsi="Arial"/>
          <w:sz w:val="17"/>
          <w:szCs w:val="17"/>
          <w:color w:val="auto"/>
        </w:rPr>
        <w:t xml:space="preserve"> cash base salary or base hourly pay </w:t>
      </w:r>
      <w:r>
        <w:rPr>
          <w:rFonts w:ascii="Arial" w:cs="Arial" w:eastAsia="Arial" w:hAnsi="Arial"/>
          <w:sz w:val="17"/>
          <w:szCs w:val="17"/>
          <w:i w:val="1"/>
          <w:iCs w:val="1"/>
          <w:color w:val="auto"/>
        </w:rPr>
        <w:t>but</w:t>
      </w:r>
      <w:r>
        <w:rPr>
          <w:rFonts w:ascii="Arial" w:cs="Arial" w:eastAsia="Arial" w:hAnsi="Arial"/>
          <w:sz w:val="17"/>
          <w:szCs w:val="17"/>
          <w:color w:val="auto"/>
        </w:rPr>
        <w:t xml:space="preserve"> excluding any overtime pay or shift differentials, commissions, annual cash incentive compensation, and annual cash bonuses, and </w:t>
      </w:r>
      <w:r>
        <w:rPr>
          <w:rFonts w:ascii="Arial" w:cs="Arial" w:eastAsia="Arial" w:hAnsi="Arial"/>
          <w:sz w:val="17"/>
          <w:szCs w:val="17"/>
          <w:i w:val="1"/>
          <w:iCs w:val="1"/>
          <w:color w:val="auto"/>
        </w:rPr>
        <w:t>further excluding</w:t>
      </w:r>
      <w:r>
        <w:rPr>
          <w:rFonts w:ascii="Arial" w:cs="Arial" w:eastAsia="Arial" w:hAnsi="Arial"/>
          <w:sz w:val="17"/>
          <w:szCs w:val="17"/>
          <w:color w:val="auto"/>
        </w:rPr>
        <w:t xml:space="preserve"> extraordinary cash items (such as one-time bonuses), as well as all non-cash items, moving or relocation allowances, cost-of-living or tax equalization payments, car allowances, tuition reimbursements, imputed income attributable to cars or life insurance, severance pay, fringe benefits, contributions or benefits received under employee benefit plans, payments for or related to equity compensation, and any similar items. The Administrator shall determine whether a particular item is included in Compensation.</w:t>
      </w:r>
    </w:p>
    <w:p>
      <w:pPr>
        <w:spacing w:after="0" w:line="171" w:lineRule="exact"/>
        <w:rPr>
          <w:rFonts w:ascii="Arial" w:cs="Arial" w:eastAsia="Arial" w:hAnsi="Arial"/>
          <w:sz w:val="17"/>
          <w:szCs w:val="17"/>
          <w:color w:val="auto"/>
        </w:rPr>
      </w:pPr>
    </w:p>
    <w:p>
      <w:pPr>
        <w:ind w:left="824" w:hanging="384"/>
        <w:spacing w:after="0"/>
        <w:tabs>
          <w:tab w:leader="none" w:pos="824" w:val="left"/>
        </w:tabs>
        <w:numPr>
          <w:ilvl w:val="1"/>
          <w:numId w:val="3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Reorganization</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424" w:hanging="439"/>
        <w:spacing w:after="0"/>
        <w:tabs>
          <w:tab w:leader="none" w:pos="1424" w:val="left"/>
        </w:tabs>
        <w:numPr>
          <w:ilvl w:val="2"/>
          <w:numId w:val="389"/>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or into another entity or any other corporate reorganization; or</w:t>
      </w:r>
    </w:p>
    <w:p>
      <w:pPr>
        <w:spacing w:after="0" w:line="153" w:lineRule="exact"/>
        <w:rPr>
          <w:rFonts w:ascii="Arial" w:cs="Arial" w:eastAsia="Arial" w:hAnsi="Arial"/>
          <w:sz w:val="16"/>
          <w:szCs w:val="16"/>
          <w:color w:val="auto"/>
        </w:rPr>
      </w:pPr>
    </w:p>
    <w:p>
      <w:pPr>
        <w:ind w:left="1424" w:right="100" w:hanging="439"/>
        <w:spacing w:after="0" w:line="277" w:lineRule="auto"/>
        <w:tabs>
          <w:tab w:leader="none" w:pos="1424" w:val="left"/>
        </w:tabs>
        <w:numPr>
          <w:ilvl w:val="2"/>
          <w:numId w:val="389"/>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 or the complete liquidation or dissolution of the Company.</w:t>
      </w:r>
    </w:p>
    <w:p>
      <w:pPr>
        <w:spacing w:after="0" w:line="166" w:lineRule="exact"/>
        <w:rPr>
          <w:rFonts w:ascii="Arial" w:cs="Arial" w:eastAsia="Arial" w:hAnsi="Arial"/>
          <w:sz w:val="18"/>
          <w:szCs w:val="18"/>
          <w:color w:val="auto"/>
        </w:rPr>
      </w:pPr>
    </w:p>
    <w:p>
      <w:pPr>
        <w:ind w:left="4" w:right="180" w:firstLine="436"/>
        <w:spacing w:after="0" w:line="293" w:lineRule="auto"/>
        <w:tabs>
          <w:tab w:leader="none" w:pos="834" w:val="left"/>
        </w:tabs>
        <w:numPr>
          <w:ilvl w:val="1"/>
          <w:numId w:val="3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Employee</w:t>
      </w:r>
      <w:r>
        <w:rPr>
          <w:rFonts w:ascii="Arial" w:cs="Arial" w:eastAsia="Arial" w:hAnsi="Arial"/>
          <w:sz w:val="16"/>
          <w:szCs w:val="16"/>
          <w:color w:val="auto"/>
        </w:rPr>
        <w:t>” means a common law employee of a Participating Company, provided, however, that the Administrator may exclude one or more of the following categories of employees (where exclusion of such employees is permitted by applicable law) from any Offering Period:</w:t>
      </w:r>
    </w:p>
    <w:p>
      <w:pPr>
        <w:spacing w:after="0" w:line="1" w:lineRule="exact"/>
        <w:rPr>
          <w:rFonts w:ascii="Arial" w:cs="Arial" w:eastAsia="Arial" w:hAnsi="Arial"/>
          <w:sz w:val="16"/>
          <w:szCs w:val="16"/>
          <w:color w:val="auto"/>
        </w:rPr>
      </w:pPr>
    </w:p>
    <w:p>
      <w:pPr>
        <w:ind w:left="224" w:hanging="224"/>
        <w:spacing w:after="0"/>
        <w:tabs>
          <w:tab w:leader="none" w:pos="22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employees who have been employed less than two years (or any</w:t>
      </w:r>
    </w:p>
    <w:p>
      <w:pPr>
        <w:sectPr>
          <w:pgSz w:w="11900" w:h="16838" w:orient="portrait"/>
          <w:cols w:equalWidth="0" w:num="1">
            <w:col w:w="11004"/>
          </w:cols>
          <w:pgMar w:left="436" w:top="273" w:right="459" w:bottom="1440" w:gutter="0" w:footer="0" w:header="0"/>
        </w:sectPr>
      </w:pPr>
    </w:p>
    <w:bookmarkStart w:id="518" w:name="page519"/>
    <w:bookmarkEnd w:id="51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shorter period of time established for an Offering Period), (ii) employees who are customarily employed twenty (20) or less hours per week (or any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lesser number of hours per week established for an Offering Period), (iii) employees who are customarily employed for five (5) months or less in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calendar year (or any lesser number of months in a calendar year established for an Offering Period), (iv) “highly compensated employees” (within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meaning of Code Section 414(q)) or (v) “highly compensated employees” (within the meaning of Code Section 414(q)) with compensation above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certain level and/or who are subject to the disclosure requirements of Section 16(a) of the Exchange Act. In addition, an individual shall not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considered an Eligible Employee if his or her participation in the Plan is prohibited by the law of any country that has jurisdiction over him or her or if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complying with the laws of the applicable foreign jurisdiction would cause the Plan or an Offering Period to violate the requirements of Code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423. With respect to a Base Offering Period, any criteria used to determine Eligible Employees shall be determined in a manner consistent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Code Section 423. In the case of an Offering Period that is not intended to qualify under Code Section 423, the Administrator may exclude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individual(s) from participation if the Administrator determines the participation of such individual(s) is not advisable or practicable.</w:t>
      </w:r>
    </w:p>
    <w:p>
      <w:pPr>
        <w:spacing w:after="0" w:line="207" w:lineRule="exact"/>
        <w:rPr>
          <w:sz w:val="20"/>
          <w:szCs w:val="20"/>
          <w:color w:val="auto"/>
        </w:rPr>
      </w:pPr>
    </w:p>
    <w:p>
      <w:pPr>
        <w:ind w:right="120" w:firstLine="436"/>
        <w:spacing w:after="0" w:line="266" w:lineRule="auto"/>
        <w:tabs>
          <w:tab w:leader="none" w:pos="79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Enrollment Period</w:t>
      </w:r>
      <w:r>
        <w:rPr>
          <w:rFonts w:ascii="Arial" w:cs="Arial" w:eastAsia="Arial" w:hAnsi="Arial"/>
          <w:sz w:val="18"/>
          <w:szCs w:val="18"/>
          <w:color w:val="auto"/>
        </w:rPr>
        <w:t>” means a period prior to the start of an Offering Period during which Eligible Employees must submit the required enrollment forms to participate in such Offering Period, which period shall end at least five (5) business days (or such other date as may be specified in advance by the Administrator) prior to the start of the Offering Period.</w:t>
      </w:r>
    </w:p>
    <w:p>
      <w:pPr>
        <w:spacing w:after="0" w:line="175" w:lineRule="exact"/>
        <w:rPr>
          <w:rFonts w:ascii="Arial" w:cs="Arial" w:eastAsia="Arial" w:hAnsi="Arial"/>
          <w:sz w:val="18"/>
          <w:szCs w:val="18"/>
          <w:color w:val="auto"/>
        </w:rPr>
      </w:pPr>
    </w:p>
    <w:p>
      <w:pPr>
        <w:ind w:left="780" w:hanging="344"/>
        <w:spacing w:after="0"/>
        <w:tabs>
          <w:tab w:leader="none" w:pos="7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right="40" w:firstLine="436"/>
        <w:spacing w:after="0" w:line="261" w:lineRule="auto"/>
        <w:tabs>
          <w:tab w:leader="none" w:pos="83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the price at which Stock was last sold in the principal U.S. market for the Stock on the applicable date or, if the applicable date was not a trading day, on the last trading day prior to the applicable date. If Stock is no longer traded on a public U.S. securities market, the Fair Market Value shall be determined by the Administrator in good faith on such basis as it deems appropriate. The Administrator’s determination shall be conclusive and binding on all persons.</w:t>
      </w:r>
    </w:p>
    <w:p>
      <w:pPr>
        <w:spacing w:after="0" w:line="179" w:lineRule="exact"/>
        <w:rPr>
          <w:rFonts w:ascii="Arial" w:cs="Arial" w:eastAsia="Arial" w:hAnsi="Arial"/>
          <w:sz w:val="18"/>
          <w:szCs w:val="18"/>
          <w:color w:val="auto"/>
        </w:rPr>
      </w:pPr>
    </w:p>
    <w:p>
      <w:pPr>
        <w:ind w:firstLine="436"/>
        <w:spacing w:after="0" w:line="282" w:lineRule="auto"/>
        <w:tabs>
          <w:tab w:leader="none" w:pos="79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IPO Date</w:t>
      </w:r>
      <w:r>
        <w:rPr>
          <w:rFonts w:ascii="Arial" w:cs="Arial" w:eastAsia="Arial" w:hAnsi="Arial"/>
          <w:sz w:val="18"/>
          <w:szCs w:val="18"/>
          <w:color w:val="auto"/>
        </w:rPr>
        <w:t>” means the effective date of the registration statement filed by the Company with the Securities and Exchange Commission for its initial offering of Stock to the public.</w:t>
      </w:r>
    </w:p>
    <w:p>
      <w:pPr>
        <w:spacing w:after="0" w:line="161" w:lineRule="exact"/>
        <w:rPr>
          <w:rFonts w:ascii="Arial" w:cs="Arial" w:eastAsia="Arial" w:hAnsi="Arial"/>
          <w:sz w:val="18"/>
          <w:szCs w:val="18"/>
          <w:color w:val="auto"/>
        </w:rPr>
      </w:pPr>
    </w:p>
    <w:p>
      <w:pPr>
        <w:ind w:right="320" w:firstLine="436"/>
        <w:spacing w:after="0" w:line="282" w:lineRule="auto"/>
        <w:tabs>
          <w:tab w:leader="none" w:pos="8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Period</w:t>
      </w:r>
      <w:r>
        <w:rPr>
          <w:rFonts w:ascii="Arial" w:cs="Arial" w:eastAsia="Arial" w:hAnsi="Arial"/>
          <w:sz w:val="18"/>
          <w:szCs w:val="18"/>
          <w:color w:val="auto"/>
        </w:rPr>
        <w:t>” means any period, including as the context requires the Base Offering Periods and Additional Offering Periods, with respect to which the right to purchase Stock may be granted under the Plan, as determined pursuant to Section 4(a).</w:t>
      </w:r>
    </w:p>
    <w:p>
      <w:pPr>
        <w:spacing w:after="0" w:line="161" w:lineRule="exact"/>
        <w:rPr>
          <w:rFonts w:ascii="Arial" w:cs="Arial" w:eastAsia="Arial" w:hAnsi="Arial"/>
          <w:sz w:val="18"/>
          <w:szCs w:val="18"/>
          <w:color w:val="auto"/>
        </w:rPr>
      </w:pPr>
    </w:p>
    <w:p>
      <w:pPr>
        <w:ind w:left="820" w:hanging="384"/>
        <w:spacing w:after="0"/>
        <w:tabs>
          <w:tab w:leader="none" w:pos="8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 Eligible Employee who participates in the Plan or any Sub-Plan, as provided in Section 4.</w:t>
      </w:r>
    </w:p>
    <w:p>
      <w:pPr>
        <w:spacing w:after="0" w:line="225" w:lineRule="exact"/>
        <w:rPr>
          <w:rFonts w:ascii="Arial" w:cs="Arial" w:eastAsia="Arial" w:hAnsi="Arial"/>
          <w:sz w:val="18"/>
          <w:szCs w:val="18"/>
          <w:color w:val="auto"/>
        </w:rPr>
      </w:pPr>
    </w:p>
    <w:p>
      <w:pPr>
        <w:ind w:right="800" w:firstLine="436"/>
        <w:spacing w:after="0" w:line="282" w:lineRule="auto"/>
        <w:tabs>
          <w:tab w:leader="none" w:pos="83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Company</w:t>
      </w:r>
      <w:r>
        <w:rPr>
          <w:rFonts w:ascii="Arial" w:cs="Arial" w:eastAsia="Arial" w:hAnsi="Arial"/>
          <w:sz w:val="18"/>
          <w:szCs w:val="18"/>
          <w:color w:val="auto"/>
        </w:rPr>
        <w:t>” means (i) the Company and (ii) each present or future Subsidiary designated by the Administrator as a Participating Company.</w:t>
      </w:r>
    </w:p>
    <w:p>
      <w:pPr>
        <w:spacing w:after="0" w:line="161" w:lineRule="exact"/>
        <w:rPr>
          <w:rFonts w:ascii="Arial" w:cs="Arial" w:eastAsia="Arial" w:hAnsi="Arial"/>
          <w:sz w:val="18"/>
          <w:szCs w:val="18"/>
          <w:color w:val="auto"/>
        </w:rPr>
      </w:pPr>
    </w:p>
    <w:p>
      <w:pPr>
        <w:ind w:left="820" w:hanging="384"/>
        <w:spacing w:after="0"/>
        <w:tabs>
          <w:tab w:leader="none" w:pos="8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Flywire Corporation 2021 Employee Stock Purchase Plan, as it may be amended from time to time.</w:t>
      </w:r>
    </w:p>
    <w:p>
      <w:pPr>
        <w:sectPr>
          <w:pgSz w:w="11900" w:h="16838" w:orient="portrait"/>
          <w:cols w:equalWidth="0" w:num="1">
            <w:col w:w="11000"/>
          </w:cols>
          <w:pgMar w:left="440" w:top="273" w:right="459" w:bottom="1440" w:gutter="0" w:footer="0" w:header="0"/>
        </w:sectPr>
      </w:pPr>
    </w:p>
    <w:bookmarkStart w:id="519" w:name="page520"/>
    <w:bookmarkEnd w:id="519"/>
    <w:p>
      <w:pPr>
        <w:ind w:left="384" w:hanging="384"/>
        <w:spacing w:after="0"/>
        <w:tabs>
          <w:tab w:leader="none" w:pos="384" w:val="left"/>
        </w:tabs>
        <w:numPr>
          <w:ilvl w:val="0"/>
          <w:numId w:val="3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Plan Account</w:t>
      </w:r>
      <w:r>
        <w:rPr>
          <w:rFonts w:ascii="Arial" w:cs="Arial" w:eastAsia="Arial" w:hAnsi="Arial"/>
          <w:sz w:val="18"/>
          <w:szCs w:val="18"/>
          <w:color w:val="auto"/>
        </w:rPr>
        <w:t>” means the account established for each Participant pursuant to Section 8(a).</w:t>
      </w:r>
    </w:p>
    <w:p>
      <w:pPr>
        <w:spacing w:after="0" w:line="225" w:lineRule="exact"/>
        <w:rPr>
          <w:rFonts w:ascii="Arial" w:cs="Arial" w:eastAsia="Arial" w:hAnsi="Arial"/>
          <w:sz w:val="18"/>
          <w:szCs w:val="18"/>
          <w:color w:val="auto"/>
        </w:rPr>
      </w:pPr>
    </w:p>
    <w:p>
      <w:pPr>
        <w:ind w:left="364" w:hanging="364"/>
        <w:spacing w:after="0"/>
        <w:tabs>
          <w:tab w:leader="none" w:pos="364"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Date</w:t>
      </w:r>
      <w:r>
        <w:rPr>
          <w:rFonts w:ascii="Arial" w:cs="Arial" w:eastAsia="Arial" w:hAnsi="Arial"/>
          <w:sz w:val="18"/>
          <w:szCs w:val="18"/>
          <w:color w:val="auto"/>
        </w:rPr>
        <w:t>” means the last trading day of a Purchase Period.</w:t>
      </w:r>
    </w:p>
    <w:p>
      <w:pPr>
        <w:spacing w:after="0" w:line="225" w:lineRule="exact"/>
        <w:rPr>
          <w:rFonts w:ascii="Arial" w:cs="Arial" w:eastAsia="Arial" w:hAnsi="Arial"/>
          <w:sz w:val="18"/>
          <w:szCs w:val="18"/>
          <w:color w:val="auto"/>
        </w:rPr>
      </w:pPr>
    </w:p>
    <w:p>
      <w:pPr>
        <w:ind w:left="-436" w:firstLine="436"/>
        <w:spacing w:after="0" w:line="266" w:lineRule="auto"/>
        <w:tabs>
          <w:tab w:leader="none" w:pos="374"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Period</w:t>
      </w:r>
      <w:r>
        <w:rPr>
          <w:rFonts w:ascii="Arial" w:cs="Arial" w:eastAsia="Arial" w:hAnsi="Arial"/>
          <w:sz w:val="18"/>
          <w:szCs w:val="18"/>
          <w:color w:val="auto"/>
        </w:rPr>
        <w:t>” means a period within an Offering Period (which for an Offering Period with only a single Purchase Period would be coterminous with the Offering Period) during which contributions may be made toward the purchase of Stock under the Plan, as determined pursuant to Section 4(a).</w:t>
      </w:r>
    </w:p>
    <w:p>
      <w:pPr>
        <w:spacing w:after="0" w:line="175" w:lineRule="exact"/>
        <w:rPr>
          <w:rFonts w:ascii="Arial" w:cs="Arial" w:eastAsia="Arial" w:hAnsi="Arial"/>
          <w:sz w:val="18"/>
          <w:szCs w:val="18"/>
          <w:color w:val="auto"/>
        </w:rPr>
      </w:pPr>
    </w:p>
    <w:p>
      <w:pPr>
        <w:ind w:left="344" w:hanging="344"/>
        <w:spacing w:after="0"/>
        <w:tabs>
          <w:tab w:leader="none" w:pos="344" w:val="left"/>
        </w:tabs>
        <w:numPr>
          <w:ilvl w:val="0"/>
          <w:numId w:val="3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 Price</w:t>
      </w:r>
      <w:r>
        <w:rPr>
          <w:rFonts w:ascii="Arial" w:cs="Arial" w:eastAsia="Arial" w:hAnsi="Arial"/>
          <w:sz w:val="17"/>
          <w:szCs w:val="17"/>
          <w:color w:val="auto"/>
        </w:rPr>
        <w:t>” means the price at which Participants may purchase Stock under the Plan, as determined pursuant to Section 8(b).</w:t>
      </w:r>
    </w:p>
    <w:p>
      <w:pPr>
        <w:spacing w:after="0" w:line="236" w:lineRule="exact"/>
        <w:rPr>
          <w:rFonts w:ascii="Arial" w:cs="Arial" w:eastAsia="Arial" w:hAnsi="Arial"/>
          <w:sz w:val="17"/>
          <w:szCs w:val="17"/>
          <w:color w:val="auto"/>
        </w:rPr>
      </w:pPr>
    </w:p>
    <w:p>
      <w:pPr>
        <w:ind w:left="384" w:hanging="384"/>
        <w:spacing w:after="0"/>
        <w:tabs>
          <w:tab w:leader="none" w:pos="384"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Corporation</w:t>
      </w:r>
      <w:r>
        <w:rPr>
          <w:rFonts w:ascii="Arial" w:cs="Arial" w:eastAsia="Arial" w:hAnsi="Arial"/>
          <w:sz w:val="18"/>
          <w:szCs w:val="18"/>
          <w:color w:val="auto"/>
        </w:rPr>
        <w:t>” means any “parent corporation” of the Company as defined in Code Section 424(e) or any Subsidiary.</w:t>
      </w:r>
    </w:p>
    <w:p>
      <w:pPr>
        <w:spacing w:after="0" w:line="225" w:lineRule="exact"/>
        <w:rPr>
          <w:rFonts w:ascii="Arial" w:cs="Arial" w:eastAsia="Arial" w:hAnsi="Arial"/>
          <w:sz w:val="18"/>
          <w:szCs w:val="18"/>
          <w:color w:val="auto"/>
        </w:rPr>
      </w:pPr>
    </w:p>
    <w:p>
      <w:pPr>
        <w:ind w:left="384" w:hanging="384"/>
        <w:spacing w:after="0"/>
        <w:tabs>
          <w:tab w:leader="none" w:pos="384"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jc w:val="both"/>
        <w:ind w:left="-436" w:right="80" w:firstLine="436"/>
        <w:spacing w:after="0" w:line="266" w:lineRule="auto"/>
        <w:tabs>
          <w:tab w:leader="none" w:pos="434"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ectPr>
          <w:pgSz w:w="11900" w:h="16838" w:orient="portrait"/>
          <w:cols w:equalWidth="0" w:num="1">
            <w:col w:w="10484"/>
          </w:cols>
          <w:pgMar w:left="876" w:top="269" w:right="539" w:bottom="1440" w:gutter="0" w:footer="0" w:header="0"/>
        </w:sectPr>
      </w:pPr>
    </w:p>
    <w:bookmarkStart w:id="520" w:name="page521"/>
    <w:bookmarkEnd w:id="520"/>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172085</wp:posOffset>
            </wp:positionV>
            <wp:extent cx="2005965" cy="3346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00596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 Portland Street, Suite 301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Boston, MA 02114</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March 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AND 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Mike,</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peerTransfer Corp. (the “Company”) is pleased to offer you the full-time position of VP of Sales and Business Development We are excited about the prospect of you joining our team, and look forward to the addition of your experience and enthusiasm to help the Company achieve its goals. Your anticipated start date is March 16</w:t>
      </w:r>
      <w:r>
        <w:rPr>
          <w:rFonts w:ascii="Arial" w:cs="Arial" w:eastAsia="Arial" w:hAnsi="Arial"/>
          <w:sz w:val="15"/>
          <w:szCs w:val="15"/>
          <w:color w:val="auto"/>
        </w:rPr>
        <w:t>th</w:t>
      </w:r>
      <w:r>
        <w:rPr>
          <w:rFonts w:ascii="Arial" w:cs="Arial" w:eastAsia="Arial" w:hAnsi="Arial"/>
          <w:sz w:val="18"/>
          <w:szCs w:val="18"/>
          <w:color w:val="auto"/>
        </w:rPr>
        <w:t>.</w:t>
      </w:r>
    </w:p>
    <w:p>
      <w:pPr>
        <w:spacing w:after="0" w:line="184"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Your base salary will be paid at an initial rate of $185,000 per year, payable in accordance with the Company’s standard payroll schedule and subject to applicable deductions and withholdings. You will be eligible to participate in benefits programs that may be adopted by the Company in the future to the same extent as, and subject to the same terms, conditions and limitations applicable to other employees of the Company of similar rank and tenure. Your variable compensation or bonus will be as a function of your personal and the company performance. This bonus will be set to be annually $50,000 and will be paid following performance reviews every 6 months. Additional, variable commission based on sales and business development incentives for outstanding performance will be mutually agreed upon based on personal and team goals.</w:t>
      </w:r>
    </w:p>
    <w:p>
      <w:pPr>
        <w:spacing w:after="0" w:line="164"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You will be eligible to participate in the Company’s stock option program, subject to the approval of the Company’s Board of Dim-tom We will recommend to the Company’s Board of Directors at its next meeting after you join the Company that you be granted an option to purchase 200,000 shares of the Company’s common stock at the then fair market value. The option, if so approved, will be governed by the Company’s Equity Plan and will be subject to the terms and conditions of any associated stock option agreement, which will include, among other things, a vesting schedule. In addition, the Company will provide partial dilution protection in the next funding round, Series B, to ensure your percentage of ownership will remain equal to or higher to 1.6%</w:t>
      </w:r>
    </w:p>
    <w:p>
      <w:pPr>
        <w:spacing w:after="0" w:line="192"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Your employment with the Company will be “at will,” meaning that either you or the company may terminate your employment relationship at any time, for any reason, with or without cause, and with or without prior notice.</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All forms of compensation referred to in this offer letter arc subject to reduction to reflect applicable withholding and payroll taxes and other deductions required by law. The parties intend that this offer Lentz Iv administered in accordance with Section 409A of the Section 409A of the Internal Revenue Code of 1.936, as amended (the “Code”). To the extent that any</w:t>
      </w:r>
    </w:p>
    <w:p>
      <w:pPr>
        <w:sectPr>
          <w:pgSz w:w="11900" w:h="16838" w:orient="portrait"/>
          <w:cols w:equalWidth="0" w:num="1">
            <w:col w:w="11020"/>
          </w:cols>
          <w:pgMar w:left="440" w:top="121" w:right="439" w:bottom="1440" w:gutter="0" w:footer="0" w:header="0"/>
        </w:sectPr>
      </w:pPr>
    </w:p>
    <w:bookmarkStart w:id="521" w:name="page522"/>
    <w:bookmarkEnd w:id="5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Mike Massaro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2012</w:t>
      </w:r>
    </w:p>
    <w:p>
      <w:pPr>
        <w:spacing w:after="0" w:line="14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provision of this offer letter is ambiguous as to its compliance with Section 409A of the Code, the provision shall lx read in such a manner so that all payments hereunder comply with Section 4.09A of the Code. The parties agree that this offer letter may be amended as unreasonably requested by either party, and as may be necessary to fully comply with Section 409A of the Code and all related rules and regulations in order to preserve the payments and benefits provided hereunder without additional cost to either party. The Company makes ho representation or warranty sad shall have 110 liability to you or any other person if any provisions of this offer letter are determined to constitute deterred compensation subject to Section 409A of the Code but do not satisfy an exemption from, or the conditions of, such Section..</w:t>
      </w:r>
    </w:p>
    <w:p>
      <w:pPr>
        <w:spacing w:after="0" w:line="17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By signing below, you hereby confirm that the performance of your position at the Company does not cad will riot breach any agreement entered into by you prior to employment with the Company. (i.e., you have not entered into any agreement with previous employers that are in conflict with your obligations to the Company). Please provide us with a copy of any such agreements.</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You will also be required to sign a Confidentiality and Assignment Agreement as a condition of your employment with (he Company which requires, among other provision; the assignment of patent rights to any invention made during your employment at the Company and non-disclosure of Company proprietary information.</w:t>
      </w:r>
    </w:p>
    <w:p>
      <w:pPr>
        <w:spacing w:after="0" w:line="184"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Moreover, as a condition of commencing employment, you will be required to provide, for purposes of completing the I-9 form, sufficient documentation to demonstrate your eligibility ‘to work in the United States.</w:t>
      </w:r>
    </w:p>
    <w:p>
      <w:pPr>
        <w:spacing w:after="0" w:line="170" w:lineRule="exact"/>
        <w:rPr>
          <w:sz w:val="20"/>
          <w:szCs w:val="20"/>
          <w:color w:val="auto"/>
        </w:rPr>
      </w:pPr>
    </w:p>
    <w:p>
      <w:pPr>
        <w:jc w:val="both"/>
        <w:ind w:right="560" w:firstLine="440"/>
        <w:spacing w:after="0" w:line="301" w:lineRule="auto"/>
        <w:rPr>
          <w:sz w:val="20"/>
          <w:szCs w:val="20"/>
          <w:color w:val="auto"/>
        </w:rPr>
      </w:pPr>
      <w:r>
        <w:rPr>
          <w:rFonts w:ascii="Arial" w:cs="Arial" w:eastAsia="Arial" w:hAnsi="Arial"/>
          <w:sz w:val="16"/>
          <w:szCs w:val="16"/>
          <w:color w:val="auto"/>
        </w:rPr>
        <w:t>This letter contains the aka!, total and. complete agreement between you and the Company regarding your employment status and low your employment may be terminated. Even though your job duties, title, reporting relationships, compensation and benefits, as well as the Company’s personnel policies and procedures, may be changed by the Company, at its option, from time to time during your tenure here, neither you nor the Company can change the “at-will” Impale of your employment, absent a written contract signed by an officer of the Company.</w:t>
      </w:r>
    </w:p>
    <w:p>
      <w:pPr>
        <w:spacing w:after="0" w:line="157" w:lineRule="exact"/>
        <w:rPr>
          <w:sz w:val="20"/>
          <w:szCs w:val="20"/>
          <w:color w:val="auto"/>
        </w:rPr>
      </w:pPr>
    </w:p>
    <w:p>
      <w:pPr>
        <w:jc w:val="center"/>
        <w:ind w:right="440"/>
        <w:spacing w:after="0" w:line="342" w:lineRule="auto"/>
        <w:rPr>
          <w:sz w:val="20"/>
          <w:szCs w:val="20"/>
          <w:color w:val="auto"/>
        </w:rPr>
      </w:pPr>
      <w:r>
        <w:rPr>
          <w:rFonts w:ascii="Arial" w:cs="Arial" w:eastAsia="Arial" w:hAnsi="Arial"/>
          <w:sz w:val="16"/>
          <w:szCs w:val="16"/>
          <w:color w:val="auto"/>
        </w:rPr>
        <w:t>This offer of employment will terminate if it is not accepted, signed and returned to the attention of Ashley Griffeth via rasa or email (a ashley@peertransfer.com) by March 1</w:t>
      </w:r>
      <w:r>
        <w:rPr>
          <w:rFonts w:ascii="Arial" w:cs="Arial" w:eastAsia="Arial" w:hAnsi="Arial"/>
          <w:sz w:val="13"/>
          <w:szCs w:val="13"/>
          <w:color w:val="auto"/>
        </w:rPr>
        <w:t>st</w:t>
      </w:r>
      <w:r>
        <w:rPr>
          <w:rFonts w:ascii="Arial" w:cs="Arial" w:eastAsia="Arial" w:hAnsi="Arial"/>
          <w:sz w:val="16"/>
          <w:szCs w:val="16"/>
          <w:color w:val="auto"/>
        </w:rPr>
        <w:t>, 2012. We truly look forward to working with you and building peerTransfcr into an outstanding company.</w:t>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Iker Marcaide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Iker Marcaide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Founder &amp; COE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3" w:right="439" w:bottom="1440" w:gutter="0" w:footer="0" w:header="0"/>
        </w:sectPr>
      </w:pPr>
    </w:p>
    <w:bookmarkStart w:id="522" w:name="page523"/>
    <w:bookmarkEnd w:id="5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Mike Massaro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have read this employment oiler and I accept: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Mike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Mike Massaro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19"/>
          </w:cols>
          <w:pgMar w:left="440" w:top="273" w:right="1440" w:bottom="1440" w:gutter="0" w:footer="0" w:header="0"/>
        </w:sectPr>
      </w:pPr>
    </w:p>
    <w:bookmarkStart w:id="523" w:name="page524"/>
    <w:bookmarkEnd w:id="523"/>
    <w:p>
      <w:pPr>
        <w:jc w:val="right"/>
        <w:spacing w:after="0"/>
        <w:rPr>
          <w:sz w:val="20"/>
          <w:szCs w:val="20"/>
          <w:color w:val="auto"/>
        </w:rPr>
      </w:pPr>
      <w:r>
        <w:rPr>
          <w:rFonts w:ascii="Arial" w:cs="Arial" w:eastAsia="Arial" w:hAnsi="Arial"/>
          <w:sz w:val="18"/>
          <w:szCs w:val="18"/>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94615</wp:posOffset>
            </wp:positionV>
            <wp:extent cx="1097280" cy="3689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0972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14,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Dear Rob,</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Flywire Corp. (the “</w:t>
      </w:r>
      <w:r>
        <w:rPr>
          <w:rFonts w:ascii="Arial" w:cs="Arial" w:eastAsia="Arial" w:hAnsi="Arial"/>
          <w:sz w:val="18"/>
          <w:szCs w:val="18"/>
          <w:u w:val="single" w:color="auto"/>
          <w:color w:val="auto"/>
        </w:rPr>
        <w:t>Company</w:t>
      </w:r>
      <w:r>
        <w:rPr>
          <w:rFonts w:ascii="Arial" w:cs="Arial" w:eastAsia="Arial" w:hAnsi="Arial"/>
          <w:sz w:val="18"/>
          <w:szCs w:val="18"/>
          <w:color w:val="auto"/>
        </w:rPr>
        <w:t>”) is pleased to offer you the full-time position of President &amp; Chief Operating Officer. We are excited about the prospect of you joining our team and look forward to the addition of your experience and enthusiasm to help the Company achieve its goals. You will report to Mike Massaro, CEO and your anticipated start date is on or about November 4, 2019.</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Your base salary will be paid at an initial rate of $325,000 per year, payable in accordance with the Company’s standard payroll schedule and subject to applicable deductions and withholdings. You will be eligible to participate in benefits programs that may be adopted by the Company in the future to the same extent as, and subject to the same terms, conditions and limitations applicable to, other employees of the Company of similar rank and tenure. Your variable compensation or bonus will be as a function of both your personal and Company performance and is subject to approval by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This discretionary bonus will be up to $175,000 and any such bonus will be paid in accordance with the Company’s bonus program schedule then in effect.</w:t>
      </w:r>
    </w:p>
    <w:p>
      <w:pPr>
        <w:spacing w:after="0" w:line="19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You will be eligible to participate in the Company’s stock option program, subject to the approval of the Board. We have discussed and recommended to the Board and expect that you will be granted an option to purchase 255,000 shares of the Company’s common stock (the “</w:t>
      </w:r>
      <w:r>
        <w:rPr>
          <w:rFonts w:ascii="Arial" w:cs="Arial" w:eastAsia="Arial" w:hAnsi="Arial"/>
          <w:sz w:val="17"/>
          <w:szCs w:val="17"/>
          <w:u w:val="single" w:color="auto"/>
          <w:color w:val="auto"/>
        </w:rPr>
        <w:t>Shares</w:t>
      </w:r>
      <w:r>
        <w:rPr>
          <w:rFonts w:ascii="Arial" w:cs="Arial" w:eastAsia="Arial" w:hAnsi="Arial"/>
          <w:sz w:val="17"/>
          <w:szCs w:val="17"/>
          <w:color w:val="auto"/>
        </w:rPr>
        <w:t>”) with an exercise price equal to the then fair market value as of your start date. The Shares will represent approximately 0.853% of the Company’s fully diluted outstanding shares at the time of grant assuming the exercise and conversion of all exercisable and convertible securities, the issuance of such option and the issuance of all securities reserved for issuance pursuant to the Company’s equity incentive plans. The option will be governed by the Company’s Equity Plan and will be subject to the terms and conditions of any associated stock option agreement. Such option shall vest as to 25% of the Shares on the first anniversary of your vesting commencement date and in equal monthly installments for the 36 months following thereafter, subject to your continuous service. Notwithstanding anything to the contrary in the option agreement for the Shares, if there is a Change in Control before your service to the Company terminates and such Change in Control is prior to the second anniversary of your vesting commencement date (i.e., your start date), then vesting will be accelerated such that your option will be vested with respect to an additional 25% of the Shares and such acceleration shall also disregard the one year “cliff” provision such that a portion of such shares shall accelerate as well. By way of example, for a Change in Control consummated at the end of the sixth month following the start date, the acceleration shall result in a total of 18 months of vesting, consisting of the 25% of shares accelerated and disregarding the cliff provision to allow for an additional six months to be deemed vested upon consummation of the Change in Control. You acknowledge and agree that, in the event the Company completes a Change in Control in which other employees receive a comparable 25% vesting acceleration</w:t>
      </w:r>
    </w:p>
    <w:p>
      <w:pPr>
        <w:sectPr>
          <w:pgSz w:w="11900" w:h="16838" w:orient="portrait"/>
          <w:cols w:equalWidth="0" w:num="1">
            <w:col w:w="11020"/>
          </w:cols>
          <w:pgMar w:left="440" w:top="121" w:right="439" w:bottom="1440" w:gutter="0" w:footer="0" w:header="0"/>
        </w:sectPr>
      </w:pPr>
    </w:p>
    <w:bookmarkStart w:id="524" w:name="page525"/>
    <w:bookmarkEnd w:id="524"/>
    <w:p>
      <w:pPr>
        <w:ind w:right="2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3225800</wp:posOffset>
            </wp:positionH>
            <wp:positionV relativeFrom="page">
              <wp:posOffset>182880</wp:posOffset>
            </wp:positionV>
            <wp:extent cx="1097280" cy="3683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68300"/>
                    </a:xfrm>
                    <a:prstGeom prst="rect">
                      <a:avLst/>
                    </a:prstGeom>
                    <a:noFill/>
                  </pic:spPr>
                </pic:pic>
              </a:graphicData>
            </a:graphic>
          </wp:anchor>
        </w:drawing>
        <w:t>benefit in connection with such Change in Control, you will not be eligible for both the 25% acceleration in your option agreement and the 25% acceleration benefit provided to the other employees; provided, however, if the benefit to other employees is greater than the 25% acceleration benefit provided to you in your option agreement (or occurs after the second anniversary such that the acceleration described herein does not apply), then you will be entitled to that greater acceleration benefit in lieu of the 25% provided for in your option agreement.</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you are subject to an Involuntary Termination, then subject to your execution of a general release of all claims (with applicable carve-out for your continued indemnification) that you may have against the Company or persons affiliated with the Company and that is typical of general releases in similar situations in the industry (the “</w:t>
      </w:r>
      <w:r>
        <w:rPr>
          <w:rFonts w:ascii="Arial" w:cs="Arial" w:eastAsia="Arial" w:hAnsi="Arial"/>
          <w:sz w:val="16"/>
          <w:szCs w:val="16"/>
          <w:u w:val="single" w:color="auto"/>
          <w:color w:val="auto"/>
        </w:rPr>
        <w:t>Release</w:t>
      </w:r>
      <w:r>
        <w:rPr>
          <w:rFonts w:ascii="Arial" w:cs="Arial" w:eastAsia="Arial" w:hAnsi="Arial"/>
          <w:sz w:val="16"/>
          <w:szCs w:val="16"/>
          <w:color w:val="auto"/>
        </w:rPr>
        <w:t>”), you will be entitled to the following severance benefits: the Company will (i) continue to pay you salary continuation for 6 months following Separation (“</w:t>
      </w:r>
      <w:r>
        <w:rPr>
          <w:rFonts w:ascii="Arial" w:cs="Arial" w:eastAsia="Arial" w:hAnsi="Arial"/>
          <w:sz w:val="16"/>
          <w:szCs w:val="16"/>
          <w:u w:val="single" w:color="auto"/>
          <w:color w:val="auto"/>
        </w:rPr>
        <w:t>Severance Period</w:t>
      </w:r>
      <w:r>
        <w:rPr>
          <w:rFonts w:ascii="Arial" w:cs="Arial" w:eastAsia="Arial" w:hAnsi="Arial"/>
          <w:sz w:val="16"/>
          <w:szCs w:val="16"/>
          <w:color w:val="auto"/>
        </w:rPr>
        <w:t>”) or for 12 months following Separation if the Involuntary Termination occurs in the 3 months prior to or 12 months following a Change in Control, (ii) you shall be credited with an additional 6 months of vesting service with respect to your option except in the case of an Involuntary Termination in the 3 months prior to or 12 months following a Change of Control, in which case you will be credited with an additional 12 months of vesting service with respect to your option (in each such case the “cliff” will be disregarded as above), and (iii) the exercise period of your outstanding options shall be extended to the lesser of (x) the applicable option term or (y) one year from your termination date. You must execute and return the Release on the date specified by the Company in substantially the form provided by the Company (the “</w:t>
      </w:r>
      <w:r>
        <w:rPr>
          <w:rFonts w:ascii="Arial" w:cs="Arial" w:eastAsia="Arial" w:hAnsi="Arial"/>
          <w:sz w:val="16"/>
          <w:szCs w:val="16"/>
          <w:u w:val="single" w:color="auto"/>
          <w:color w:val="auto"/>
        </w:rPr>
        <w:t>Release Deadline</w:t>
      </w:r>
      <w:r>
        <w:rPr>
          <w:rFonts w:ascii="Arial" w:cs="Arial" w:eastAsia="Arial" w:hAnsi="Arial"/>
          <w:sz w:val="16"/>
          <w:szCs w:val="16"/>
          <w:color w:val="auto"/>
        </w:rPr>
        <w:t>”). The Release Deadline will in no event be later than 50 days after your Separation. If you fail to return the Release on or before the Release Deadline, or if you revoke the Release, then you will not be entitled to the severance benefits described herein.</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you are subject to an Involuntary Termination, the salary continuation payments will commence on the first payroll date following your return of the Release provided for in the Release and thereafter on the Company’s normal payroll schedule. However, if the 50-day period described above spans two calendar years, then the salary continuation payments will commence on the first payroll date in the second calendar year following expiration of the applicable revocation period.</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By signing below, you hereby confirm that the performance of your position at the Company does not and will not breach any agreement entered into by you prior to employment with the Company (i.e., you have not entered into any agreements with previous employers that are in conflict with your obligations to the Company).</w:t>
      </w:r>
    </w:p>
    <w:p>
      <w:pPr>
        <w:spacing w:after="0" w:line="18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You will also be required to sign a Proprietary Rights, Non-Disclosure, Developments, Non-Competition, and Non-Solicitation Agreement in the form attached as Exhibit A (the “</w:t>
      </w:r>
      <w:r>
        <w:rPr>
          <w:rFonts w:ascii="Arial" w:cs="Arial" w:eastAsia="Arial" w:hAnsi="Arial"/>
          <w:sz w:val="17"/>
          <w:szCs w:val="17"/>
          <w:u w:val="single" w:color="auto"/>
          <w:color w:val="auto"/>
        </w:rPr>
        <w:t>Agreement</w:t>
      </w:r>
      <w:r>
        <w:rPr>
          <w:rFonts w:ascii="Arial" w:cs="Arial" w:eastAsia="Arial" w:hAnsi="Arial"/>
          <w:sz w:val="17"/>
          <w:szCs w:val="17"/>
          <w:color w:val="auto"/>
        </w:rPr>
        <w:t>”), as a condition of your employment. You acknowledge that your receipt of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Flywire | 141 Tremont Street. 9th Floor | Boston, MA 02111, USA | 1.800.346.9252 | flywire.com</w:t>
      </w:r>
    </w:p>
    <w:p>
      <w:pPr>
        <w:sectPr>
          <w:pgSz w:w="11900" w:h="16838" w:orient="portrait"/>
          <w:cols w:equalWidth="0" w:num="1">
            <w:col w:w="11000"/>
          </w:cols>
          <w:pgMar w:left="440" w:top="1002" w:right="459" w:bottom="1440" w:gutter="0" w:footer="0" w:header="0"/>
        </w:sectPr>
      </w:pPr>
    </w:p>
    <w:bookmarkStart w:id="525" w:name="page526"/>
    <w:bookmarkEnd w:id="52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3225800</wp:posOffset>
            </wp:positionH>
            <wp:positionV relativeFrom="page">
              <wp:posOffset>260350</wp:posOffset>
            </wp:positionV>
            <wp:extent cx="1097280" cy="3689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68935"/>
                    </a:xfrm>
                    <a:prstGeom prst="rect">
                      <a:avLst/>
                    </a:prstGeom>
                    <a:noFill/>
                  </pic:spPr>
                </pic:pic>
              </a:graphicData>
            </a:graphic>
          </wp:anchor>
        </w:drawing>
        <w:t>grant of equity set forth in this offer letter is contingent upon your agreement to the non-competition provisions set forth in the Agreement. You further acknowledge that such consideration was mutually agreed upon by you and the Company and is fair and reasonable in exchange for your compliance with such non-competition obligations. Please understand that this offer is contingent upon your authorization and successful completion of a background check.</w:t>
      </w:r>
    </w:p>
    <w:p>
      <w:pPr>
        <w:spacing w:after="0" w:line="187"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You agree to provide to the Company, within three days of your hire date, documentation of your eligibility to work in the United States, as required by the Immigration Reform and Control Act of 1986. You may need to obtain a work visa in order to be eligible to work in the United States. If that is the case, your employment with the Company will be conditioned upon your obtaining a work visa in a timely manner as determined by the Company.</w:t>
      </w:r>
    </w:p>
    <w:p>
      <w:pPr>
        <w:spacing w:after="0" w:line="1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letter contains the final, total and complete agreement between you and the Company regarding your employment status and how your employment may be terminated. Even though your job duties, title, reporting relationships, compensation and benefits, as well as the Company’s personnel policies and procedures, may be changed by the Company, at its option, from time to time during your tenure here, neither you nor the Company can change the “at-will” nature of your employment, absent a written contract signed by an officer of the Company.</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offer of employment will terminate if it is not accepted, signed and returned to the attention of Mike Massaro (Mike@flywire.com) by October 2019. We truly look forward to working with you and building Flywire into an outstanding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Massaro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Massaro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foregoing correctly sets forth the terms of my employment by Flywire Corp. I am not relying on any representations pertaining to my employment other than those set forth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Flywire | 141 Tremont Street. 9th Floor | Boston, MA 02111, USA | 1.800.346.9252 | flywire.com</w:t>
      </w:r>
    </w:p>
    <w:p>
      <w:pPr>
        <w:sectPr>
          <w:pgSz w:w="11900" w:h="16838" w:orient="portrait"/>
          <w:cols w:equalWidth="0" w:num="1">
            <w:col w:w="10980"/>
          </w:cols>
          <w:pgMar w:left="440" w:top="1124" w:right="479" w:bottom="1440" w:gutter="0" w:footer="0" w:header="0"/>
        </w:sectPr>
      </w:pPr>
    </w:p>
    <w:bookmarkStart w:id="526" w:name="page527"/>
    <w:bookmarkEnd w:id="5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3225800</wp:posOffset>
            </wp:positionH>
            <wp:positionV relativeFrom="page">
              <wp:posOffset>260350</wp:posOffset>
            </wp:positionV>
            <wp:extent cx="1097280" cy="3689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68935"/>
                    </a:xfrm>
                    <a:prstGeom prst="rect">
                      <a:avLst/>
                    </a:prstGeom>
                    <a:noFill/>
                  </pic:spPr>
                </pic:pic>
              </a:graphicData>
            </a:graphic>
          </wp:anchor>
        </w:drawing>
        <w:t>/s/ Rob Orgel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 Orgel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4</w:t>
      </w:r>
    </w:p>
    <w:p>
      <w:pPr>
        <w:spacing w:after="0" w:line="117"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Flywire | 141 Tremont Street. 9th Floor | Boston, MA 02111, USA | 1.800.346.9252 | flywire.com</w:t>
      </w:r>
    </w:p>
    <w:p>
      <w:pPr>
        <w:sectPr>
          <w:pgSz w:w="11900" w:h="16838" w:orient="portrait"/>
          <w:cols w:equalWidth="0" w:num="1">
            <w:col w:w="10019"/>
          </w:cols>
          <w:pgMar w:left="440" w:top="1124" w:right="1440" w:bottom="1440" w:gutter="0" w:footer="0" w:header="0"/>
        </w:sectPr>
      </w:pPr>
    </w:p>
    <w:bookmarkStart w:id="527" w:name="page528"/>
    <w:bookmarkEnd w:id="5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3225800</wp:posOffset>
            </wp:positionH>
            <wp:positionV relativeFrom="page">
              <wp:posOffset>260350</wp:posOffset>
            </wp:positionV>
            <wp:extent cx="1097280" cy="36893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68935"/>
                    </a:xfrm>
                    <a:prstGeom prst="rect">
                      <a:avLst/>
                    </a:prstGeom>
                    <a:noFill/>
                  </pic:spPr>
                </pic:pic>
              </a:graphicData>
            </a:graphic>
          </wp:anchor>
        </w:drawing>
        <w:t>Appendix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Defined Terms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shall mean</w:t>
      </w:r>
    </w:p>
    <w:p>
      <w:pPr>
        <w:spacing w:after="0" w:line="121" w:lineRule="exact"/>
        <w:rPr>
          <w:sz w:val="20"/>
          <w:szCs w:val="20"/>
          <w:color w:val="auto"/>
        </w:rPr>
      </w:pPr>
    </w:p>
    <w:p>
      <w:pPr>
        <w:ind w:right="380" w:firstLine="987"/>
        <w:spacing w:after="0" w:line="277" w:lineRule="auto"/>
        <w:tabs>
          <w:tab w:leader="none" w:pos="134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 material failure by you to comply with the Company’s written policies or rules after being provided written notice and 30 days’ opportunity to cure;</w:t>
      </w:r>
    </w:p>
    <w:p>
      <w:pPr>
        <w:spacing w:after="0" w:line="62" w:lineRule="exact"/>
        <w:rPr>
          <w:rFonts w:ascii="Arial" w:cs="Arial" w:eastAsia="Arial" w:hAnsi="Arial"/>
          <w:sz w:val="18"/>
          <w:szCs w:val="18"/>
          <w:color w:val="auto"/>
        </w:rPr>
      </w:pPr>
    </w:p>
    <w:p>
      <w:pPr>
        <w:ind w:right="440" w:firstLine="987"/>
        <w:spacing w:after="0" w:line="277" w:lineRule="auto"/>
        <w:tabs>
          <w:tab w:leader="none" w:pos="139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your conviction of, or plea of “guilty” or “no contest” to, a crime involving moral turpitude, deceit, dishonesty or fraud that has caused harm to the Company or any affiliate of the Company;</w:t>
      </w:r>
    </w:p>
    <w:p>
      <w:pPr>
        <w:spacing w:after="0" w:line="62" w:lineRule="exact"/>
        <w:rPr>
          <w:rFonts w:ascii="Arial" w:cs="Arial" w:eastAsia="Arial" w:hAnsi="Arial"/>
          <w:sz w:val="18"/>
          <w:szCs w:val="18"/>
          <w:color w:val="auto"/>
        </w:rPr>
      </w:pPr>
    </w:p>
    <w:p>
      <w:pPr>
        <w:ind w:right="540" w:firstLine="987"/>
        <w:spacing w:after="0" w:line="308" w:lineRule="auto"/>
        <w:tabs>
          <w:tab w:leader="none" w:pos="1441" w:val="left"/>
        </w:tabs>
        <w:numPr>
          <w:ilvl w:val="0"/>
          <w:numId w:val="393"/>
        </w:numPr>
        <w:rPr>
          <w:rFonts w:ascii="Arial" w:cs="Arial" w:eastAsia="Arial" w:hAnsi="Arial"/>
          <w:sz w:val="17"/>
          <w:szCs w:val="17"/>
          <w:color w:val="auto"/>
        </w:rPr>
      </w:pPr>
      <w:r>
        <w:rPr>
          <w:rFonts w:ascii="Arial" w:cs="Arial" w:eastAsia="Arial" w:hAnsi="Arial"/>
          <w:sz w:val="17"/>
          <w:szCs w:val="17"/>
          <w:color w:val="auto"/>
        </w:rPr>
        <w:t>your willful and continued failure to substantially perform (other than by reason of disability) your duties and responsibilities assigned or delegated after receiving written notification of such failure from the Board and 30 days’ opportunity to cure;</w:t>
      </w:r>
    </w:p>
    <w:p>
      <w:pPr>
        <w:spacing w:after="0" w:line="38" w:lineRule="exact"/>
        <w:rPr>
          <w:rFonts w:ascii="Arial" w:cs="Arial" w:eastAsia="Arial" w:hAnsi="Arial"/>
          <w:sz w:val="17"/>
          <w:szCs w:val="17"/>
          <w:color w:val="auto"/>
        </w:rPr>
      </w:pPr>
    </w:p>
    <w:p>
      <w:pPr>
        <w:ind w:right="40" w:firstLine="987"/>
        <w:spacing w:after="0" w:line="277" w:lineRule="auto"/>
        <w:tabs>
          <w:tab w:leader="none" w:pos="143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any intentional act of dishonesty, deceit, fraud, moral turpitude, misconduct, breach of trust or acts intentionally against the financial or business interests of the Company by you, or your use or possession of illegal drugs in the workplace; or</w:t>
      </w:r>
    </w:p>
    <w:p>
      <w:pPr>
        <w:spacing w:after="0" w:line="62" w:lineRule="exact"/>
        <w:rPr>
          <w:rFonts w:ascii="Arial" w:cs="Arial" w:eastAsia="Arial" w:hAnsi="Arial"/>
          <w:sz w:val="18"/>
          <w:szCs w:val="18"/>
          <w:color w:val="auto"/>
        </w:rPr>
      </w:pPr>
    </w:p>
    <w:p>
      <w:pPr>
        <w:ind w:right="460" w:firstLine="987"/>
        <w:spacing w:after="0" w:line="277" w:lineRule="auto"/>
        <w:tabs>
          <w:tab w:leader="none" w:pos="138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material breach by you of any of your obligations under any agreement between you and the Company after being provided written notice and 30 days’ opportunity to cure; or</w:t>
      </w:r>
    </w:p>
    <w:p>
      <w:pPr>
        <w:spacing w:after="0" w:line="62" w:lineRule="exact"/>
        <w:rPr>
          <w:rFonts w:ascii="Arial" w:cs="Arial" w:eastAsia="Arial" w:hAnsi="Arial"/>
          <w:sz w:val="18"/>
          <w:szCs w:val="18"/>
          <w:color w:val="auto"/>
        </w:rPr>
      </w:pPr>
    </w:p>
    <w:p>
      <w:pPr>
        <w:ind w:right="420" w:firstLine="987"/>
        <w:spacing w:after="0" w:line="277" w:lineRule="auto"/>
        <w:tabs>
          <w:tab w:leader="none" w:pos="143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your failure to cooperate in good faith with a governmental or internal investigation of the Company or its directors, officers or employees, if the Company has requested your cooperation.</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shall mean (i) the consummation of a merger or consolidation of the Company with or into another entity, (ii) the sale of all 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all of the assets of the Company, either in one transaction or a series of related transactions or (iii) the dissolution, liquidation or winding up of the Company. The foregoing notwithstanding, a merger or consolidation of the Company shall not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the Company’s stockholders immediately prior to such merger or consolidation in substantially the same proportions as their ownership of the voting power of the Company’s capital stock immediately prior to such merger or consolidation.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Involuntary Termination</w:t>
      </w:r>
      <w:r>
        <w:rPr>
          <w:rFonts w:ascii="Arial" w:cs="Arial" w:eastAsia="Arial" w:hAnsi="Arial"/>
          <w:sz w:val="18"/>
          <w:szCs w:val="18"/>
          <w:color w:val="auto"/>
        </w:rPr>
        <w:t>” means your Termination Without Cause or Resignation for Good Reason.</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Flywire | 141 Tremont Street. 9th Floor | Boston, MA 02111, USA | 1.800.346.9252 | flywire.com</w:t>
      </w:r>
    </w:p>
    <w:p>
      <w:pPr>
        <w:sectPr>
          <w:pgSz w:w="11900" w:h="16838" w:orient="portrait"/>
          <w:cols w:equalWidth="0" w:num="1">
            <w:col w:w="11000"/>
          </w:cols>
          <w:pgMar w:left="440" w:top="1120" w:right="459" w:bottom="1440" w:gutter="0" w:footer="0" w:header="0"/>
        </w:sectPr>
      </w:pPr>
    </w:p>
    <w:bookmarkStart w:id="528" w:name="page529"/>
    <w:bookmarkEnd w:id="528"/>
    <w:p>
      <w:pPr>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3225800</wp:posOffset>
            </wp:positionH>
            <wp:positionV relativeFrom="page">
              <wp:posOffset>260350</wp:posOffset>
            </wp:positionV>
            <wp:extent cx="1097280" cy="3689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68935"/>
                    </a:xfrm>
                    <a:prstGeom prst="rect">
                      <a:avLst/>
                    </a:prstGeom>
                    <a:noFill/>
                  </pic:spPr>
                </pic:pic>
              </a:graphicData>
            </a:graphic>
          </wp:anchor>
        </w:drawing>
        <w:t>“</w:t>
      </w:r>
      <w:r>
        <w:rPr>
          <w:rFonts w:ascii="Arial" w:cs="Arial" w:eastAsia="Arial" w:hAnsi="Arial"/>
          <w:sz w:val="18"/>
          <w:szCs w:val="18"/>
          <w:b w:val="1"/>
          <w:bCs w:val="1"/>
          <w:color w:val="auto"/>
        </w:rPr>
        <w:t>Resignation for Good Reason</w:t>
      </w:r>
      <w:r>
        <w:rPr>
          <w:rFonts w:ascii="Arial" w:cs="Arial" w:eastAsia="Arial" w:hAnsi="Arial"/>
          <w:sz w:val="18"/>
          <w:szCs w:val="18"/>
          <w:color w:val="auto"/>
        </w:rPr>
        <w:t>” means a Separation as a result of your resignation within ninety (90) days after a relocation of your principal workplace by more than fifty (50) miles away from the location which you were working immediately prior to the required relocation without your prior consent. A Resignation for Good Reason will not be deemed to have occurred unless you give the Company written notice of the condition within 90 days after the condition comes into existence and you obtain actual knowledge of such condition, and the Company fails to remedy the condition within 30 days after receiving your written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w:t>
      </w:r>
      <w:r>
        <w:rPr>
          <w:rFonts w:ascii="Arial" w:cs="Arial" w:eastAsia="Arial" w:hAnsi="Arial"/>
          <w:sz w:val="18"/>
          <w:szCs w:val="18"/>
          <w:color w:val="auto"/>
        </w:rPr>
        <w:t>” means a “separation from service,” as defined in the regulations under Section 409A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Without Cause</w:t>
      </w:r>
      <w:r>
        <w:rPr>
          <w:rFonts w:ascii="Arial" w:cs="Arial" w:eastAsia="Arial" w:hAnsi="Arial"/>
          <w:sz w:val="18"/>
          <w:szCs w:val="18"/>
          <w:color w:val="auto"/>
        </w:rPr>
        <w:t>” means a Separation as a result of a termination of your employment by the Company without Cause.</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Flywire | 141 Tremont Street. 9th Floor | Boston, MA 02111, USA | 1.800.346.9252 | flywire.com</w:t>
      </w:r>
    </w:p>
    <w:p>
      <w:pPr>
        <w:sectPr>
          <w:pgSz w:w="11900" w:h="16838" w:orient="portrait"/>
          <w:cols w:equalWidth="0" w:num="1">
            <w:col w:w="10980"/>
          </w:cols>
          <w:pgMar w:left="440" w:top="1120" w:right="479" w:bottom="1440" w:gutter="0" w:footer="0" w:header="0"/>
        </w:sectPr>
      </w:pPr>
    </w:p>
    <w:bookmarkStart w:id="529" w:name="page530"/>
    <w:bookmarkEnd w:id="5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3225800</wp:posOffset>
            </wp:positionH>
            <wp:positionV relativeFrom="page">
              <wp:posOffset>337185</wp:posOffset>
            </wp:positionV>
            <wp:extent cx="1097280" cy="3689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68935"/>
                    </a:xfrm>
                    <a:prstGeom prst="rect">
                      <a:avLst/>
                    </a:prstGeom>
                    <a:noFill/>
                  </pic:spPr>
                </pic:pic>
              </a:graphicData>
            </a:graphic>
          </wp:anchor>
        </w:drawing>
        <w:t>Exhibit A</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Proprietary Rights, Non-Disclosure, Developments, Non-Competition, and Non-Solicitation</w:t>
      </w:r>
    </w:p>
    <w:p>
      <w:pPr>
        <w:spacing w:after="0" w:line="18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Flywire | 141 Tremont Street. 9th Floor | Boston, MA 02111, USA | 1.800.346.9252 | flywire.com</w:t>
      </w:r>
    </w:p>
    <w:p>
      <w:pPr>
        <w:sectPr>
          <w:pgSz w:w="11900" w:h="16838" w:orient="portrait"/>
          <w:cols w:equalWidth="0" w:num="1">
            <w:col w:w="9019"/>
          </w:cols>
          <w:pgMar w:left="1440" w:top="1241" w:right="1440" w:bottom="1440" w:gutter="0" w:footer="0" w:header="0"/>
        </w:sectPr>
      </w:pPr>
    </w:p>
    <w:bookmarkStart w:id="530" w:name="page531"/>
    <w:bookmarkEnd w:id="530"/>
    <w:p>
      <w:pPr>
        <w:jc w:val="right"/>
        <w:spacing w:after="0"/>
        <w:rPr>
          <w:sz w:val="20"/>
          <w:szCs w:val="20"/>
          <w:color w:val="auto"/>
        </w:rPr>
      </w:pPr>
      <w:r>
        <w:rPr>
          <w:rFonts w:ascii="Arial" w:cs="Arial" w:eastAsia="Arial" w:hAnsi="Arial"/>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5020945</wp:posOffset>
            </wp:positionH>
            <wp:positionV relativeFrom="paragraph">
              <wp:posOffset>172085</wp:posOffset>
            </wp:positionV>
            <wp:extent cx="1971675" cy="3429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97167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295 Devonshire Street – 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Boston, MA 02110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10,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PERSONAL AND 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225"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peerTransfer Corp. (the “</w:t>
      </w:r>
      <w:r>
        <w:rPr>
          <w:rFonts w:ascii="Arial" w:cs="Arial" w:eastAsia="Arial" w:hAnsi="Arial"/>
          <w:sz w:val="18"/>
          <w:szCs w:val="18"/>
          <w:u w:val="single" w:color="auto"/>
          <w:color w:val="auto"/>
        </w:rPr>
        <w:t>Company</w:t>
      </w:r>
      <w:r>
        <w:rPr>
          <w:rFonts w:ascii="Arial" w:cs="Arial" w:eastAsia="Arial" w:hAnsi="Arial"/>
          <w:sz w:val="18"/>
          <w:szCs w:val="18"/>
          <w:color w:val="auto"/>
        </w:rPr>
        <w:t>”) is pleased to offer you the full time position of Chief Financial Officer. We are excited about the prospect of you joining our team, and look forward to the addition of your experience and enthusiasm to help the Company achieve its goals. Your anticipated start date is April 20, 2015, with potential of time to be spent earlier depending on transition activities.</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Your base salary will be paid at an initial rate of $225,000 per year, payable in accordance with the Company’s standard payroll schedule and subject to applicable deductions and withholdings. You will be eligible to participate in benefits programs that may be adopted by the Company in the future to the same extent as, and subject to the same terms, conditions and limitations applicable to, other employees of the Company of similar rank and tenure. Your variable compensation or bonus will be as a function of your personal and the company performance. This bonus will be set to be annually $70,000 and will be paid following performance reviews every 6 months.</w:t>
      </w:r>
    </w:p>
    <w:p>
      <w:pPr>
        <w:spacing w:after="0" w:line="18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You will be eligible to participate in the Company’s stock option program, subject to the approval of the Company’s Board of Directors. We will recommend to the Company’s Board of Directors (the “Board”) at its next meeting after you join the Company that you be granted an option to purchase 172,291 shares of the Company’s common stock, or 0.75% of the fully diluted Post Series C of the Company at the then fair market value. The option, if so approved, will be governed by the Company’s Equity Plan and will be subject to the terms and conditions of any associated stock option agreement, which will include, among other things, a vesting schedule.</w:t>
      </w:r>
    </w:p>
    <w:p>
      <w:pPr>
        <w:spacing w:after="0" w:line="188"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Your employment with the Company will be “at-will,” meaning that either you or the Company may terminate your employment relationship at any time, for any reason, with or without cause, and with or without prior notice.</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By signing below, you hereby confirm that the performance of your position at the Company does not and will not breach any agreement entered into by you prior to employment with the Company (i.e., you have not entered into any agreements with previous employers that are in conflict with your obligations to the Company).</w:t>
      </w:r>
    </w:p>
    <w:p>
      <w:pPr>
        <w:sectPr>
          <w:pgSz w:w="11900" w:h="16838" w:orient="portrait"/>
          <w:cols w:equalWidth="0" w:num="1">
            <w:col w:w="11020"/>
          </w:cols>
          <w:pgMar w:left="440" w:top="121" w:right="439" w:bottom="1440" w:gutter="0" w:footer="0" w:header="0"/>
        </w:sectPr>
      </w:pPr>
    </w:p>
    <w:bookmarkStart w:id="531" w:name="page532"/>
    <w:bookmarkEnd w:id="531"/>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will be required to sign a Confidentiality and Assignment Agreement as a condition of your employment with the Company which requires, among other provisions, the assignment of patent rights to any invention made during your employment at the Company and non-disclosure of Company proprietary information.</w:t>
      </w:r>
    </w:p>
    <w:p>
      <w:pPr>
        <w:spacing w:after="0" w:line="184"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Moreover, as a condition of commencing employment, you will be required to provide, for purposes of completing the I-9 form, sufficient documentation to demonstrate your eligibility to work in the United States.</w:t>
      </w:r>
    </w:p>
    <w:p>
      <w:pPr>
        <w:spacing w:after="0" w:line="170"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Without limiting the at-will nature of your employment, if your employment is terminated by the Company or its successor without “Cause” within six (6) months following a “Change of Control,” each as defined below, provided that you timely execute and return a separation agreement and general release of claims in a form to be provided by the Company (the “Release”), and the Release becomes irrevocable within sixty (60) days of the date of your termination of employment (or such earlier date as the Company shall determine), in addition to any amounts accrued as of the date of termination, the Company will provide the following severance benefits:</w:t>
      </w:r>
    </w:p>
    <w:p>
      <w:pPr>
        <w:spacing w:after="0" w:line="93" w:lineRule="exact"/>
        <w:rPr>
          <w:sz w:val="20"/>
          <w:szCs w:val="20"/>
          <w:color w:val="auto"/>
        </w:rPr>
      </w:pPr>
    </w:p>
    <w:p>
      <w:pPr>
        <w:ind w:left="960" w:right="560" w:hanging="532"/>
        <w:spacing w:after="0" w:line="277" w:lineRule="auto"/>
        <w:tabs>
          <w:tab w:leader="none" w:pos="9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severance pay equal to 6 months (the “Severance “Period”) of your then-current base salary, less applicable taxes and withholdings, payable in installments in accordance with the Company’s regular payroll practices; and</w:t>
      </w:r>
    </w:p>
    <w:p>
      <w:pPr>
        <w:spacing w:after="0" w:line="75" w:lineRule="exact"/>
        <w:rPr>
          <w:rFonts w:ascii="Arial" w:cs="Arial" w:eastAsia="Arial" w:hAnsi="Arial"/>
          <w:sz w:val="18"/>
          <w:szCs w:val="18"/>
          <w:color w:val="auto"/>
        </w:rPr>
      </w:pPr>
    </w:p>
    <w:p>
      <w:pPr>
        <w:ind w:left="960" w:right="80" w:hanging="532"/>
        <w:spacing w:after="0" w:line="275" w:lineRule="auto"/>
        <w:tabs>
          <w:tab w:leader="none" w:pos="96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 xml:space="preserve">should you timely elect and be eligible to continue receiving group medical insurance pursuant to the federal “COBRA” law, during the Severance Period or until you secure alternative coverage, whichever is first, the Company will continue to pay its share of the premiums for such coverage that is paid by the Company for active and similarly-situated employees who receive the same type of coverage; </w:t>
      </w:r>
      <w:r>
        <w:rPr>
          <w:rFonts w:ascii="Arial" w:cs="Arial" w:eastAsia="Arial" w:hAnsi="Arial"/>
          <w:sz w:val="17"/>
          <w:szCs w:val="17"/>
          <w:u w:val="single" w:color="auto"/>
          <w:color w:val="auto"/>
        </w:rPr>
        <w:t>provided</w:t>
      </w:r>
      <w:r>
        <w:rPr>
          <w:rFonts w:ascii="Arial" w:cs="Arial" w:eastAsia="Arial" w:hAnsi="Arial"/>
          <w:sz w:val="17"/>
          <w:szCs w:val="17"/>
          <w:color w:val="auto"/>
        </w:rPr>
        <w:t>, that if providing such benefit would violate the discrimination rules or result in additional taxation or penalties on the Company, this benefit will not be provided and the Company will not pay you the cash equivalent.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offer letter:</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shall mean: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Your material breach of this offer letter or material breach or threatened breach of the Confidentiality and Assignment Agreement;</w:t>
      </w:r>
    </w:p>
    <w:p>
      <w:pPr>
        <w:spacing w:after="0" w:line="225" w:lineRule="exact"/>
        <w:rPr>
          <w:sz w:val="20"/>
          <w:szCs w:val="20"/>
          <w:color w:val="auto"/>
        </w:rPr>
      </w:pPr>
    </w:p>
    <w:p>
      <w:pPr>
        <w:ind w:right="40" w:firstLine="436"/>
        <w:spacing w:after="0" w:line="277" w:lineRule="auto"/>
        <w:tabs>
          <w:tab w:leader="none" w:pos="70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Your continuing failure, after notice thereof, to perform your assigned duties (other than any such failure resulting from a disability, as defined in the Company’s long-term disability insurance policy);</w:t>
      </w:r>
    </w:p>
    <w:p>
      <w:pPr>
        <w:spacing w:after="0" w:line="170" w:lineRule="exact"/>
        <w:rPr>
          <w:rFonts w:ascii="Arial" w:cs="Arial" w:eastAsia="Arial" w:hAnsi="Arial"/>
          <w:sz w:val="18"/>
          <w:szCs w:val="18"/>
          <w:color w:val="auto"/>
        </w:rPr>
      </w:pPr>
    </w:p>
    <w:p>
      <w:pPr>
        <w:ind w:right="400" w:firstLine="436"/>
        <w:spacing w:after="0" w:line="277" w:lineRule="auto"/>
        <w:tabs>
          <w:tab w:leader="none" w:pos="75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Your material failure to comply with the Company’s written policies or rules, which failure is reasonably likely to harm the Company, as determined by the Board in its sole discretion;</w:t>
      </w:r>
    </w:p>
    <w:p>
      <w:pPr>
        <w:spacing w:after="0" w:line="170" w:lineRule="exact"/>
        <w:rPr>
          <w:rFonts w:ascii="Arial" w:cs="Arial" w:eastAsia="Arial" w:hAnsi="Arial"/>
          <w:sz w:val="18"/>
          <w:szCs w:val="18"/>
          <w:color w:val="auto"/>
        </w:rPr>
      </w:pPr>
    </w:p>
    <w:p>
      <w:pPr>
        <w:ind w:right="80" w:firstLine="436"/>
        <w:spacing w:after="0" w:line="277" w:lineRule="auto"/>
        <w:tabs>
          <w:tab w:leader="none" w:pos="74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Your conviction of, or plea of “guilty” or “no contest” to, a felony under the laws of the United States or any state thereof or a crime of moral turpitude; or</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0"/>
          </w:cols>
          <w:pgMar w:left="440" w:top="273" w:right="459" w:bottom="1440" w:gutter="0" w:footer="0" w:header="0"/>
        </w:sectPr>
      </w:pPr>
    </w:p>
    <w:bookmarkStart w:id="532" w:name="page533"/>
    <w:bookmarkEnd w:id="532"/>
    <w:p>
      <w:pPr>
        <w:ind w:right="740" w:firstLine="436"/>
        <w:spacing w:after="0" w:line="282" w:lineRule="auto"/>
        <w:tabs>
          <w:tab w:leader="none" w:pos="695" w:val="left"/>
        </w:tabs>
        <w:numPr>
          <w:ilvl w:val="0"/>
          <w:numId w:val="3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finding by Board that you have committed an act of gross negligence, willful misconduct, fraud or breach of fiduciary duty </w:t>
      </w:r>
      <w:r>
        <w:rPr>
          <w:rFonts w:ascii="Arial" w:cs="Arial" w:eastAsia="Arial" w:hAnsi="Arial"/>
          <w:sz w:val="18"/>
          <w:szCs w:val="18"/>
          <w:b w:val="1"/>
          <w:bCs w:val="1"/>
          <w:color w:val="auto"/>
        </w:rPr>
        <w:t>[in the</w:t>
      </w:r>
      <w:r>
        <w:rPr>
          <w:rFonts w:ascii="Arial" w:cs="Arial" w:eastAsia="Arial" w:hAnsi="Arial"/>
          <w:sz w:val="18"/>
          <w:szCs w:val="18"/>
          <w:color w:val="auto"/>
        </w:rPr>
        <w:t xml:space="preserve"> </w:t>
      </w:r>
      <w:r>
        <w:rPr>
          <w:rFonts w:ascii="Arial" w:cs="Arial" w:eastAsia="Arial" w:hAnsi="Arial"/>
          <w:sz w:val="18"/>
          <w:szCs w:val="18"/>
          <w:b w:val="1"/>
          <w:bCs w:val="1"/>
          <w:color w:val="auto"/>
        </w:rPr>
        <w:t>performance of your employment].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shall mean:</w:t>
      </w:r>
    </w:p>
    <w:p>
      <w:pPr>
        <w:spacing w:after="0" w:line="229" w:lineRule="exact"/>
        <w:rPr>
          <w:sz w:val="20"/>
          <w:szCs w:val="20"/>
          <w:color w:val="auto"/>
        </w:rPr>
      </w:pPr>
    </w:p>
    <w:p>
      <w:pPr>
        <w:ind w:firstLine="436"/>
        <w:spacing w:after="0" w:line="289" w:lineRule="auto"/>
        <w:tabs>
          <w:tab w:leader="none" w:pos="685" w:val="left"/>
        </w:tabs>
        <w:numPr>
          <w:ilvl w:val="0"/>
          <w:numId w:val="397"/>
        </w:numPr>
        <w:rPr>
          <w:rFonts w:ascii="Arial" w:cs="Arial" w:eastAsia="Arial" w:hAnsi="Arial"/>
          <w:sz w:val="16"/>
          <w:szCs w:val="16"/>
          <w:color w:val="auto"/>
        </w:rPr>
      </w:pPr>
      <w:r>
        <w:rPr>
          <w:rFonts w:ascii="Arial" w:cs="Arial" w:eastAsia="Arial" w:hAnsi="Arial"/>
          <w:sz w:val="16"/>
          <w:szCs w:val="16"/>
          <w:color w:val="auto"/>
        </w:rPr>
        <w:t>a merger, consolidation or similar transaction in which (i) the Company is a constituent party or (ii) a subsidiary of the Company is a constituent party and the Company issues shares of its capital stock pursuant to such merger, consolidation or similar transaction, except any such merger consolidation or similar transaction involving the Company or a subsidiary in which the holders of shares of capital stock of the Company outstanding immediately prior to such merger, consolidation or similar transaction continue to represent, or such holders’ shares are converted into or exchanged for shares of capital stock that represent, immediately following such merger, consolidation or similar transaction, at least a majority, by voting power, of the capital stock of (1) the surviving or resulting corporation or (2) if the surviving or resulting corporation is a wholly owned subsidiary of another corporation immediately following such merger, consolidation or similar transaction, the parent corporation of such surviving or resulting corporation, in each case, with rights, preferences, powers and other provisions that are substantially identical to the rights, preferences, powers and other provisions of the capital stock each such holder held immediately prior to such merger, consolidation or similar transaction; or</w:t>
      </w:r>
    </w:p>
    <w:p>
      <w:pPr>
        <w:spacing w:after="0" w:line="166" w:lineRule="exact"/>
        <w:rPr>
          <w:rFonts w:ascii="Arial" w:cs="Arial" w:eastAsia="Arial" w:hAnsi="Arial"/>
          <w:sz w:val="16"/>
          <w:szCs w:val="16"/>
          <w:color w:val="auto"/>
        </w:rPr>
      </w:pPr>
    </w:p>
    <w:p>
      <w:pPr>
        <w:ind w:right="120" w:firstLine="436"/>
        <w:spacing w:after="0" w:line="257" w:lineRule="auto"/>
        <w:tabs>
          <w:tab w:leader="none" w:pos="69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sale, lease, transfer, exclusive license or other disposition, in a single transaction or series of related transactions, by the Company or any subsidiary of the Company of all or substantially all the assets of the Company and its subsidiaries taken as a whole, or the sale or disposition (whether by merger, consolidation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w:t>
      </w:r>
    </w:p>
    <w:p>
      <w:pPr>
        <w:spacing w:after="0" w:line="18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Subject to any delays required by Section 409A, payment of the severance benefits shall commence no later than the thirtieth (30th) day following the date on which the Release becomes irrevocable. Notwithstanding the foregoing, if the 60th day following the termination of employment occurs in the calendar year following the year of your termination of employment, then the severance payments shall begin no earlier than January 1 of the year following such termination of employment, and in any event, payment of the severance benefits shall be consistent with the provisions of Section 409A as set forth below, as applicable.</w:t>
      </w:r>
    </w:p>
    <w:p>
      <w:pPr>
        <w:spacing w:after="0" w:line="188"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All forms of compensation referred to in this offer letter are subject to reduction to reflect applicable withholding and payroll taxes and other deductions required by law. The parties intend that this offer letter be administered in accordance with Section 409A of the Section 409A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Your right to receive any installment payments under this offer letter shall be treated as a right to receive a series of separate payments and, accordingly, each such installment payment shall at all times be considered a separate and distinct payment as permitted under Section 409A of the Code. To the extent that any provision of this offer letter is ambiguous as to its compliance with Section 409A of the Code, the provision shall be read in such a manner so that all payments hereunder comply with Section 409A of the Code. The parties agree that this offer letter may be amended as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69" w:right="459" w:bottom="1440" w:gutter="0" w:footer="0" w:header="0"/>
        </w:sectPr>
      </w:pPr>
    </w:p>
    <w:bookmarkStart w:id="533" w:name="page534"/>
    <w:bookmarkEnd w:id="53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parties shall mutually agree, and as may be necessary to fully comply with Section 409A of the Code and all related rules and regulations in order to preserve the payments and benefits provided hereunder without additional cost to either party. Except as otherwise permitted under Section 409A, neither you nor the Company shall have the right to accelerate or defer any payment hereunder unless such acceleration or deferral would not result in additional tax or interest pursuant to Section 409A. The Company makes no representation or warranty and shall have no liability to you or any other person if any provisions of this offer letter are determined to constitute deferred compensation subject to Section 409A of the Code but do not satisfy an exemption from, or the conditions of, such Section.</w:t>
      </w:r>
    </w:p>
    <w:p>
      <w:pPr>
        <w:spacing w:after="0" w:line="192" w:lineRule="exact"/>
        <w:rPr>
          <w:sz w:val="20"/>
          <w:szCs w:val="20"/>
          <w:color w:val="auto"/>
        </w:rPr>
      </w:pPr>
    </w:p>
    <w:p>
      <w:pPr>
        <w:jc w:val="both"/>
        <w:ind w:right="460" w:firstLine="440"/>
        <w:spacing w:after="0" w:line="301" w:lineRule="auto"/>
        <w:rPr>
          <w:sz w:val="20"/>
          <w:szCs w:val="20"/>
          <w:color w:val="auto"/>
        </w:rPr>
      </w:pPr>
      <w:r>
        <w:rPr>
          <w:rFonts w:ascii="Arial" w:cs="Arial" w:eastAsia="Arial" w:hAnsi="Arial"/>
          <w:sz w:val="16"/>
          <w:szCs w:val="16"/>
          <w:color w:val="auto"/>
        </w:rPr>
        <w:t>This letter contains the final, total and complete agreement between you and the Company regarding your employment status and how your employment may be terminated. Even though your job duties, title, reporting relationships, compensation and benefits, as well as the Company’s personnel policies and procedures, may be changed by the Company, at its option, from time to time during your tenure here, neither you nor the Company can change the “at-will” nature of your employment, absent a written contract signed by an officer of the Company.</w:t>
      </w:r>
    </w:p>
    <w:p>
      <w:pPr>
        <w:spacing w:after="0" w:line="157"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This offer of employment will terminate if it is not accepted, signed and returned to the attention of Mike Massaro via mail or email (mike@peertransfer.com) by February 10</w:t>
      </w:r>
      <w:r>
        <w:rPr>
          <w:rFonts w:ascii="Arial" w:cs="Arial" w:eastAsia="Arial" w:hAnsi="Arial"/>
          <w:sz w:val="13"/>
          <w:szCs w:val="13"/>
          <w:color w:val="auto"/>
        </w:rPr>
        <w:t>th</w:t>
      </w:r>
      <w:r>
        <w:rPr>
          <w:rFonts w:ascii="Arial" w:cs="Arial" w:eastAsia="Arial" w:hAnsi="Arial"/>
          <w:sz w:val="16"/>
          <w:szCs w:val="16"/>
          <w:color w:val="auto"/>
        </w:rPr>
        <w:t>, 2015. We truly look forward to working with you and building peerTransfer into an outstanding company.</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Mike Massaro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Mike Massaro</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have read this employment offer and I accept: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Ellis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40"/>
          </w:cols>
          <w:pgMar w:left="440" w:top="273" w:right="519" w:bottom="1440" w:gutter="0" w:footer="0" w:header="0"/>
        </w:sectPr>
      </w:pPr>
    </w:p>
    <w:bookmarkStart w:id="534" w:name="page535"/>
    <w:bookmarkEnd w:id="534"/>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172085</wp:posOffset>
            </wp:positionV>
            <wp:extent cx="2005965" cy="3346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00596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295 Devonshire Street – 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Boston, MA 02110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29,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PERSONAL AND 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Peter,</w:t>
      </w:r>
    </w:p>
    <w:p>
      <w:pPr>
        <w:spacing w:after="0" w:line="225"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peerTransfer Corp. (the “</w:t>
      </w:r>
      <w:r>
        <w:rPr>
          <w:rFonts w:ascii="Arial" w:cs="Arial" w:eastAsia="Arial" w:hAnsi="Arial"/>
          <w:sz w:val="16"/>
          <w:szCs w:val="16"/>
          <w:u w:val="single" w:color="auto"/>
          <w:color w:val="auto"/>
        </w:rPr>
        <w:t>Company</w:t>
      </w:r>
      <w:r>
        <w:rPr>
          <w:rFonts w:ascii="Arial" w:cs="Arial" w:eastAsia="Arial" w:hAnsi="Arial"/>
          <w:sz w:val="16"/>
          <w:szCs w:val="16"/>
          <w:color w:val="auto"/>
        </w:rPr>
        <w:t>”) is pleased to offer you the full time position of General Counsel &amp; Chief Compliance Officer. We are excited about the prospect of you joining our team, and look forward to the addition of your experience and enthusiasm to help the Company achieve its goals. Your anticipated start date is March 15, 2015 and understood to be initially remote, with time beginning in the Boston office on April 1, 2015.</w:t>
      </w:r>
    </w:p>
    <w:p>
      <w:pPr>
        <w:spacing w:after="0" w:line="14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Your base salary will be paid at an initial rate of $235,000 per year, payable in accordance with the Company’s standard payroll schedule and subject to applicable deductions and withholdings. You will be eligible to participate in benefits programs that may be adopted by the Company in the future to the same extent as, and subject to the same terms, conditions and limitations applicable to, other employees of the Company of similar rank and tenure. Your variable compensation or bonus will be as a function of your personal and the company performance. This bonus will be set to be annually $60,000 and will be paid following performance reviews every 6 months.</w:t>
      </w:r>
    </w:p>
    <w:p>
      <w:pPr>
        <w:spacing w:after="0" w:line="188"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You will be eligible to participate in the Company’s stock option program, subject to the approval of the Company’s Board of Directors. We will recommend to the Company’s Board of Directors at its next meeting after you join the Company that you be granted an option to purchase 97,300 shares of the Company’s common stock at the then fair market value. The option, if so approved, will be governed by the Company’s Equity Plan and will be subject to the terms and conditions of any associated stock option agreement, which will include, among other things, a vesting schedule.</w:t>
      </w:r>
    </w:p>
    <w:p>
      <w:pPr>
        <w:spacing w:after="0" w:line="15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Your employment with the Company will be “at-will,” meaning that either you or the Company may terminate your employment relationship at any time, for any reason, with or without cause, and with or without prior notice.</w:t>
      </w:r>
    </w:p>
    <w:p>
      <w:pPr>
        <w:spacing w:after="0" w:line="170"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All forms of compensation referred to in this offer letter are subject to reduction to reflect applicable withholding and payroll taxes and other deductions required by law. The parties intend that this offer letter be administered in accordance with Section 409A of the Section 409A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To the extent that any provision of this offer letter is ambiguous as to its compliance with Section 409A of the Code, the provision shall be read in such a manner so that all payments hereunder comply with Section</w:t>
      </w:r>
    </w:p>
    <w:p>
      <w:pPr>
        <w:sectPr>
          <w:pgSz w:w="11900" w:h="16838" w:orient="portrait"/>
          <w:cols w:equalWidth="0" w:num="1">
            <w:col w:w="11020"/>
          </w:cols>
          <w:pgMar w:left="440" w:top="121" w:right="439" w:bottom="1440" w:gutter="0" w:footer="0" w:header="0"/>
        </w:sectPr>
      </w:pPr>
    </w:p>
    <w:bookmarkStart w:id="535" w:name="page536"/>
    <w:bookmarkEnd w:id="53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409A of the Code. The parties agree that this offer letter may be amended as reasonably requested by either party, and as may be necessary to fully comply with Section 409A of the Code and all related rules and regulations in order to preserve the payments and benefits provided hereunder with out additional cost to either party. The Company makes no representation or warranty and shall have no liability to you or any other person if any provisions of this offer letter are determined to constitute deferred compensation subject to Section 409A of the Code but do not satisfy an exemption from, or the conditions of, such Section.</w:t>
      </w:r>
    </w:p>
    <w:p>
      <w:pPr>
        <w:spacing w:after="0" w:line="188"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By signing below, you hereby confirm that the performance of your position at the Company does not and will not breach any agreement entered into by you prior to employment with the Company (i.e., you have not entered into any agreements with previous employers that are in conflict with your obligations to the Company). Please provide us with a copy of any such agreements.</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You will also be required to sign a Confidentiality and Assignment Agreement as a condition of your employment with the Company which requires, among other provisions, the assignment of patent rights to any invention made during your employment at the Company and non-disclosure of Company proprietary information.</w:t>
      </w:r>
    </w:p>
    <w:p>
      <w:pPr>
        <w:spacing w:after="0" w:line="184"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Moreover, as a condition of commencing employment, you will be required to provide, for purposes of completing the 1-9 form, sufficient documentation to demonstrate your eligibility to work in the United States.</w:t>
      </w:r>
    </w:p>
    <w:p>
      <w:pPr>
        <w:spacing w:after="0" w:line="170" w:lineRule="exact"/>
        <w:rPr>
          <w:sz w:val="20"/>
          <w:szCs w:val="20"/>
          <w:color w:val="auto"/>
        </w:rPr>
      </w:pPr>
    </w:p>
    <w:p>
      <w:pPr>
        <w:jc w:val="both"/>
        <w:ind w:right="500" w:firstLine="440"/>
        <w:spacing w:after="0" w:line="301" w:lineRule="auto"/>
        <w:rPr>
          <w:sz w:val="20"/>
          <w:szCs w:val="20"/>
          <w:color w:val="auto"/>
        </w:rPr>
      </w:pPr>
      <w:r>
        <w:rPr>
          <w:rFonts w:ascii="Arial" w:cs="Arial" w:eastAsia="Arial" w:hAnsi="Arial"/>
          <w:sz w:val="16"/>
          <w:szCs w:val="16"/>
          <w:color w:val="auto"/>
        </w:rPr>
        <w:t>This letter contains the final, total and complete agreement between you and the Company regarding your employment status and how your employment may be terminated. Even though your job duties, title, reporting relationships, compensation and benefits, as well as the Company’s personnel policies and procedures, may be changed by the Company, at its option, from time to time during your tenure here, neither you nor the Company can change the “at-will” nature of your employment, absent a written contract signed by an officer of the Company.</w:t>
      </w:r>
    </w:p>
    <w:p>
      <w:pPr>
        <w:sectPr>
          <w:pgSz w:w="11900" w:h="16838" w:orient="portrait"/>
          <w:cols w:equalWidth="0" w:num="1">
            <w:col w:w="10980"/>
          </w:cols>
          <w:pgMar w:left="440" w:top="273" w:right="479" w:bottom="1440" w:gutter="0" w:footer="0" w:header="0"/>
        </w:sectPr>
      </w:pPr>
    </w:p>
    <w:bookmarkStart w:id="536" w:name="page537"/>
    <w:bookmarkEnd w:id="536"/>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offer of employment will terminate if it is not accepted, signed and returned to the attention of Mike Massaio via mail or email (mike@peertransfer.com) by January 30</w:t>
      </w:r>
      <w:r>
        <w:rPr>
          <w:rFonts w:ascii="Arial" w:cs="Arial" w:eastAsia="Arial" w:hAnsi="Arial"/>
          <w:sz w:val="13"/>
          <w:szCs w:val="13"/>
          <w:color w:val="auto"/>
        </w:rPr>
        <w:t>th</w:t>
      </w:r>
      <w:r>
        <w:rPr>
          <w:rFonts w:ascii="Arial" w:cs="Arial" w:eastAsia="Arial" w:hAnsi="Arial"/>
          <w:sz w:val="16"/>
          <w:szCs w:val="16"/>
          <w:color w:val="auto"/>
        </w:rPr>
        <w:t>, 2015. We truly look forward to working with you and building peerTransfer into an outstanding company.</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Mike Massaro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Mike Massaro</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have read this employment offer and I accept: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Peter Butterfield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Butterfield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1/30/2015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740"/>
          </w:cols>
          <w:pgMar w:left="440" w:top="273" w:right="719" w:bottom="1440" w:gutter="0" w:footer="0" w:header="0"/>
        </w:sectPr>
      </w:pPr>
    </w:p>
    <w:bookmarkStart w:id="537" w:name="page538"/>
    <w:bookmarkEnd w:id="537"/>
    <w:p>
      <w:pPr>
        <w:jc w:val="right"/>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848995</wp:posOffset>
            </wp:positionV>
            <wp:extent cx="699516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171450</wp:posOffset>
            </wp:positionV>
            <wp:extent cx="1585595" cy="48831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58559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AND CONFIDENTIAL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9,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David,</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Flywire Corp. (the “</w:t>
      </w:r>
      <w:r>
        <w:rPr>
          <w:rFonts w:ascii="Arial" w:cs="Arial" w:eastAsia="Arial" w:hAnsi="Arial"/>
          <w:sz w:val="18"/>
          <w:szCs w:val="18"/>
          <w:u w:val="single" w:color="auto"/>
          <w:color w:val="auto"/>
        </w:rPr>
        <w:t>Company</w:t>
      </w:r>
      <w:r>
        <w:rPr>
          <w:rFonts w:ascii="Arial" w:cs="Arial" w:eastAsia="Arial" w:hAnsi="Arial"/>
          <w:sz w:val="18"/>
          <w:szCs w:val="18"/>
          <w:color w:val="auto"/>
        </w:rPr>
        <w:t>”) is pleased to offer you the full-time position of Vice President, Engineering, reporting to Yung Nguyen, EVP of Product &amp; Engineering. We are excited about the prospect of you joining our team, and look forward to the addition of your experience and enthusiasm to help the Company achieve its goals. Your anticipated start date is January 16</w:t>
      </w:r>
      <w:r>
        <w:rPr>
          <w:rFonts w:ascii="Arial" w:cs="Arial" w:eastAsia="Arial" w:hAnsi="Arial"/>
          <w:sz w:val="15"/>
          <w:szCs w:val="15"/>
          <w:color w:val="auto"/>
        </w:rPr>
        <w:t>th</w:t>
      </w:r>
      <w:r>
        <w:rPr>
          <w:rFonts w:ascii="Arial" w:cs="Arial" w:eastAsia="Arial" w:hAnsi="Arial"/>
          <w:sz w:val="18"/>
          <w:szCs w:val="18"/>
          <w:color w:val="auto"/>
        </w:rPr>
        <w:t>, 2018.</w:t>
      </w:r>
    </w:p>
    <w:p>
      <w:pPr>
        <w:spacing w:after="0" w:line="18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Your base salary will be paid at an initial rate of $200,000.00 per year, payable in accordance with the Company’s standard payroll schedule and subject to applicable deductions and withholdings. You will be eligible to participate in benefits programs that may be adopted by the Company in the future to the same extent as, and subject to the same terms, conditions and limitations applicable to, other employees of the Company of similar rank and tenure. Your variable compensation or bonus will be as a function of your personal and the company performance. This bonus will be set to be annually $50,000.00 and will be paid following performance reviews on a yearly basis. Due to the other performance related incentives related to the acquisition, this variable bonus will not go into effect until calendar year 2019.</w:t>
      </w:r>
    </w:p>
    <w:p>
      <w:pPr>
        <w:spacing w:after="0" w:line="17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As further consideration, Flywire will extend a one-time sign on bonus of $534,820 to be paid within 30 days of your start date, which will be subject to applicable federal and state withholdings.</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All forms of compensation referred to in this offer letter are subject to reduction to reflect applicable withholding and payroll taxes and other deductions required by law. By signing below, you hereby confirm that the performance of your position at the Company does not and will not breach any agreement entered into by you prior to employment with the Company (i.e., you have not entered into any agreements with previous employers that are in conflict with your obligations to the Company).</w:t>
      </w:r>
    </w:p>
    <w:p>
      <w:pPr>
        <w:spacing w:after="0" w:line="187"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This offer is contingent upon successful completion of a background check. You will also be required to sign a Confidentiality and Assignment Agreement as a condition of your employment with the Company which requires, among other provisions, the assignment of patent rights to any invention made during your employment at the Company and non-disclosure of Company proprietary information.</w:t>
      </w:r>
    </w:p>
    <w:p>
      <w:pPr>
        <w:spacing w:after="0" w:line="165"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This letter contains the final, total and complete agreement between you and the Company regarding your employment status and how your employment may be terminated. Even though your job duties, title, reporting relationships, compensation and benefits, as well as the Company’s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Flywire | 141 Tremont Street. 9th Floor | Boston, MA 02111, USA | 1.800.346.9252 | flywire.com</w:t>
      </w:r>
    </w:p>
    <w:p>
      <w:pPr>
        <w:sectPr>
          <w:pgSz w:w="11900" w:h="16838" w:orient="portrait"/>
          <w:cols w:equalWidth="0" w:num="1">
            <w:col w:w="11020"/>
          </w:cols>
          <w:pgMar w:left="440" w:top="121" w:right="439" w:bottom="1440" w:gutter="0" w:footer="0" w:header="0"/>
        </w:sectPr>
      </w:pPr>
    </w:p>
    <w:bookmarkStart w:id="538" w:name="page539"/>
    <w:bookmarkEnd w:id="538"/>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860425</wp:posOffset>
            </wp:positionV>
            <wp:extent cx="699516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2985770</wp:posOffset>
            </wp:positionH>
            <wp:positionV relativeFrom="page">
              <wp:posOffset>182880</wp:posOffset>
            </wp:positionV>
            <wp:extent cx="1585595" cy="48831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88315"/>
                    </a:xfrm>
                    <a:prstGeom prst="rect">
                      <a:avLst/>
                    </a:prstGeom>
                    <a:noFill/>
                  </pic:spPr>
                </pic:pic>
              </a:graphicData>
            </a:graphic>
          </wp:anchor>
        </w:drawing>
      </w:r>
    </w:p>
    <w:p>
      <w:pPr>
        <w:ind w:right="380"/>
        <w:spacing w:after="0" w:line="308" w:lineRule="auto"/>
        <w:rPr>
          <w:sz w:val="20"/>
          <w:szCs w:val="20"/>
          <w:color w:val="auto"/>
        </w:rPr>
      </w:pPr>
      <w:r>
        <w:rPr>
          <w:rFonts w:ascii="Arial" w:cs="Arial" w:eastAsia="Arial" w:hAnsi="Arial"/>
          <w:sz w:val="17"/>
          <w:szCs w:val="17"/>
          <w:color w:val="auto"/>
        </w:rPr>
        <w:t>personnel policies and procedures, may be changed by the Company, at its option, from time to time during your tenure here, neither you nor the Company can change the “at-will” nature of your employment, absent a written contract signed by an officer of the Company.</w:t>
      </w:r>
    </w:p>
    <w:p>
      <w:pPr>
        <w:spacing w:after="0" w:line="14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offer of employment will terminate if it is not accepted, signed and returned to my attention (mike@flywire.com) by January 12, 2018. We truly look forward to working with you and building Flywire into an outstanding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Massaro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Massaro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accepted this employment offer: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King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01/11/2018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Flywire | 141 Tremont Street. 9th Floor | Boston, MA 02111, USA | 1.800.346.9252 | flywire.com</w:t>
      </w:r>
    </w:p>
    <w:p>
      <w:pPr>
        <w:sectPr>
          <w:pgSz w:w="11900" w:h="16838" w:orient="portrait"/>
          <w:cols w:equalWidth="0" w:num="1">
            <w:col w:w="10780"/>
          </w:cols>
          <w:pgMar w:left="440" w:top="1440" w:right="679" w:bottom="1440" w:gutter="0" w:footer="0" w:header="0"/>
        </w:sectPr>
      </w:pPr>
    </w:p>
    <w:bookmarkStart w:id="539" w:name="page540"/>
    <w:bookmarkEnd w:id="539"/>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222 Third Street, Fourth Floor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Cambridge, MA 02142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November 15</w:t>
      </w:r>
      <w:r>
        <w:rPr>
          <w:rFonts w:ascii="Arial" w:cs="Arial" w:eastAsia="Arial" w:hAnsi="Arial"/>
          <w:sz w:val="15"/>
          <w:szCs w:val="15"/>
          <w:color w:val="auto"/>
        </w:rPr>
        <w:t>th</w:t>
      </w:r>
      <w:r>
        <w:rPr>
          <w:rFonts w:ascii="Arial" w:cs="Arial" w:eastAsia="Arial" w:hAnsi="Arial"/>
          <w:sz w:val="18"/>
          <w:szCs w:val="18"/>
          <w:color w:val="auto"/>
        </w:rPr>
        <w:t>,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PERSONAL AND 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Sharon Butler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Sharon,</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peerTransfer Corp (the “</w:t>
      </w:r>
      <w:r>
        <w:rPr>
          <w:rFonts w:ascii="Arial" w:cs="Arial" w:eastAsia="Arial" w:hAnsi="Arial"/>
          <w:sz w:val="18"/>
          <w:szCs w:val="18"/>
          <w:u w:val="single" w:color="auto"/>
          <w:color w:val="auto"/>
        </w:rPr>
        <w:t>Company</w:t>
      </w:r>
      <w:r>
        <w:rPr>
          <w:rFonts w:ascii="Arial" w:cs="Arial" w:eastAsia="Arial" w:hAnsi="Arial"/>
          <w:sz w:val="18"/>
          <w:szCs w:val="18"/>
          <w:color w:val="auto"/>
        </w:rPr>
        <w:t>”) is pleased to offer you the full-time position of Director of Sales. We are excited about the prospect of you joining our team, and look forward to the addition of your experience and enthusiasm to help the Company achieve its goals. Yon are scheduled to begin your employment with the Company on December 1</w:t>
      </w:r>
      <w:r>
        <w:rPr>
          <w:rFonts w:ascii="Arial" w:cs="Arial" w:eastAsia="Arial" w:hAnsi="Arial"/>
          <w:sz w:val="15"/>
          <w:szCs w:val="15"/>
          <w:color w:val="auto"/>
        </w:rPr>
        <w:t>st</w:t>
      </w:r>
      <w:r>
        <w:rPr>
          <w:rFonts w:ascii="Arial" w:cs="Arial" w:eastAsia="Arial" w:hAnsi="Arial"/>
          <w:sz w:val="18"/>
          <w:szCs w:val="18"/>
          <w:color w:val="auto"/>
        </w:rPr>
        <w:t>, 2010.</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Your base salary will be paid at an initial rate of $80,000 per year, payable in accordance with the Company’s standard payroll schedule and subject to applicable deductions and withholdings. You will be eligible to participate in benefits programs that may be adopted by the Company in the future to the same extent as, and subject to the same terms, conditions and limitations applicable to, other employees of the Company of similar rank and tenure</w:t>
      </w:r>
    </w:p>
    <w:p>
      <w:pPr>
        <w:spacing w:after="0" w:line="187"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For the first year, your variable compensation or bonus will be as a function of the number and the size of the customers that you directly source and acquire. For small institutions (less than 1,000 international students) the bonus payable at the time the institutions goes live with our product (i.e. process payments) will be of $3,000. For medium sized institutions (i.e. between 1,000 and 3,000 international students) the bonus payable will be $6,000. Finally, for big institutions (more than 3,000 international students) the bonus will be $9,000. There is no cap on this bonus.</w:t>
      </w:r>
    </w:p>
    <w:p>
      <w:pPr>
        <w:spacing w:after="0" w:line="157"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You will be eligible to participate in the Company’s stock option program, subject to the approval of the Company’s Board of Directors. We will recommend to the Company’s Board of Directors at its next meeting after you join the Company that you be granted an option to purchase 40,000 shares of the Company’s common stock at the then fair market value. The option, if so approved, will be governed by the Company’s Equity Plan and will be subject to the terms and conditions of any associated stock option agreement, which will include, among other things, a vesting schedule.</w:t>
      </w:r>
    </w:p>
    <w:p>
      <w:pPr>
        <w:spacing w:after="0" w:line="15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Your employment with the Company will be “at-will,” meaning that either you or the Company may terminate your employment relationship at any time, for any reason, with or without cause, and with or without prior notice.</w:t>
      </w:r>
    </w:p>
    <w:p>
      <w:pPr>
        <w:sectPr>
          <w:pgSz w:w="11900" w:h="16838" w:orient="portrait"/>
          <w:cols w:equalWidth="0" w:num="1">
            <w:col w:w="11020"/>
          </w:cols>
          <w:pgMar w:left="440" w:top="121" w:right="439" w:bottom="1440" w:gutter="0" w:footer="0" w:header="0"/>
        </w:sectPr>
      </w:pPr>
    </w:p>
    <w:bookmarkStart w:id="540" w:name="page541"/>
    <w:bookmarkEnd w:id="5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Sharon Butler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15, 2010</w:t>
      </w:r>
    </w:p>
    <w:p>
      <w:pPr>
        <w:spacing w:after="0" w:line="103"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All forms of compensation referred to in this offer letter are subject to reduction to reflect applicable withholding and payroll taxes and other deductions required by law. The parties intend that this offer letter be administered in accordance with Section 409A of the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To the extent that any provision of this offer letter is ambiguous as to its compliance with</w:t>
      </w:r>
    </w:p>
    <w:p>
      <w:pPr>
        <w:spacing w:after="0" w:line="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Section 409A of the Code, the provision shall be read in such a manner so that all payments hereunder comply with Section 409A of the Code. The parties agree that this offer letter may be amended as reasonably requested by either party, and as may be necessary to fully comply with Section 409A of the Code and all related rules and regulations in order to preserve the payments and benefits provided hereunder with out additional cost to either party. The Company makes no representation or warranty and shall have no liability to you or any other person if any provisions of this offer letter are determined to constitute deferred compensation subject to Section 409A of the Code but do not satisfy an exemption from, or the conditions of, such Section.</w:t>
      </w:r>
    </w:p>
    <w:p>
      <w:pPr>
        <w:spacing w:after="0" w:line="19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By signing below, you hereby confirm that the performance of your position at the Company does not and will not breach any agreement entered into by you prior to employment with the Company (i.e., you have not entered into any agreements with previous employers that are in conflict with your obligations to the Company). Please provide us with a copy of any such agreements.</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You will also be required to sign a Confidentiality and Assignment Agreement as a condition of your employment with the Company which requires, among other provisions, the assignment of patent rights to any invention made during your employment at the Company and non-disclosure of Company proprietary information.</w:t>
      </w:r>
    </w:p>
    <w:p>
      <w:pPr>
        <w:spacing w:after="0" w:line="184"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Moreover, as a condition of commencing employment, you will be required to provide, for purposes of completing the I-9 form, sufficient documentation to demonstrate your eligibility to work in the United States.</w:t>
      </w:r>
    </w:p>
    <w:p>
      <w:pPr>
        <w:spacing w:after="0" w:line="170" w:lineRule="exact"/>
        <w:rPr>
          <w:sz w:val="20"/>
          <w:szCs w:val="20"/>
          <w:color w:val="auto"/>
        </w:rPr>
      </w:pPr>
    </w:p>
    <w:p>
      <w:pPr>
        <w:jc w:val="both"/>
        <w:ind w:right="460" w:firstLine="440"/>
        <w:spacing w:after="0" w:line="301" w:lineRule="auto"/>
        <w:rPr>
          <w:sz w:val="20"/>
          <w:szCs w:val="20"/>
          <w:color w:val="auto"/>
        </w:rPr>
      </w:pPr>
      <w:r>
        <w:rPr>
          <w:rFonts w:ascii="Arial" w:cs="Arial" w:eastAsia="Arial" w:hAnsi="Arial"/>
          <w:sz w:val="16"/>
          <w:szCs w:val="16"/>
          <w:color w:val="auto"/>
        </w:rPr>
        <w:t>This letter contains the final, total and complete agreement between you and the Company regarding your employment status and how your employment may be terminated. Even though your job duties, title, reporting relationships, compensation and benefits, as well as the Company’s personnel policies and procedures, may be changed by the Company, at its option, from time to time during your tenure here, neither you nor the Company can change the “at-will” nature of your employment, absent a written contract signed by an officer of the Company.</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69" w:right="519" w:bottom="1440" w:gutter="0" w:footer="0" w:header="0"/>
        </w:sectPr>
      </w:pPr>
    </w:p>
    <w:bookmarkStart w:id="541" w:name="page542"/>
    <w:bookmarkEnd w:id="5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Sharon Butler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15, 2010</w:t>
      </w:r>
    </w:p>
    <w:p>
      <w:pPr>
        <w:spacing w:after="0" w:line="103"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offer of employment will terminate if it is not accepted, signed and returned to my attention via mail or email by November 21</w:t>
      </w:r>
      <w:r>
        <w:rPr>
          <w:rFonts w:ascii="Arial" w:cs="Arial" w:eastAsia="Arial" w:hAnsi="Arial"/>
          <w:sz w:val="15"/>
          <w:szCs w:val="15"/>
          <w:color w:val="auto"/>
        </w:rPr>
        <w:t>st</w:t>
      </w:r>
      <w:r>
        <w:rPr>
          <w:rFonts w:ascii="Arial" w:cs="Arial" w:eastAsia="Arial" w:hAnsi="Arial"/>
          <w:sz w:val="18"/>
          <w:szCs w:val="18"/>
          <w:color w:val="auto"/>
        </w:rPr>
        <w:t>, 2010. We truly look forward to working with you and building peerTransfer into an outstanding company.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Iker Marcaide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Iker Marcaide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Founder &amp; CEO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accepted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Sharon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Sharon Butler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15,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0"/>
          </w:cols>
          <w:pgMar w:left="440" w:top="269" w:right="659" w:bottom="1440" w:gutter="0" w:footer="0" w:header="0"/>
        </w:sectPr>
      </w:pPr>
    </w:p>
    <w:bookmarkStart w:id="542" w:name="page543"/>
    <w:bookmarkEnd w:id="542"/>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840105</wp:posOffset>
            </wp:positionV>
            <wp:extent cx="699516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172085</wp:posOffset>
            </wp:positionV>
            <wp:extent cx="1619885" cy="50609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61988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AND CONFIDENTIAL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9,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John,</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Flywire Corp. (the “</w:t>
      </w:r>
      <w:r>
        <w:rPr>
          <w:rFonts w:ascii="Arial" w:cs="Arial" w:eastAsia="Arial" w:hAnsi="Arial"/>
          <w:sz w:val="18"/>
          <w:szCs w:val="18"/>
          <w:u w:val="single" w:color="auto"/>
          <w:color w:val="auto"/>
        </w:rPr>
        <w:t>Company</w:t>
      </w:r>
      <w:r>
        <w:rPr>
          <w:rFonts w:ascii="Arial" w:cs="Arial" w:eastAsia="Arial" w:hAnsi="Arial"/>
          <w:sz w:val="18"/>
          <w:szCs w:val="18"/>
          <w:color w:val="auto"/>
        </w:rPr>
        <w:t>”) is pleased to offer you the full-time position of EVP &amp; GM, Healthcare, reporting to Mike Massaro, CEO. We are excited about the prospect of you joining our team, and look forward to the addition of your experience and enthusiasm to help the Company achieve its goals. Your anticipated start date is January 16</w:t>
      </w:r>
      <w:r>
        <w:rPr>
          <w:rFonts w:ascii="Arial" w:cs="Arial" w:eastAsia="Arial" w:hAnsi="Arial"/>
          <w:sz w:val="15"/>
          <w:szCs w:val="15"/>
          <w:color w:val="auto"/>
        </w:rPr>
        <w:t>th</w:t>
      </w:r>
      <w:r>
        <w:rPr>
          <w:rFonts w:ascii="Arial" w:cs="Arial" w:eastAsia="Arial" w:hAnsi="Arial"/>
          <w:sz w:val="18"/>
          <w:szCs w:val="18"/>
          <w:color w:val="auto"/>
        </w:rPr>
        <w:t>, 2018.</w:t>
      </w:r>
    </w:p>
    <w:p>
      <w:pPr>
        <w:spacing w:after="0" w:line="18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Your base salary will be paid at an initial rate of $200,000.00 per year, payable in accordance with the Company’s standard payroll schedule and subject to applicable deductions and withholdings. You will be eligible to participate in benefits programs that may be adopted by the Company in the future to the same extent as, and subject to the same terms, conditions and limitations applicable to, other employees of the Company of similar rank and tenure. Your variable compensation or bonus will be as a function of your personal (25%) and the industry vertical performance (75%). This bonus will be set to be annually $75,000.00 and will be paid following performance reviews on a yearly basis. Due to the other performance related incentives related to the acquisition, this variable bonus will not go into effect until calendar year 2019.</w:t>
      </w:r>
    </w:p>
    <w:p>
      <w:pPr>
        <w:spacing w:after="0" w:line="17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As further consideration, Flywire will extend a one-time sign on bonus of $534,820 to be paid within 30 days of your start date, which will be subject to applicable federal and state withholdings.</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All forms of compensation referred to in this offer letter are subject to reduction to reflect applicable withholding and payroll taxes and other deductions required by law. By signing below, you hereby confirm that the performance of your position at the Company does not and will not breach any agreement entered into by you prior to employment with the Company (i.e., you have not entered into any agreements with previous employers that are in conflict with your obligations to the Company).</w:t>
      </w:r>
    </w:p>
    <w:p>
      <w:pPr>
        <w:spacing w:after="0" w:line="187"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This offer is contingent upon successful completion of a background check. You will also be required to sign a Confidentiality and Assignment Agreement as a condition of your employment with the Company which requires, among other provisions, the assignment of patent rights to any invention made during your employment at the Company and non-disclosure of Company proprietary information.</w:t>
      </w:r>
    </w:p>
    <w:p>
      <w:pPr>
        <w:spacing w:after="0" w:line="165" w:lineRule="exact"/>
        <w:rPr>
          <w:sz w:val="20"/>
          <w:szCs w:val="20"/>
          <w:color w:val="auto"/>
        </w:rPr>
      </w:pPr>
    </w:p>
    <w:p>
      <w:pPr>
        <w:jc w:val="both"/>
        <w:ind w:right="540" w:firstLine="440"/>
        <w:spacing w:after="0" w:line="301" w:lineRule="auto"/>
        <w:rPr>
          <w:sz w:val="20"/>
          <w:szCs w:val="20"/>
          <w:color w:val="auto"/>
        </w:rPr>
      </w:pPr>
      <w:r>
        <w:rPr>
          <w:rFonts w:ascii="Arial" w:cs="Arial" w:eastAsia="Arial" w:hAnsi="Arial"/>
          <w:sz w:val="16"/>
          <w:szCs w:val="16"/>
          <w:color w:val="auto"/>
        </w:rPr>
        <w:t>This letter contains the final, total and complete agreement between you and the Company regarding your employment status and how your employment may be terminated. Even though your job duties, title, reporting relationships, compensation and benefits, as well as the Company’s personnel policies and procedures, may be changed by the Company, at its option, from time to time during your tenure here, neither you nor the Company can change the “at-will” nature of your employment, absent a written contract signed by an officer of the Company.</w:t>
      </w:r>
    </w:p>
    <w:p>
      <w:pPr>
        <w:sectPr>
          <w:pgSz w:w="11900" w:h="16838" w:orient="portrait"/>
          <w:cols w:equalWidth="0" w:num="1">
            <w:col w:w="11020"/>
          </w:cols>
          <w:pgMar w:left="440" w:top="121" w:right="439" w:bottom="1440" w:gutter="0" w:footer="0" w:header="0"/>
        </w:sectPr>
      </w:pPr>
    </w:p>
    <w:bookmarkStart w:id="543" w:name="page544"/>
    <w:bookmarkEnd w:id="543"/>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851535</wp:posOffset>
            </wp:positionV>
            <wp:extent cx="699516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2968625</wp:posOffset>
            </wp:positionH>
            <wp:positionV relativeFrom="page">
              <wp:posOffset>182880</wp:posOffset>
            </wp:positionV>
            <wp:extent cx="1619885" cy="50546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clrChange>
                        <a:clrFrom>
                          <a:srgbClr val="FFFFFF"/>
                        </a:clrFrom>
                        <a:clrTo>
                          <a:srgbClr val="FFFFFF">
                            <a:alpha val="0"/>
                          </a:srgbClr>
                        </a:clrTo>
                      </a:clrChange>
                      <a:extLst>
                        <a:ext uri="{28A0092B-C50C-407E-A947-70E740481C1C}"/>
                      </a:extLst>
                    </a:blip>
                    <a:srcRect/>
                    <a:stretch>
                      <a:fillRect/>
                    </a:stretch>
                  </pic:blipFill>
                  <pic:spPr bwMode="auto">
                    <a:xfrm>
                      <a:off x="0" y="0"/>
                      <a:ext cx="1619885" cy="505460"/>
                    </a:xfrm>
                    <a:prstGeom prst="rect">
                      <a:avLst/>
                    </a:prstGeom>
                    <a:noFill/>
                  </pic:spPr>
                </pic:pic>
              </a:graphicData>
            </a:graphic>
          </wp:anchor>
        </w:drawing>
      </w:r>
    </w:p>
    <w:p>
      <w:pPr>
        <w:ind w:firstLine="440"/>
        <w:spacing w:after="0" w:line="277" w:lineRule="auto"/>
        <w:rPr>
          <w:sz w:val="20"/>
          <w:szCs w:val="20"/>
          <w:color w:val="auto"/>
        </w:rPr>
      </w:pPr>
      <w:r>
        <w:rPr>
          <w:rFonts w:ascii="Arial" w:cs="Arial" w:eastAsia="Arial" w:hAnsi="Arial"/>
          <w:sz w:val="18"/>
          <w:szCs w:val="18"/>
          <w:color w:val="auto"/>
        </w:rPr>
        <w:t>This offer of employment will terminate if it is not accepted, signed and returned to my attention (mike@flywire.com) by January 11, 2018. We truly look forward to working with you and building Flywire into an outstanding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Massaro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Massaro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accepted this employment offer: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John Talaga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Talaga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780"/>
          </w:cols>
          <w:pgMar w:left="440" w:top="1440" w:right="679" w:bottom="1440" w:gutter="0" w:footer="0" w:header="0"/>
        </w:sectPr>
      </w:pPr>
    </w:p>
    <w:bookmarkStart w:id="544" w:name="page545"/>
    <w:bookmarkEnd w:id="544"/>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SECOND AMENDMENT TO LEASE</w:t>
      </w:r>
    </w:p>
    <w:p>
      <w:pPr>
        <w:spacing w:after="0" w:line="229"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THIS SECOND AMENDMENT TO LEASE (this “</w:t>
      </w:r>
      <w:r>
        <w:rPr>
          <w:rFonts w:ascii="Arial" w:cs="Arial" w:eastAsia="Arial" w:hAnsi="Arial"/>
          <w:sz w:val="18"/>
          <w:szCs w:val="18"/>
          <w:u w:val="single" w:color="auto"/>
          <w:color w:val="auto"/>
        </w:rPr>
        <w:t>Second Amendment</w:t>
      </w:r>
      <w:r>
        <w:rPr>
          <w:rFonts w:ascii="Arial" w:cs="Arial" w:eastAsia="Arial" w:hAnsi="Arial"/>
          <w:sz w:val="18"/>
          <w:szCs w:val="18"/>
          <w:color w:val="auto"/>
        </w:rPr>
        <w:t>”), dated as of October 23, 2018, is entered into by and between NS 141 Tremont LLC, a Massachusetts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Flywire Corporation, a Delaware corporation (formerly known as peerTransfer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4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WHEREAS, Landlord and Tenant are parties to that certain Office Lease Agreement dated as of April 8, 2015 by and between Landlord, as landlord, and Tenant, as tenant (the “</w:t>
      </w:r>
      <w:r>
        <w:rPr>
          <w:rFonts w:ascii="Arial" w:cs="Arial" w:eastAsia="Arial" w:hAnsi="Arial"/>
          <w:sz w:val="18"/>
          <w:szCs w:val="18"/>
          <w:u w:val="single" w:color="auto"/>
          <w:color w:val="auto"/>
        </w:rPr>
        <w:t>Original Lease</w:t>
      </w:r>
      <w:r>
        <w:rPr>
          <w:rFonts w:ascii="Arial" w:cs="Arial" w:eastAsia="Arial" w:hAnsi="Arial"/>
          <w:sz w:val="18"/>
          <w:szCs w:val="18"/>
          <w:color w:val="auto"/>
        </w:rPr>
        <w:t>”), as amended by that certain First Amendment to Lease dated as of April 7, 2016 by and between Landlord, as landlord, and Tenant, as tenant (the “</w:t>
      </w:r>
      <w:r>
        <w:rPr>
          <w:rFonts w:ascii="Arial" w:cs="Arial" w:eastAsia="Arial" w:hAnsi="Arial"/>
          <w:sz w:val="18"/>
          <w:szCs w:val="18"/>
          <w:u w:val="single" w:color="auto"/>
          <w:color w:val="auto"/>
        </w:rPr>
        <w:t>First Amendment</w:t>
      </w:r>
      <w:r>
        <w:rPr>
          <w:rFonts w:ascii="Arial" w:cs="Arial" w:eastAsia="Arial" w:hAnsi="Arial"/>
          <w:sz w:val="18"/>
          <w:szCs w:val="18"/>
          <w:color w:val="auto"/>
        </w:rPr>
        <w: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the Original Lease, as amended by the First Amendment, shall be known as the “</w:t>
      </w:r>
      <w:r>
        <w:rPr>
          <w:rFonts w:ascii="Arial" w:cs="Arial" w:eastAsia="Arial" w:hAnsi="Arial"/>
          <w:sz w:val="18"/>
          <w:szCs w:val="18"/>
          <w:u w:val="single" w:color="auto"/>
          <w:color w:val="auto"/>
        </w:rPr>
        <w:t>Lease</w:t>
      </w:r>
      <w:r>
        <w:rPr>
          <w:rFonts w:ascii="Arial" w:cs="Arial" w:eastAsia="Arial" w:hAnsi="Arial"/>
          <w:sz w:val="18"/>
          <w:szCs w:val="18"/>
          <w:color w:val="auto"/>
        </w:rPr>
        <w:t>”;</w:t>
      </w:r>
    </w:p>
    <w:p>
      <w:pPr>
        <w:spacing w:after="0" w:line="225" w:lineRule="exact"/>
        <w:rPr>
          <w:sz w:val="20"/>
          <w:szCs w:val="20"/>
          <w:color w:val="auto"/>
        </w:rPr>
      </w:pPr>
    </w:p>
    <w:p>
      <w:pPr>
        <w:jc w:val="both"/>
        <w:ind w:left="4" w:right="200" w:firstLine="440"/>
        <w:spacing w:after="0" w:line="311" w:lineRule="auto"/>
        <w:rPr>
          <w:sz w:val="20"/>
          <w:szCs w:val="20"/>
          <w:color w:val="auto"/>
        </w:rPr>
      </w:pPr>
      <w:r>
        <w:rPr>
          <w:rFonts w:ascii="Arial" w:cs="Arial" w:eastAsia="Arial" w:hAnsi="Arial"/>
          <w:sz w:val="16"/>
          <w:szCs w:val="16"/>
          <w:color w:val="auto"/>
        </w:rPr>
        <w:t>WHEREAS, the Lease relates to the premises comprised of (a) approximately 5,473 rentable square feet located on the tenth (10</w:t>
      </w:r>
      <w:r>
        <w:rPr>
          <w:rFonts w:ascii="Arial" w:cs="Arial" w:eastAsia="Arial" w:hAnsi="Arial"/>
          <w:sz w:val="13"/>
          <w:szCs w:val="13"/>
          <w:color w:val="auto"/>
        </w:rPr>
        <w:t>th</w:t>
      </w:r>
      <w:r>
        <w:rPr>
          <w:rFonts w:ascii="Arial" w:cs="Arial" w:eastAsia="Arial" w:hAnsi="Arial"/>
          <w:sz w:val="16"/>
          <w:szCs w:val="16"/>
          <w:color w:val="auto"/>
        </w:rPr>
        <w:t xml:space="preserve"> ) floor of the building known and numbered as 141 Tremont Street, Boston, Massachusetts (the “</w:t>
      </w:r>
      <w:r>
        <w:rPr>
          <w:rFonts w:ascii="Arial" w:cs="Arial" w:eastAsia="Arial" w:hAnsi="Arial"/>
          <w:sz w:val="16"/>
          <w:szCs w:val="16"/>
          <w:u w:val="single" w:color="auto"/>
          <w:color w:val="auto"/>
        </w:rPr>
        <w:t>10</w:t>
      </w:r>
      <w:r>
        <w:rPr>
          <w:rFonts w:ascii="Arial" w:cs="Arial" w:eastAsia="Arial" w:hAnsi="Arial"/>
          <w:sz w:val="13"/>
          <w:szCs w:val="13"/>
          <w:u w:val="single" w:color="auto"/>
          <w:color w:val="auto"/>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Floor Premises</w:t>
      </w:r>
      <w:r>
        <w:rPr>
          <w:rFonts w:ascii="Arial" w:cs="Arial" w:eastAsia="Arial" w:hAnsi="Arial"/>
          <w:sz w:val="16"/>
          <w:szCs w:val="16"/>
          <w:color w:val="auto"/>
        </w:rPr>
        <w:t>”) and (b) approximately 5,473 rentable square feet located on the ninth (9</w:t>
      </w:r>
      <w:r>
        <w:rPr>
          <w:rFonts w:ascii="Arial" w:cs="Arial" w:eastAsia="Arial" w:hAnsi="Arial"/>
          <w:sz w:val="13"/>
          <w:szCs w:val="13"/>
          <w:color w:val="auto"/>
        </w:rPr>
        <w:t>th</w:t>
      </w:r>
      <w:r>
        <w:rPr>
          <w:rFonts w:ascii="Arial" w:cs="Arial" w:eastAsia="Arial" w:hAnsi="Arial"/>
          <w:sz w:val="16"/>
          <w:szCs w:val="16"/>
          <w:color w:val="auto"/>
        </w:rPr>
        <w:t>) floor of the building known and numbered as 141 Tremont Street, Boston, Massachusetts (the “</w:t>
      </w:r>
      <w:r>
        <w:rPr>
          <w:rFonts w:ascii="Arial" w:cs="Arial" w:eastAsia="Arial" w:hAnsi="Arial"/>
          <w:sz w:val="16"/>
          <w:szCs w:val="16"/>
          <w:u w:val="single" w:color="auto"/>
          <w:color w:val="auto"/>
        </w:rPr>
        <w:t>9</w:t>
      </w:r>
      <w:r>
        <w:rPr>
          <w:rFonts w:ascii="Arial" w:cs="Arial" w:eastAsia="Arial" w:hAnsi="Arial"/>
          <w:sz w:val="13"/>
          <w:szCs w:val="13"/>
          <w:u w:val="single" w:color="auto"/>
          <w:color w:val="auto"/>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Floor Premises</w:t>
      </w:r>
      <w:r>
        <w:rPr>
          <w:rFonts w:ascii="Arial" w:cs="Arial" w:eastAsia="Arial" w:hAnsi="Arial"/>
          <w:sz w:val="16"/>
          <w:szCs w:val="16"/>
          <w:color w:val="auto"/>
        </w:rPr>
        <w:t>”);</w:t>
      </w:r>
    </w:p>
    <w:p>
      <w:pPr>
        <w:spacing w:after="0" w:line="149"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WHEREAS, the 10</w:t>
      </w:r>
      <w:r>
        <w:rPr>
          <w:rFonts w:ascii="Arial" w:cs="Arial" w:eastAsia="Arial" w:hAnsi="Arial"/>
          <w:sz w:val="15"/>
          <w:szCs w:val="15"/>
          <w:color w:val="auto"/>
        </w:rPr>
        <w:t>th</w:t>
      </w:r>
      <w:r>
        <w:rPr>
          <w:rFonts w:ascii="Arial" w:cs="Arial" w:eastAsia="Arial" w:hAnsi="Arial"/>
          <w:sz w:val="18"/>
          <w:szCs w:val="18"/>
          <w:color w:val="auto"/>
        </w:rPr>
        <w:t xml:space="preserve"> Floor Premises and the 9</w:t>
      </w:r>
      <w:r>
        <w:rPr>
          <w:rFonts w:ascii="Arial" w:cs="Arial" w:eastAsia="Arial" w:hAnsi="Arial"/>
          <w:sz w:val="15"/>
          <w:szCs w:val="15"/>
          <w:color w:val="auto"/>
        </w:rPr>
        <w:t>th</w:t>
      </w:r>
      <w:r>
        <w:rPr>
          <w:rFonts w:ascii="Arial" w:cs="Arial" w:eastAsia="Arial" w:hAnsi="Arial"/>
          <w:sz w:val="18"/>
          <w:szCs w:val="18"/>
          <w:color w:val="auto"/>
        </w:rPr>
        <w:t xml:space="preserve"> Floor Premises are collectively referred to herein as the “</w:t>
      </w:r>
      <w:r>
        <w:rPr>
          <w:rFonts w:ascii="Arial" w:cs="Arial" w:eastAsia="Arial" w:hAnsi="Arial"/>
          <w:sz w:val="18"/>
          <w:szCs w:val="18"/>
          <w:u w:val="single" w:color="auto"/>
          <w:color w:val="auto"/>
        </w:rPr>
        <w:t>Existing Premises</w:t>
      </w:r>
      <w:r>
        <w:rPr>
          <w:rFonts w:ascii="Arial" w:cs="Arial" w:eastAsia="Arial" w:hAnsi="Arial"/>
          <w:sz w:val="18"/>
          <w:szCs w:val="18"/>
          <w:color w:val="auto"/>
        </w:rPr>
        <w:t>” and the building known and numbered as 141 Tremont Street, Boston, Massachusetts is referred to herein as the “</w:t>
      </w:r>
      <w:r>
        <w:rPr>
          <w:rFonts w:ascii="Arial" w:cs="Arial" w:eastAsia="Arial" w:hAnsi="Arial"/>
          <w:sz w:val="18"/>
          <w:szCs w:val="18"/>
          <w:u w:val="single" w:color="auto"/>
          <w:color w:val="auto"/>
        </w:rPr>
        <w:t>Building</w:t>
      </w:r>
      <w:r>
        <w:rPr>
          <w:rFonts w:ascii="Arial" w:cs="Arial" w:eastAsia="Arial" w:hAnsi="Arial"/>
          <w:sz w:val="18"/>
          <w:szCs w:val="18"/>
          <w:color w:val="auto"/>
        </w:rPr>
        <w:t>”; and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Landlord and Tenant wish to modify and amend the Lease subject to the terms and conditions set forth below.</w:t>
      </w:r>
    </w:p>
    <w:p>
      <w:pPr>
        <w:spacing w:after="0" w:line="225"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NOW, THEREFORE, in consideration of the covenants herein reserved and contained, and other good and valuable consideration, the receipt and sufficiency of which are hereby acknowledged, Landlord and Tenant hereby agree as follows:</w:t>
      </w:r>
    </w:p>
    <w:p>
      <w:pPr>
        <w:spacing w:after="0" w:line="76" w:lineRule="exact"/>
        <w:rPr>
          <w:sz w:val="20"/>
          <w:szCs w:val="20"/>
          <w:color w:val="auto"/>
        </w:rPr>
      </w:pPr>
    </w:p>
    <w:p>
      <w:pPr>
        <w:ind w:left="424" w:right="20" w:hanging="424"/>
        <w:spacing w:after="0" w:line="254" w:lineRule="auto"/>
        <w:tabs>
          <w:tab w:leader="none" w:pos="424"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Extension of Term</w:t>
      </w:r>
      <w:r>
        <w:rPr>
          <w:rFonts w:ascii="Arial" w:cs="Arial" w:eastAsia="Arial" w:hAnsi="Arial"/>
          <w:sz w:val="18"/>
          <w:szCs w:val="18"/>
          <w:color w:val="auto"/>
        </w:rPr>
        <w:t>. The term (the “</w:t>
      </w:r>
      <w:r>
        <w:rPr>
          <w:rFonts w:ascii="Arial" w:cs="Arial" w:eastAsia="Arial" w:hAnsi="Arial"/>
          <w:sz w:val="18"/>
          <w:szCs w:val="18"/>
          <w:u w:val="single" w:color="auto"/>
          <w:color w:val="auto"/>
        </w:rPr>
        <w:t>Term</w:t>
      </w:r>
      <w:r>
        <w:rPr>
          <w:rFonts w:ascii="Arial" w:cs="Arial" w:eastAsia="Arial" w:hAnsi="Arial"/>
          <w:sz w:val="18"/>
          <w:szCs w:val="18"/>
          <w:color w:val="auto"/>
        </w:rPr>
        <w:t>”) of the Lease is presently due to expire on September 30, 2021. The Term of the Lease is hereby extended through the date ending sixty-four ( 64) months after the 11</w:t>
      </w:r>
      <w:r>
        <w:rPr>
          <w:rFonts w:ascii="Arial" w:cs="Arial" w:eastAsia="Arial" w:hAnsi="Arial"/>
          <w:sz w:val="15"/>
          <w:szCs w:val="15"/>
          <w:color w:val="auto"/>
        </w:rPr>
        <w:t>th</w:t>
      </w:r>
      <w:r>
        <w:rPr>
          <w:rFonts w:ascii="Arial" w:cs="Arial" w:eastAsia="Arial" w:hAnsi="Arial"/>
          <w:sz w:val="18"/>
          <w:szCs w:val="18"/>
          <w:color w:val="auto"/>
        </w:rPr>
        <w:t xml:space="preserve"> Floor Premises Commencement Date, such ending date being known as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As used herein, the “</w:t>
      </w:r>
      <w:r>
        <w:rPr>
          <w:rFonts w:ascii="Arial" w:cs="Arial" w:eastAsia="Arial" w:hAnsi="Arial"/>
          <w:sz w:val="18"/>
          <w:szCs w:val="18"/>
          <w:u w:val="single" w:color="auto"/>
          <w:color w:val="auto"/>
        </w:rPr>
        <w:t>11</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 Commencement Date</w:t>
      </w:r>
      <w:r>
        <w:rPr>
          <w:rFonts w:ascii="Arial" w:cs="Arial" w:eastAsia="Arial" w:hAnsi="Arial"/>
          <w:sz w:val="18"/>
          <w:szCs w:val="18"/>
          <w:color w:val="auto"/>
        </w:rPr>
        <w:t>” shall mean the date upon which Landlord delivers to Tenant the premises measuring approximately 5,473 rentable square feet located on the eleventh (11</w:t>
      </w:r>
      <w:r>
        <w:rPr>
          <w:rFonts w:ascii="Arial" w:cs="Arial" w:eastAsia="Arial" w:hAnsi="Arial"/>
          <w:sz w:val="15"/>
          <w:szCs w:val="15"/>
          <w:color w:val="auto"/>
        </w:rPr>
        <w:t>th</w:t>
      </w:r>
      <w:r>
        <w:rPr>
          <w:rFonts w:ascii="Arial" w:cs="Arial" w:eastAsia="Arial" w:hAnsi="Arial"/>
          <w:sz w:val="18"/>
          <w:szCs w:val="18"/>
          <w:color w:val="auto"/>
        </w:rPr>
        <w:t xml:space="preserve">) floor of the Building and shown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made a part hereof (the “</w:t>
      </w:r>
      <w:r>
        <w:rPr>
          <w:rFonts w:ascii="Arial" w:cs="Arial" w:eastAsia="Arial" w:hAnsi="Arial"/>
          <w:sz w:val="18"/>
          <w:szCs w:val="18"/>
          <w:u w:val="single" w:color="auto"/>
          <w:color w:val="auto"/>
        </w:rPr>
        <w:t>11</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w:t>
      </w:r>
      <w:r>
        <w:rPr>
          <w:rFonts w:ascii="Arial" w:cs="Arial" w:eastAsia="Arial" w:hAnsi="Arial"/>
          <w:sz w:val="18"/>
          <w:szCs w:val="18"/>
          <w:color w:val="auto"/>
        </w:rPr>
        <w:t>”) vacant and broom-clean. Landlord shall use commercially reasonable efforts to deliver the 11</w:t>
      </w:r>
      <w:r>
        <w:rPr>
          <w:rFonts w:ascii="Arial" w:cs="Arial" w:eastAsia="Arial" w:hAnsi="Arial"/>
          <w:sz w:val="15"/>
          <w:szCs w:val="15"/>
          <w:color w:val="auto"/>
        </w:rPr>
        <w:t>th</w:t>
      </w:r>
      <w:r>
        <w:rPr>
          <w:rFonts w:ascii="Arial" w:cs="Arial" w:eastAsia="Arial" w:hAnsi="Arial"/>
          <w:sz w:val="18"/>
          <w:szCs w:val="18"/>
          <w:color w:val="auto"/>
        </w:rPr>
        <w:t xml:space="preserve"> Floor Premises to Tenant by December 1, 2018 (the “</w:t>
      </w:r>
      <w:r>
        <w:rPr>
          <w:rFonts w:ascii="Arial" w:cs="Arial" w:eastAsia="Arial" w:hAnsi="Arial"/>
          <w:sz w:val="18"/>
          <w:szCs w:val="18"/>
          <w:u w:val="single" w:color="auto"/>
          <w:color w:val="auto"/>
        </w:rPr>
        <w:t>11</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 Target Delivery Date</w:t>
      </w:r>
      <w:r>
        <w:rPr>
          <w:rFonts w:ascii="Arial" w:cs="Arial" w:eastAsia="Arial" w:hAnsi="Arial"/>
          <w:sz w:val="18"/>
          <w:szCs w:val="18"/>
          <w:color w:val="auto"/>
        </w:rPr>
        <w:t>”), but Tenant shall have no claim against Landlord for failure to deliver the 11</w:t>
      </w:r>
      <w:r>
        <w:rPr>
          <w:rFonts w:ascii="Arial" w:cs="Arial" w:eastAsia="Arial" w:hAnsi="Arial"/>
          <w:sz w:val="15"/>
          <w:szCs w:val="15"/>
          <w:color w:val="auto"/>
        </w:rPr>
        <w:t>th</w:t>
      </w:r>
      <w:r>
        <w:rPr>
          <w:rFonts w:ascii="Arial" w:cs="Arial" w:eastAsia="Arial" w:hAnsi="Arial"/>
          <w:sz w:val="18"/>
          <w:szCs w:val="18"/>
          <w:color w:val="auto"/>
        </w:rPr>
        <w:t xml:space="preserve"> Floor Premises to Tenant by such date. Notwithstanding the foregoing, (a) if the 11</w:t>
      </w:r>
      <w:r>
        <w:rPr>
          <w:rFonts w:ascii="Arial" w:cs="Arial" w:eastAsia="Arial" w:hAnsi="Arial"/>
          <w:sz w:val="15"/>
          <w:szCs w:val="15"/>
          <w:color w:val="auto"/>
        </w:rPr>
        <w:t>th</w:t>
      </w:r>
      <w:r>
        <w:rPr>
          <w:rFonts w:ascii="Arial" w:cs="Arial" w:eastAsia="Arial" w:hAnsi="Arial"/>
          <w:sz w:val="18"/>
          <w:szCs w:val="18"/>
          <w:color w:val="auto"/>
        </w:rPr>
        <w:t xml:space="preserve"> Floor Premises Commencement</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545" w:name="page546"/>
    <w:bookmarkEnd w:id="545"/>
    <w:p>
      <w:pPr>
        <w:ind w:left="42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has not occurred by December 31, 2018, then the Rent Abatement Period (as hereinafter defined) shall be extended by one day for each day after December 31, 2018 until the 11</w:t>
      </w:r>
      <w:r>
        <w:rPr>
          <w:rFonts w:ascii="Arial" w:cs="Arial" w:eastAsia="Arial" w:hAnsi="Arial"/>
          <w:sz w:val="14"/>
          <w:szCs w:val="14"/>
          <w:color w:val="auto"/>
        </w:rPr>
        <w:t>th</w:t>
      </w:r>
      <w:r>
        <w:rPr>
          <w:rFonts w:ascii="Arial" w:cs="Arial" w:eastAsia="Arial" w:hAnsi="Arial"/>
          <w:sz w:val="17"/>
          <w:szCs w:val="17"/>
          <w:color w:val="auto"/>
        </w:rPr>
        <w:t xml:space="preserve"> Floor Premises Commencement Date has occurred, and (b) if the 11</w:t>
      </w:r>
      <w:r>
        <w:rPr>
          <w:rFonts w:ascii="Arial" w:cs="Arial" w:eastAsia="Arial" w:hAnsi="Arial"/>
          <w:sz w:val="14"/>
          <w:szCs w:val="14"/>
          <w:color w:val="auto"/>
        </w:rPr>
        <w:t>th</w:t>
      </w:r>
      <w:r>
        <w:rPr>
          <w:rFonts w:ascii="Arial" w:cs="Arial" w:eastAsia="Arial" w:hAnsi="Arial"/>
          <w:sz w:val="17"/>
          <w:szCs w:val="17"/>
          <w:color w:val="auto"/>
        </w:rPr>
        <w:t xml:space="preserve"> Floor Premises Commencement Date still has not occurred by January 31, 2019, then the Rent Abatement Period shall be extended by two days for each day after January 31, 2019 until the 11</w:t>
      </w:r>
      <w:r>
        <w:rPr>
          <w:rFonts w:ascii="Arial" w:cs="Arial" w:eastAsia="Arial" w:hAnsi="Arial"/>
          <w:sz w:val="14"/>
          <w:szCs w:val="14"/>
          <w:color w:val="auto"/>
        </w:rPr>
        <w:t>th</w:t>
      </w:r>
      <w:r>
        <w:rPr>
          <w:rFonts w:ascii="Arial" w:cs="Arial" w:eastAsia="Arial" w:hAnsi="Arial"/>
          <w:sz w:val="17"/>
          <w:szCs w:val="17"/>
          <w:color w:val="auto"/>
        </w:rPr>
        <w:t xml:space="preserve"> Floor Premises Commencement Date has occurred or the Lease has been terminated, and ( c) if the 11</w:t>
      </w:r>
      <w:r>
        <w:rPr>
          <w:rFonts w:ascii="Arial" w:cs="Arial" w:eastAsia="Arial" w:hAnsi="Arial"/>
          <w:sz w:val="14"/>
          <w:szCs w:val="14"/>
          <w:color w:val="auto"/>
        </w:rPr>
        <w:t>th</w:t>
      </w:r>
      <w:r>
        <w:rPr>
          <w:rFonts w:ascii="Arial" w:cs="Arial" w:eastAsia="Arial" w:hAnsi="Arial"/>
          <w:sz w:val="17"/>
          <w:szCs w:val="17"/>
          <w:color w:val="auto"/>
        </w:rPr>
        <w:t xml:space="preserve"> Floor Premises Commencement Date still has not occurred by March 31, 2019, Tenant may, at Tenant’s sole option, exercised by written notice to Landlord given any time after March 31, 2019 (but prior to the date on which the 11</w:t>
      </w:r>
      <w:r>
        <w:rPr>
          <w:rFonts w:ascii="Arial" w:cs="Arial" w:eastAsia="Arial" w:hAnsi="Arial"/>
          <w:sz w:val="14"/>
          <w:szCs w:val="14"/>
          <w:color w:val="auto"/>
        </w:rPr>
        <w:t>th</w:t>
      </w:r>
      <w:r>
        <w:rPr>
          <w:rFonts w:ascii="Arial" w:cs="Arial" w:eastAsia="Arial" w:hAnsi="Arial"/>
          <w:sz w:val="17"/>
          <w:szCs w:val="17"/>
          <w:color w:val="auto"/>
        </w:rPr>
        <w:t xml:space="preserve"> Floor Premises Commencement Date occurs), cancel this Second Amendment, in which case the terms and provisions of this Second Amendment shall be null and void and without recourse to the parties hereto. When the 11</w:t>
      </w:r>
      <w:r>
        <w:rPr>
          <w:rFonts w:ascii="Arial" w:cs="Arial" w:eastAsia="Arial" w:hAnsi="Arial"/>
          <w:sz w:val="14"/>
          <w:szCs w:val="14"/>
          <w:color w:val="auto"/>
        </w:rPr>
        <w:t>th</w:t>
      </w:r>
      <w:r>
        <w:rPr>
          <w:rFonts w:ascii="Arial" w:cs="Arial" w:eastAsia="Arial" w:hAnsi="Arial"/>
          <w:sz w:val="17"/>
          <w:szCs w:val="17"/>
          <w:color w:val="auto"/>
        </w:rPr>
        <w:t xml:space="preserve"> Floor Premises Commencement Date and the Expiration Date have been determined in accordance with the provisions set forth in this Second Amendment, the parties hereto shall execute an instrument setting forth such dates, and updating the rent schedules set forth in Section 5 and Section 10 of this Second Amendment to include actual dates, and said instrument shall be deemed a supplement to and part of this Second Amendment.</w:t>
      </w:r>
    </w:p>
    <w:p>
      <w:pPr>
        <w:spacing w:after="0" w:line="87" w:lineRule="exact"/>
        <w:rPr>
          <w:sz w:val="20"/>
          <w:szCs w:val="20"/>
          <w:color w:val="auto"/>
        </w:rPr>
      </w:pPr>
    </w:p>
    <w:p>
      <w:pPr>
        <w:ind w:left="424" w:hanging="424"/>
        <w:spacing w:after="0" w:line="286" w:lineRule="auto"/>
        <w:tabs>
          <w:tab w:leader="none" w:pos="424" w:val="left"/>
        </w:tabs>
        <w:numPr>
          <w:ilvl w:val="0"/>
          <w:numId w:val="399"/>
        </w:numPr>
        <w:rPr>
          <w:rFonts w:ascii="Arial" w:cs="Arial" w:eastAsia="Arial" w:hAnsi="Arial"/>
          <w:sz w:val="17"/>
          <w:szCs w:val="17"/>
          <w:color w:val="auto"/>
        </w:rPr>
      </w:pPr>
      <w:r>
        <w:rPr>
          <w:rFonts w:ascii="Arial" w:cs="Arial" w:eastAsia="Arial" w:hAnsi="Arial"/>
          <w:sz w:val="17"/>
          <w:szCs w:val="17"/>
          <w:u w:val="single" w:color="auto"/>
          <w:color w:val="auto"/>
        </w:rPr>
        <w:t>Addition of 11</w:t>
      </w:r>
      <w:r>
        <w:rPr>
          <w:rFonts w:ascii="Arial" w:cs="Arial" w:eastAsia="Arial" w:hAnsi="Arial"/>
          <w:sz w:val="14"/>
          <w:szCs w:val="14"/>
          <w:u w:val="single" w:color="auto"/>
          <w:color w:val="auto"/>
        </w:rPr>
        <w:t>th</w:t>
      </w:r>
      <w:r>
        <w:rPr>
          <w:rFonts w:ascii="Arial" w:cs="Arial" w:eastAsia="Arial" w:hAnsi="Arial"/>
          <w:sz w:val="17"/>
          <w:szCs w:val="17"/>
          <w:color w:val="auto"/>
        </w:rPr>
        <w:t xml:space="preserve"> </w:t>
      </w:r>
      <w:r>
        <w:rPr>
          <w:rFonts w:ascii="Arial" w:cs="Arial" w:eastAsia="Arial" w:hAnsi="Arial"/>
          <w:sz w:val="17"/>
          <w:szCs w:val="17"/>
          <w:u w:val="single" w:color="auto"/>
          <w:color w:val="auto"/>
        </w:rPr>
        <w:t>Floor Premises</w:t>
      </w:r>
      <w:r>
        <w:rPr>
          <w:rFonts w:ascii="Arial" w:cs="Arial" w:eastAsia="Arial" w:hAnsi="Arial"/>
          <w:sz w:val="17"/>
          <w:szCs w:val="17"/>
          <w:color w:val="auto"/>
        </w:rPr>
        <w:t>. Starting on the 11</w:t>
      </w:r>
      <w:r>
        <w:rPr>
          <w:rFonts w:ascii="Arial" w:cs="Arial" w:eastAsia="Arial" w:hAnsi="Arial"/>
          <w:sz w:val="14"/>
          <w:szCs w:val="14"/>
          <w:color w:val="auto"/>
        </w:rPr>
        <w:t>th</w:t>
      </w:r>
      <w:r>
        <w:rPr>
          <w:rFonts w:ascii="Arial" w:cs="Arial" w:eastAsia="Arial" w:hAnsi="Arial"/>
          <w:sz w:val="17"/>
          <w:szCs w:val="17"/>
          <w:color w:val="auto"/>
        </w:rPr>
        <w:t xml:space="preserve"> Floor Premises Commencement Date, the Lease shall be amended to provide that the premises demised to Tenant under the Lease shall include the 11</w:t>
      </w:r>
      <w:r>
        <w:rPr>
          <w:rFonts w:ascii="Arial" w:cs="Arial" w:eastAsia="Arial" w:hAnsi="Arial"/>
          <w:sz w:val="14"/>
          <w:szCs w:val="14"/>
          <w:color w:val="auto"/>
        </w:rPr>
        <w:t>th</w:t>
      </w:r>
      <w:r>
        <w:rPr>
          <w:rFonts w:ascii="Arial" w:cs="Arial" w:eastAsia="Arial" w:hAnsi="Arial"/>
          <w:sz w:val="17"/>
          <w:szCs w:val="17"/>
          <w:color w:val="auto"/>
        </w:rPr>
        <w:t xml:space="preserve"> Floor Premises. Thereafter, all references to the “Premises” in the Lease shall be deemed to include both the Existing Premises and the 11</w:t>
      </w:r>
      <w:r>
        <w:rPr>
          <w:rFonts w:ascii="Arial" w:cs="Arial" w:eastAsia="Arial" w:hAnsi="Arial"/>
          <w:sz w:val="14"/>
          <w:szCs w:val="14"/>
          <w:color w:val="auto"/>
        </w:rPr>
        <w:t>th</w:t>
      </w:r>
      <w:r>
        <w:rPr>
          <w:rFonts w:ascii="Arial" w:cs="Arial" w:eastAsia="Arial" w:hAnsi="Arial"/>
          <w:sz w:val="17"/>
          <w:szCs w:val="17"/>
          <w:color w:val="auto"/>
        </w:rPr>
        <w:t xml:space="preserve"> Floor Premises, and contain a total of 16,419 rentable square feet.</w:t>
      </w:r>
    </w:p>
    <w:p>
      <w:pPr>
        <w:spacing w:after="0" w:line="70" w:lineRule="exact"/>
        <w:rPr>
          <w:rFonts w:ascii="Arial" w:cs="Arial" w:eastAsia="Arial" w:hAnsi="Arial"/>
          <w:sz w:val="17"/>
          <w:szCs w:val="17"/>
          <w:color w:val="auto"/>
        </w:rPr>
      </w:pPr>
    </w:p>
    <w:p>
      <w:pPr>
        <w:ind w:left="424" w:right="140" w:hanging="424"/>
        <w:spacing w:after="0" w:line="259" w:lineRule="auto"/>
        <w:tabs>
          <w:tab w:leader="none" w:pos="424"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Condition of 11</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w:t>
      </w:r>
      <w:r>
        <w:rPr>
          <w:rFonts w:ascii="Arial" w:cs="Arial" w:eastAsia="Arial" w:hAnsi="Arial"/>
          <w:sz w:val="18"/>
          <w:szCs w:val="18"/>
          <w:color w:val="auto"/>
        </w:rPr>
        <w:t xml:space="preserve">. Subject to Landlord’s express obligations under the Lease, including but not limited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(Landlord’s Obligations) and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(Services) of the Original Lease, Tenant shall accept the 11</w:t>
      </w:r>
      <w:r>
        <w:rPr>
          <w:rFonts w:ascii="Arial" w:cs="Arial" w:eastAsia="Arial" w:hAnsi="Arial"/>
          <w:sz w:val="15"/>
          <w:szCs w:val="15"/>
          <w:color w:val="auto"/>
        </w:rPr>
        <w:t>th</w:t>
      </w:r>
      <w:r>
        <w:rPr>
          <w:rFonts w:ascii="Arial" w:cs="Arial" w:eastAsia="Arial" w:hAnsi="Arial"/>
          <w:sz w:val="18"/>
          <w:szCs w:val="18"/>
          <w:color w:val="auto"/>
        </w:rPr>
        <w:t xml:space="preserve"> Floor Premises in “AS IS, WHERE IS, WITH ALL FAULTS” condition, and without any representations or warranties by Landlord to Tenant as to the condition of the 11</w:t>
      </w:r>
      <w:r>
        <w:rPr>
          <w:rFonts w:ascii="Arial" w:cs="Arial" w:eastAsia="Arial" w:hAnsi="Arial"/>
          <w:sz w:val="15"/>
          <w:szCs w:val="15"/>
          <w:color w:val="auto"/>
        </w:rPr>
        <w:t>th</w:t>
      </w:r>
      <w:r>
        <w:rPr>
          <w:rFonts w:ascii="Arial" w:cs="Arial" w:eastAsia="Arial" w:hAnsi="Arial"/>
          <w:sz w:val="18"/>
          <w:szCs w:val="18"/>
          <w:color w:val="auto"/>
        </w:rPr>
        <w:t xml:space="preserve"> Floor Premises, or the suitability thereof for Tenant’s use.</w:t>
      </w:r>
    </w:p>
    <w:p>
      <w:pPr>
        <w:spacing w:after="0" w:line="335" w:lineRule="exact"/>
        <w:rPr>
          <w:rFonts w:ascii="Arial" w:cs="Arial" w:eastAsia="Arial" w:hAnsi="Arial"/>
          <w:sz w:val="18"/>
          <w:szCs w:val="18"/>
          <w:color w:val="auto"/>
        </w:rPr>
      </w:pPr>
    </w:p>
    <w:p>
      <w:pPr>
        <w:ind w:left="424" w:hanging="424"/>
        <w:spacing w:after="0"/>
        <w:tabs>
          <w:tab w:leader="none" w:pos="424"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Tenant’s 11</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 Work; TI Allowance; Space Plan Allowance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180" w:hanging="54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Tenant’s 11</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 Work</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sets forth the obligations of Landlord and Tenant with respect to the initial improvements to be performed in the 11</w:t>
      </w:r>
      <w:r>
        <w:rPr>
          <w:rFonts w:ascii="Arial" w:cs="Arial" w:eastAsia="Arial" w:hAnsi="Arial"/>
          <w:sz w:val="15"/>
          <w:szCs w:val="15"/>
          <w:color w:val="auto"/>
        </w:rPr>
        <w:t>th</w:t>
      </w:r>
      <w:r>
        <w:rPr>
          <w:rFonts w:ascii="Arial" w:cs="Arial" w:eastAsia="Arial" w:hAnsi="Arial"/>
          <w:sz w:val="18"/>
          <w:szCs w:val="18"/>
          <w:color w:val="auto"/>
        </w:rPr>
        <w:t xml:space="preserve"> Floor Premises by Tenant (such improvements, “</w:t>
      </w:r>
      <w:r>
        <w:rPr>
          <w:rFonts w:ascii="Arial" w:cs="Arial" w:eastAsia="Arial" w:hAnsi="Arial"/>
          <w:sz w:val="18"/>
          <w:szCs w:val="18"/>
          <w:u w:val="single" w:color="auto"/>
          <w:color w:val="auto"/>
        </w:rPr>
        <w:t>Tenant’s 11</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 Work</w:t>
      </w:r>
      <w:r>
        <w:rPr>
          <w:rFonts w:ascii="Arial" w:cs="Arial" w:eastAsia="Arial" w:hAnsi="Arial"/>
          <w:sz w:val="18"/>
          <w:szCs w:val="18"/>
          <w:color w:val="auto"/>
        </w:rPr>
        <w:t>”). Tenant acknowledges and agrees that Tenant’s 11</w:t>
      </w:r>
      <w:r>
        <w:rPr>
          <w:rFonts w:ascii="Arial" w:cs="Arial" w:eastAsia="Arial" w:hAnsi="Arial"/>
          <w:sz w:val="15"/>
          <w:szCs w:val="15"/>
          <w:color w:val="auto"/>
        </w:rPr>
        <w:t>th</w:t>
      </w:r>
      <w:r>
        <w:rPr>
          <w:rFonts w:ascii="Arial" w:cs="Arial" w:eastAsia="Arial" w:hAnsi="Arial"/>
          <w:sz w:val="18"/>
          <w:szCs w:val="18"/>
          <w:color w:val="auto"/>
        </w:rPr>
        <w:t xml:space="preserve"> Floor Premises Work shall be done in accordance with all applicable laws, rules and regulations, and otherwise in accordance with the terms of the Lease, including without limitation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(Alterations, Additions and Improvements to the Premises) of the Original Lease.</w:t>
      </w:r>
    </w:p>
    <w:p>
      <w:pPr>
        <w:spacing w:after="0" w:line="336"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TI Allowance</w:t>
      </w:r>
      <w:r>
        <w:rPr>
          <w:rFonts w:ascii="Arial" w:cs="Arial" w:eastAsia="Arial" w:hAnsi="Arial"/>
          <w:sz w:val="17"/>
          <w:szCs w:val="17"/>
          <w:color w:val="auto"/>
        </w:rPr>
        <w:t>.</w:t>
      </w:r>
    </w:p>
    <w:p>
      <w:pPr>
        <w:spacing w:after="0" w:line="131" w:lineRule="exact"/>
        <w:rPr>
          <w:sz w:val="20"/>
          <w:szCs w:val="20"/>
          <w:color w:val="auto"/>
        </w:rPr>
      </w:pPr>
    </w:p>
    <w:p>
      <w:pPr>
        <w:ind w:left="1424" w:right="780" w:hanging="431"/>
        <w:spacing w:after="0" w:line="277"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Amount of TI Allowance</w:t>
      </w:r>
      <w:r>
        <w:rPr>
          <w:rFonts w:ascii="Arial" w:cs="Arial" w:eastAsia="Arial" w:hAnsi="Arial"/>
          <w:sz w:val="18"/>
          <w:szCs w:val="18"/>
          <w:color w:val="auto"/>
        </w:rPr>
        <w:t>. Subject to the terms and conditions set forth herein, Landlord shall provide Tenant with a tenant improvement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3" w:right="459" w:bottom="1440" w:gutter="0" w:footer="0" w:header="0"/>
        </w:sectPr>
      </w:pPr>
    </w:p>
    <w:bookmarkStart w:id="546" w:name="page547"/>
    <w:bookmarkEnd w:id="546"/>
    <w:p>
      <w:pPr>
        <w:ind w:left="420" w:right="4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allowance of up to $50.00 per rentable square foot of the 11</w:t>
      </w:r>
      <w:r>
        <w:rPr>
          <w:rFonts w:ascii="Arial" w:cs="Arial" w:eastAsia="Arial" w:hAnsi="Arial"/>
          <w:sz w:val="13"/>
          <w:szCs w:val="13"/>
          <w:color w:val="auto"/>
        </w:rPr>
        <w:t>th</w:t>
      </w:r>
      <w:r>
        <w:rPr>
          <w:rFonts w:ascii="Arial" w:cs="Arial" w:eastAsia="Arial" w:hAnsi="Arial"/>
          <w:sz w:val="16"/>
          <w:szCs w:val="16"/>
          <w:color w:val="auto"/>
        </w:rPr>
        <w:t xml:space="preserve"> Floor Premises (i.e., a maximum of $273,650.00 based on 5,473 rentable square feet) (“</w:t>
      </w:r>
      <w:r>
        <w:rPr>
          <w:rFonts w:ascii="Arial" w:cs="Arial" w:eastAsia="Arial" w:hAnsi="Arial"/>
          <w:sz w:val="16"/>
          <w:szCs w:val="16"/>
          <w:u w:val="single" w:color="auto"/>
          <w:color w:val="auto"/>
        </w:rPr>
        <w:t>TI Allowance</w:t>
      </w:r>
      <w:r>
        <w:rPr>
          <w:rFonts w:ascii="Arial" w:cs="Arial" w:eastAsia="Arial" w:hAnsi="Arial"/>
          <w:sz w:val="16"/>
          <w:szCs w:val="16"/>
          <w:color w:val="auto"/>
        </w:rPr>
        <w:t>”) to be used by Tenant toward the costs of performing Tenant’s 11</w:t>
      </w:r>
      <w:r>
        <w:rPr>
          <w:rFonts w:ascii="Arial" w:cs="Arial" w:eastAsia="Arial" w:hAnsi="Arial"/>
          <w:sz w:val="13"/>
          <w:szCs w:val="13"/>
          <w:color w:val="auto"/>
        </w:rPr>
        <w:t>th</w:t>
      </w:r>
      <w:r>
        <w:rPr>
          <w:rFonts w:ascii="Arial" w:cs="Arial" w:eastAsia="Arial" w:hAnsi="Arial"/>
          <w:sz w:val="16"/>
          <w:szCs w:val="16"/>
          <w:color w:val="auto"/>
        </w:rPr>
        <w:t xml:space="preserve"> Floor Premises Work.</w:t>
      </w:r>
    </w:p>
    <w:p>
      <w:pPr>
        <w:spacing w:after="0" w:line="29" w:lineRule="exact"/>
        <w:rPr>
          <w:sz w:val="20"/>
          <w:szCs w:val="20"/>
          <w:color w:val="auto"/>
        </w:rPr>
      </w:pPr>
    </w:p>
    <w:p>
      <w:pPr>
        <w:ind w:left="420" w:hanging="431"/>
        <w:spacing w:after="0" w:line="267"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Requisitions</w:t>
      </w:r>
      <w:r>
        <w:rPr>
          <w:rFonts w:ascii="Arial" w:cs="Arial" w:eastAsia="Arial" w:hAnsi="Arial"/>
          <w:sz w:val="17"/>
          <w:szCs w:val="17"/>
          <w:color w:val="auto"/>
        </w:rPr>
        <w:t>. The TI Allowance shall be payable by Landlord to Tenant in installments, as provided below, according to reasonable construction disbursement procedures and as Tenant’s 11</w:t>
      </w:r>
      <w:r>
        <w:rPr>
          <w:rFonts w:ascii="Arial" w:cs="Arial" w:eastAsia="Arial" w:hAnsi="Arial"/>
          <w:sz w:val="14"/>
          <w:szCs w:val="14"/>
          <w:color w:val="auto"/>
        </w:rPr>
        <w:t>th</w:t>
      </w:r>
      <w:r>
        <w:rPr>
          <w:rFonts w:ascii="Arial" w:cs="Arial" w:eastAsia="Arial" w:hAnsi="Arial"/>
          <w:sz w:val="17"/>
          <w:szCs w:val="17"/>
          <w:color w:val="auto"/>
        </w:rPr>
        <w:t xml:space="preserve"> Floor Premises Work progresses. In any case, prior to payment of any such installment, Tenant shall deliver to Landlord a written requisition (“</w:t>
      </w:r>
      <w:r>
        <w:rPr>
          <w:rFonts w:ascii="Arial" w:cs="Arial" w:eastAsia="Arial" w:hAnsi="Arial"/>
          <w:sz w:val="17"/>
          <w:szCs w:val="17"/>
          <w:u w:val="single" w:color="auto"/>
          <w:color w:val="auto"/>
        </w:rPr>
        <w:t>Requisition</w:t>
      </w:r>
      <w:r>
        <w:rPr>
          <w:rFonts w:ascii="Arial" w:cs="Arial" w:eastAsia="Arial" w:hAnsi="Arial"/>
          <w:sz w:val="17"/>
          <w:szCs w:val="17"/>
          <w:color w:val="auto"/>
        </w:rPr>
        <w:t>”), which Requisition shall be given no more frequently than once every thirty (30) days and which shall include, without limitation, (1) invoices from Tenant’s contractors, approved by Tenant, and such other documentation as Landlord may reasonably request, showing in reasonable detail the cost of the items in question or improvements installed in the 11</w:t>
      </w:r>
      <w:r>
        <w:rPr>
          <w:rFonts w:ascii="Arial" w:cs="Arial" w:eastAsia="Arial" w:hAnsi="Arial"/>
          <w:sz w:val="14"/>
          <w:szCs w:val="14"/>
          <w:color w:val="auto"/>
        </w:rPr>
        <w:t>th</w:t>
      </w:r>
      <w:r>
        <w:rPr>
          <w:rFonts w:ascii="Arial" w:cs="Arial" w:eastAsia="Arial" w:hAnsi="Arial"/>
          <w:sz w:val="17"/>
          <w:szCs w:val="17"/>
          <w:color w:val="auto"/>
        </w:rPr>
        <w:t xml:space="preserve"> Floor Premises for which reimbursement is requested, accompanied by certifications from Tenant’s contractors that the amount of the Requisition in question is true and correct and does not exceed the cost of the items or improvements covered by such Requisition; (2) copies of conditional partial lien waivers or conditional final lien waivers (in the case of a final installment), or such other form(s) as Landlord may reasonably require so that no mechanic’s or materialman’s liens shall attach to the 11</w:t>
      </w:r>
      <w:r>
        <w:rPr>
          <w:rFonts w:ascii="Arial" w:cs="Arial" w:eastAsia="Arial" w:hAnsi="Arial"/>
          <w:sz w:val="14"/>
          <w:szCs w:val="14"/>
          <w:color w:val="auto"/>
        </w:rPr>
        <w:t>th</w:t>
      </w:r>
      <w:r>
        <w:rPr>
          <w:rFonts w:ascii="Arial" w:cs="Arial" w:eastAsia="Arial" w:hAnsi="Arial"/>
          <w:sz w:val="17"/>
          <w:szCs w:val="17"/>
          <w:color w:val="auto"/>
        </w:rPr>
        <w:t xml:space="preserve"> Floor Premises or the Building as a result of Tenant’s 11</w:t>
      </w:r>
      <w:r>
        <w:rPr>
          <w:rFonts w:ascii="Arial" w:cs="Arial" w:eastAsia="Arial" w:hAnsi="Arial"/>
          <w:sz w:val="14"/>
          <w:szCs w:val="14"/>
          <w:color w:val="auto"/>
        </w:rPr>
        <w:t>th</w:t>
      </w:r>
      <w:r>
        <w:rPr>
          <w:rFonts w:ascii="Arial" w:cs="Arial" w:eastAsia="Arial" w:hAnsi="Arial"/>
          <w:sz w:val="17"/>
          <w:szCs w:val="17"/>
          <w:color w:val="auto"/>
        </w:rPr>
        <w:t xml:space="preserve"> Floor Premises Work or, if attached, evidence reasonably satisfactory to Landlord that they have been satisfied of record or that they are being contested in good faith by Tenant with Tenant posting any bond or indemnity as required under applicable Laws pending the resolution of such challenge (and unconditional final lien waivers will be provided to Landlord when Tenant’s contractors have been paid in full); (3) certification from Tenant’s architect that Tenant’s 11</w:t>
      </w:r>
      <w:r>
        <w:rPr>
          <w:rFonts w:ascii="Arial" w:cs="Arial" w:eastAsia="Arial" w:hAnsi="Arial"/>
          <w:sz w:val="14"/>
          <w:szCs w:val="14"/>
          <w:color w:val="auto"/>
        </w:rPr>
        <w:t>th</w:t>
      </w:r>
      <w:r>
        <w:rPr>
          <w:rFonts w:ascii="Arial" w:cs="Arial" w:eastAsia="Arial" w:hAnsi="Arial"/>
          <w:sz w:val="17"/>
          <w:szCs w:val="17"/>
          <w:color w:val="auto"/>
        </w:rPr>
        <w:t xml:space="preserve"> Floor Premises Work has been completed in accordance with the Tenant’s plans (in the case of a final installment); (4) “as built” plans for Tenant’s 11</w:t>
      </w:r>
      <w:r>
        <w:rPr>
          <w:rFonts w:ascii="Arial" w:cs="Arial" w:eastAsia="Arial" w:hAnsi="Arial"/>
          <w:sz w:val="14"/>
          <w:szCs w:val="14"/>
          <w:color w:val="auto"/>
        </w:rPr>
        <w:t>th</w:t>
      </w:r>
      <w:r>
        <w:rPr>
          <w:rFonts w:ascii="Arial" w:cs="Arial" w:eastAsia="Arial" w:hAnsi="Arial"/>
          <w:sz w:val="17"/>
          <w:szCs w:val="17"/>
          <w:color w:val="auto"/>
        </w:rPr>
        <w:t xml:space="preserve"> Floor Premises Work (in the case of a final installment); and (5) a “certificate of occupancy” and/or “occupancy permit”, or a “temporary certificate of occupancy” and/or “temporary occupancy permit” from the City of Boston (or the applicable governmental authority) for the 11</w:t>
      </w:r>
      <w:r>
        <w:rPr>
          <w:rFonts w:ascii="Arial" w:cs="Arial" w:eastAsia="Arial" w:hAnsi="Arial"/>
          <w:sz w:val="14"/>
          <w:szCs w:val="14"/>
          <w:color w:val="auto"/>
        </w:rPr>
        <w:t>th</w:t>
      </w:r>
      <w:r>
        <w:rPr>
          <w:rFonts w:ascii="Arial" w:cs="Arial" w:eastAsia="Arial" w:hAnsi="Arial"/>
          <w:sz w:val="17"/>
          <w:szCs w:val="17"/>
          <w:color w:val="auto"/>
        </w:rPr>
        <w:t xml:space="preserve"> Floor Premises with Tenant’s 11</w:t>
      </w:r>
      <w:r>
        <w:rPr>
          <w:rFonts w:ascii="Arial" w:cs="Arial" w:eastAsia="Arial" w:hAnsi="Arial"/>
          <w:sz w:val="14"/>
          <w:szCs w:val="14"/>
          <w:color w:val="auto"/>
        </w:rPr>
        <w:t>th</w:t>
      </w:r>
      <w:r>
        <w:rPr>
          <w:rFonts w:ascii="Arial" w:cs="Arial" w:eastAsia="Arial" w:hAnsi="Arial"/>
          <w:sz w:val="17"/>
          <w:szCs w:val="17"/>
          <w:color w:val="auto"/>
        </w:rPr>
        <w:t xml:space="preserve"> Floor Premises Work completed (in the case of a final installment); or (6) with respect to the “soft costs” of Tenant’s 11</w:t>
      </w:r>
      <w:r>
        <w:rPr>
          <w:rFonts w:ascii="Arial" w:cs="Arial" w:eastAsia="Arial" w:hAnsi="Arial"/>
          <w:sz w:val="14"/>
          <w:szCs w:val="14"/>
          <w:color w:val="auto"/>
        </w:rPr>
        <w:t>th</w:t>
      </w:r>
      <w:r>
        <w:rPr>
          <w:rFonts w:ascii="Arial" w:cs="Arial" w:eastAsia="Arial" w:hAnsi="Arial"/>
          <w:sz w:val="17"/>
          <w:szCs w:val="17"/>
          <w:color w:val="auto"/>
        </w:rPr>
        <w:t xml:space="preserve"> Floor Premises Work (as further described below), Tenant shall only be required to provide invoices showing in reasonable detail the cost of the items in question.</w:t>
      </w:r>
    </w:p>
    <w:p>
      <w:pPr>
        <w:spacing w:after="0" w:line="92" w:lineRule="exact"/>
        <w:rPr>
          <w:sz w:val="20"/>
          <w:szCs w:val="20"/>
          <w:color w:val="auto"/>
        </w:rPr>
      </w:pPr>
    </w:p>
    <w:p>
      <w:pPr>
        <w:ind w:left="420" w:right="100" w:hanging="431"/>
        <w:spacing w:after="0" w:line="263"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Provided that Tenant shall not be in an Event of Default at the time of any Requisition, Landlord shall pay each Requisition within thirty (30) days after receiving the materials enumerated in </w:t>
      </w:r>
      <w:r>
        <w:rPr>
          <w:rFonts w:ascii="Arial" w:cs="Arial" w:eastAsia="Arial" w:hAnsi="Arial"/>
          <w:sz w:val="18"/>
          <w:szCs w:val="18"/>
          <w:u w:val="single" w:color="auto"/>
          <w:color w:val="auto"/>
        </w:rPr>
        <w:t>Section 4.2.2</w:t>
      </w:r>
      <w:r>
        <w:rPr>
          <w:rFonts w:ascii="Arial" w:cs="Arial" w:eastAsia="Arial" w:hAnsi="Arial"/>
          <w:sz w:val="18"/>
          <w:szCs w:val="18"/>
          <w:color w:val="auto"/>
        </w:rPr>
        <w:t xml:space="preserve"> above. Landlord’s payment shall be the product of the percentage derived by</w:t>
      </w:r>
    </w:p>
    <w:p>
      <w:pPr>
        <w:spacing w:after="0" w:line="1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00"/>
          </w:cols>
          <w:pgMar w:left="1440" w:top="273" w:right="459" w:bottom="1440" w:gutter="0" w:footer="0" w:header="0"/>
        </w:sectPr>
      </w:pPr>
    </w:p>
    <w:bookmarkStart w:id="547" w:name="page548"/>
    <w:bookmarkEnd w:id="547"/>
    <w:p>
      <w:pPr>
        <w:ind w:left="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dividing the TI Allowance by the total contract price for Tenant’s 11</w:t>
      </w:r>
      <w:r>
        <w:rPr>
          <w:rFonts w:ascii="Arial" w:cs="Arial" w:eastAsia="Arial" w:hAnsi="Arial"/>
          <w:sz w:val="15"/>
          <w:szCs w:val="15"/>
          <w:color w:val="auto"/>
        </w:rPr>
        <w:t>th</w:t>
      </w:r>
      <w:r>
        <w:rPr>
          <w:rFonts w:ascii="Arial" w:cs="Arial" w:eastAsia="Arial" w:hAnsi="Arial"/>
          <w:sz w:val="18"/>
          <w:szCs w:val="18"/>
          <w:color w:val="auto"/>
        </w:rPr>
        <w:t xml:space="preserve"> Floor Premises Work, and multiplying such percentage by the amount on the applicable Requisition, less the construction management fee set forth below. All Requisitions shall incorporate a retainage equal to the greater of (I) the retainage set forth in the construction contract or (2) five percent (5%) of the amount due under the construction contract. Any retainage amounts withheld from any Requisitions shall be paid by Landlord to Tenant at the same time Landlord disburses payment for the final Requisition.</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Restrictions on TI Allowance</w:t>
      </w:r>
      <w:r>
        <w:rPr>
          <w:rFonts w:ascii="Arial" w:cs="Arial" w:eastAsia="Arial" w:hAnsi="Arial"/>
          <w:sz w:val="18"/>
          <w:szCs w:val="18"/>
          <w:color w:val="auto"/>
        </w:rPr>
        <w:t>. Notwithstanding anything to the contrary contained herein:</w:t>
      </w:r>
    </w:p>
    <w:p>
      <w:pPr>
        <w:spacing w:after="0" w:line="131" w:lineRule="exact"/>
        <w:rPr>
          <w:sz w:val="20"/>
          <w:szCs w:val="20"/>
          <w:color w:val="auto"/>
        </w:rPr>
      </w:pPr>
    </w:p>
    <w:p>
      <w:pPr>
        <w:ind w:left="980" w:right="240" w:hanging="533"/>
        <w:spacing w:after="0" w:line="257" w:lineRule="auto"/>
        <w:tabs>
          <w:tab w:leader="none" w:pos="9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Tenant shall submit each Requisition directly to Landlord. In the event Tenant has failed to provide proof of payment by Tenant to Tenant’s contractors (in the form of a cancelled check or other evidence reasonably satisfactory to Landlord) showing that the amount of the prior Requisition has been paid for in full, Landlord may at its option (a) refuse to pay the current Requisition until such time that Tenant provides proof of payment or (b) elect to pay the Requisition directly to Tenant’s contractors.</w:t>
      </w:r>
    </w:p>
    <w:p>
      <w:pPr>
        <w:spacing w:after="0" w:line="93" w:lineRule="exact"/>
        <w:rPr>
          <w:rFonts w:ascii="Arial" w:cs="Arial" w:eastAsia="Arial" w:hAnsi="Arial"/>
          <w:sz w:val="18"/>
          <w:szCs w:val="18"/>
          <w:color w:val="auto"/>
        </w:rPr>
      </w:pPr>
    </w:p>
    <w:p>
      <w:pPr>
        <w:ind w:left="980" w:hanging="533"/>
        <w:spacing w:after="0"/>
        <w:tabs>
          <w:tab w:leader="none" w:pos="98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In no event shall Tenant be entitled to apply any amount of the TI Allowance towards any fees paid to employees of Tenant.</w:t>
      </w:r>
    </w:p>
    <w:p>
      <w:pPr>
        <w:spacing w:after="0" w:line="153" w:lineRule="exact"/>
        <w:rPr>
          <w:rFonts w:ascii="Arial" w:cs="Arial" w:eastAsia="Arial" w:hAnsi="Arial"/>
          <w:sz w:val="16"/>
          <w:szCs w:val="16"/>
          <w:color w:val="auto"/>
        </w:rPr>
      </w:pPr>
    </w:p>
    <w:p>
      <w:pPr>
        <w:ind w:left="980" w:hanging="533"/>
        <w:spacing w:after="0" w:line="287" w:lineRule="auto"/>
        <w:tabs>
          <w:tab w:leader="none" w:pos="98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While Tenant shall be permitted to apply the TI Allowance towards the “soft costs” of Tenant’s 11</w:t>
      </w:r>
      <w:r>
        <w:rPr>
          <w:rFonts w:ascii="Arial" w:cs="Arial" w:eastAsia="Arial" w:hAnsi="Arial"/>
          <w:sz w:val="13"/>
          <w:szCs w:val="13"/>
          <w:color w:val="auto"/>
        </w:rPr>
        <w:t>th</w:t>
      </w:r>
      <w:r>
        <w:rPr>
          <w:rFonts w:ascii="Arial" w:cs="Arial" w:eastAsia="Arial" w:hAnsi="Arial"/>
          <w:sz w:val="16"/>
          <w:szCs w:val="16"/>
          <w:color w:val="auto"/>
        </w:rPr>
        <w:t xml:space="preserve"> Floor Premises Work, such as design fees, architectural fees, engineering fees, construction manager fees, supervisory fees and the like, in no event shall Tenant be entitled to apply any amount of the TI Allowance towards (a) Tenant’s furniture, fixtures and equipment,</w:t>
      </w:r>
    </w:p>
    <w:p>
      <w:pPr>
        <w:spacing w:after="0" w:line="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(b) Tenant’s moving costs, or (c) Tenant’s rental obligation hereunder.</w:t>
      </w:r>
    </w:p>
    <w:p>
      <w:pPr>
        <w:spacing w:after="0" w:line="116" w:lineRule="exact"/>
        <w:rPr>
          <w:rFonts w:ascii="Arial" w:cs="Arial" w:eastAsia="Arial" w:hAnsi="Arial"/>
          <w:sz w:val="16"/>
          <w:szCs w:val="16"/>
          <w:color w:val="auto"/>
        </w:rPr>
      </w:pPr>
    </w:p>
    <w:p>
      <w:pPr>
        <w:ind w:left="980" w:right="260" w:hanging="533"/>
        <w:spacing w:after="0" w:line="263" w:lineRule="auto"/>
        <w:tabs>
          <w:tab w:leader="none" w:pos="9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Landlord shall have no obligation to pay any Requisition received after the Outside Requisition Date. As used herein, the “</w:t>
      </w:r>
      <w:r>
        <w:rPr>
          <w:rFonts w:ascii="Arial" w:cs="Arial" w:eastAsia="Arial" w:hAnsi="Arial"/>
          <w:sz w:val="18"/>
          <w:szCs w:val="18"/>
          <w:u w:val="single" w:color="auto"/>
          <w:color w:val="auto"/>
        </w:rPr>
        <w:t>Outside Requisition Date</w:t>
      </w:r>
      <w:r>
        <w:rPr>
          <w:rFonts w:ascii="Arial" w:cs="Arial" w:eastAsia="Arial" w:hAnsi="Arial"/>
          <w:sz w:val="18"/>
          <w:szCs w:val="18"/>
          <w:color w:val="auto"/>
        </w:rPr>
        <w:t>” shall mean the date which is the ten (10) month anniversary of the 11</w:t>
      </w:r>
      <w:r>
        <w:rPr>
          <w:rFonts w:ascii="Arial" w:cs="Arial" w:eastAsia="Arial" w:hAnsi="Arial"/>
          <w:sz w:val="15"/>
          <w:szCs w:val="15"/>
          <w:color w:val="auto"/>
        </w:rPr>
        <w:t>th</w:t>
      </w:r>
      <w:r>
        <w:rPr>
          <w:rFonts w:ascii="Arial" w:cs="Arial" w:eastAsia="Arial" w:hAnsi="Arial"/>
          <w:sz w:val="18"/>
          <w:szCs w:val="18"/>
          <w:color w:val="auto"/>
        </w:rPr>
        <w:t xml:space="preserve"> Floor Premises Commencement Date.</w:t>
      </w:r>
    </w:p>
    <w:p>
      <w:pPr>
        <w:spacing w:after="0" w:line="89" w:lineRule="exact"/>
        <w:rPr>
          <w:rFonts w:ascii="Arial" w:cs="Arial" w:eastAsia="Arial" w:hAnsi="Arial"/>
          <w:sz w:val="18"/>
          <w:szCs w:val="18"/>
          <w:color w:val="auto"/>
        </w:rPr>
      </w:pPr>
    </w:p>
    <w:p>
      <w:pPr>
        <w:ind w:left="980" w:right="80" w:hanging="533"/>
        <w:spacing w:after="0" w:line="257" w:lineRule="auto"/>
        <w:tabs>
          <w:tab w:leader="none" w:pos="9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Tenant acknowledges and agrees that, prior to payment of any installment hereunder, Landlord shall have the right to examine and inspect Tenant’s 11</w:t>
      </w:r>
      <w:r>
        <w:rPr>
          <w:rFonts w:ascii="Arial" w:cs="Arial" w:eastAsia="Arial" w:hAnsi="Arial"/>
          <w:sz w:val="15"/>
          <w:szCs w:val="15"/>
          <w:color w:val="auto"/>
        </w:rPr>
        <w:t>th</w:t>
      </w:r>
      <w:r>
        <w:rPr>
          <w:rFonts w:ascii="Arial" w:cs="Arial" w:eastAsia="Arial" w:hAnsi="Arial"/>
          <w:sz w:val="18"/>
          <w:szCs w:val="18"/>
          <w:color w:val="auto"/>
        </w:rPr>
        <w:t xml:space="preserve"> Floor Premises Work to confirm that the improvements reflected on the Requisition have been performed in accordance with the terms, covenants and conditions of this Lease; provided, however, that no such examination or inspection shall constitute an approval or warranty or give rise to any liability of Landlord with respect thereto.</w:t>
      </w:r>
    </w:p>
    <w:p>
      <w:pPr>
        <w:spacing w:after="0" w:line="1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980"/>
          </w:cols>
          <w:pgMar w:left="1420" w:top="273" w:right="499" w:bottom="1440" w:gutter="0" w:footer="0" w:header="0"/>
        </w:sectPr>
      </w:pPr>
    </w:p>
    <w:bookmarkStart w:id="548" w:name="page549"/>
    <w:bookmarkEnd w:id="548"/>
    <w:p>
      <w:pPr>
        <w:ind w:left="424"/>
        <w:spacing w:after="0"/>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4.3</w:t>
      </w:r>
      <w:r>
        <w:rPr>
          <w:sz w:val="20"/>
          <w:szCs w:val="20"/>
          <w:color w:val="auto"/>
        </w:rPr>
        <w:tab/>
      </w:r>
      <w:r>
        <w:rPr>
          <w:rFonts w:ascii="Arial" w:cs="Arial" w:eastAsia="Arial" w:hAnsi="Arial"/>
          <w:sz w:val="16"/>
          <w:szCs w:val="16"/>
          <w:u w:val="single" w:color="auto"/>
          <w:color w:val="auto"/>
        </w:rPr>
        <w:t>Additional Covenants</w:t>
      </w:r>
      <w:r>
        <w:rPr>
          <w:rFonts w:ascii="Arial" w:cs="Arial" w:eastAsia="Arial" w:hAnsi="Arial"/>
          <w:sz w:val="16"/>
          <w:szCs w:val="16"/>
          <w:color w:val="auto"/>
        </w:rPr>
        <w:t>. In addition, the following additional covenants shall apply to Tenant’s 11</w:t>
      </w:r>
      <w:r>
        <w:rPr>
          <w:rFonts w:ascii="Arial" w:cs="Arial" w:eastAsia="Arial" w:hAnsi="Arial"/>
          <w:sz w:val="13"/>
          <w:szCs w:val="13"/>
          <w:color w:val="auto"/>
        </w:rPr>
        <w:t>th</w:t>
      </w:r>
      <w:r>
        <w:rPr>
          <w:rFonts w:ascii="Arial" w:cs="Arial" w:eastAsia="Arial" w:hAnsi="Arial"/>
          <w:sz w:val="16"/>
          <w:szCs w:val="16"/>
          <w:u w:val="single" w:color="auto"/>
          <w:color w:val="auto"/>
        </w:rPr>
        <w:t xml:space="preserve"> </w:t>
      </w:r>
      <w:r>
        <w:rPr>
          <w:rFonts w:ascii="Arial" w:cs="Arial" w:eastAsia="Arial" w:hAnsi="Arial"/>
          <w:sz w:val="16"/>
          <w:szCs w:val="16"/>
          <w:color w:val="auto"/>
        </w:rPr>
        <w:t>Floor Premises Work:</w:t>
      </w:r>
    </w:p>
    <w:p>
      <w:pPr>
        <w:spacing w:after="0" w:line="131" w:lineRule="exact"/>
        <w:rPr>
          <w:sz w:val="20"/>
          <w:szCs w:val="20"/>
          <w:color w:val="auto"/>
        </w:rPr>
      </w:pPr>
    </w:p>
    <w:p>
      <w:pPr>
        <w:ind w:left="1424" w:right="20" w:hanging="439"/>
        <w:spacing w:after="0" w:line="271" w:lineRule="auto"/>
        <w:tabs>
          <w:tab w:leader="none" w:pos="1424" w:val="left"/>
        </w:tabs>
        <w:numPr>
          <w:ilvl w:val="0"/>
          <w:numId w:val="401"/>
        </w:numPr>
        <w:rPr>
          <w:rFonts w:ascii="Arial" w:cs="Arial" w:eastAsia="Arial" w:hAnsi="Arial"/>
          <w:sz w:val="17"/>
          <w:szCs w:val="17"/>
          <w:color w:val="auto"/>
        </w:rPr>
      </w:pPr>
      <w:r>
        <w:rPr>
          <w:rFonts w:ascii="Arial" w:cs="Arial" w:eastAsia="Arial" w:hAnsi="Arial"/>
          <w:sz w:val="17"/>
          <w:szCs w:val="17"/>
          <w:color w:val="auto"/>
        </w:rPr>
        <w:t>In consideration of Landlord’s costs associated with the review and supervision of Tenant’s 11</w:t>
      </w:r>
      <w:r>
        <w:rPr>
          <w:rFonts w:ascii="Arial" w:cs="Arial" w:eastAsia="Arial" w:hAnsi="Arial"/>
          <w:sz w:val="14"/>
          <w:szCs w:val="14"/>
          <w:color w:val="auto"/>
        </w:rPr>
        <w:t>th</w:t>
      </w:r>
      <w:r>
        <w:rPr>
          <w:rFonts w:ascii="Arial" w:cs="Arial" w:eastAsia="Arial" w:hAnsi="Arial"/>
          <w:sz w:val="17"/>
          <w:szCs w:val="17"/>
          <w:color w:val="auto"/>
        </w:rPr>
        <w:t xml:space="preserve"> Floor Premises Work, Tenant shall pay to Landlord either (a) a construction management fee equal to five percent (5%) of the total contract price of Tenant’s 11</w:t>
      </w:r>
      <w:r>
        <w:rPr>
          <w:rFonts w:ascii="Arial" w:cs="Arial" w:eastAsia="Arial" w:hAnsi="Arial"/>
          <w:sz w:val="14"/>
          <w:szCs w:val="14"/>
          <w:color w:val="auto"/>
        </w:rPr>
        <w:t>th</w:t>
      </w:r>
      <w:r>
        <w:rPr>
          <w:rFonts w:ascii="Arial" w:cs="Arial" w:eastAsia="Arial" w:hAnsi="Arial"/>
          <w:sz w:val="17"/>
          <w:szCs w:val="17"/>
          <w:color w:val="auto"/>
        </w:rPr>
        <w:t xml:space="preserve"> Floor Premises Work (if Tenant hires Landlord as its project manager), or (b) a construction management fee equal to two and one-half percent (2.5%) of the total contract price of Tenant’s 11</w:t>
      </w:r>
      <w:r>
        <w:rPr>
          <w:rFonts w:ascii="Arial" w:cs="Arial" w:eastAsia="Arial" w:hAnsi="Arial"/>
          <w:sz w:val="14"/>
          <w:szCs w:val="14"/>
          <w:color w:val="auto"/>
        </w:rPr>
        <w:t>th</w:t>
      </w:r>
      <w:r>
        <w:rPr>
          <w:rFonts w:ascii="Arial" w:cs="Arial" w:eastAsia="Arial" w:hAnsi="Arial"/>
          <w:sz w:val="17"/>
          <w:szCs w:val="17"/>
          <w:color w:val="auto"/>
        </w:rPr>
        <w:t xml:space="preserve"> Floor Premises Work (if Tenant hires a third party as its project manager), and in either case such construction management fee shall be deducted from the Tl Allowance. In addition, Tenant agrees to reimburse Landlord for any third-party out-of-pocket expenses reasonably incurred by Landlord in connection with Landlord’s review of Tenant’s plans for Tenant’s 11</w:t>
      </w:r>
      <w:r>
        <w:rPr>
          <w:rFonts w:ascii="Arial" w:cs="Arial" w:eastAsia="Arial" w:hAnsi="Arial"/>
          <w:sz w:val="14"/>
          <w:szCs w:val="14"/>
          <w:color w:val="auto"/>
        </w:rPr>
        <w:t>th</w:t>
      </w:r>
      <w:r>
        <w:rPr>
          <w:rFonts w:ascii="Arial" w:cs="Arial" w:eastAsia="Arial" w:hAnsi="Arial"/>
          <w:sz w:val="17"/>
          <w:szCs w:val="17"/>
          <w:color w:val="auto"/>
        </w:rPr>
        <w:t xml:space="preserve"> Floor Premises Work and Landlord’s supervision of Tenant’s 11</w:t>
      </w:r>
      <w:r>
        <w:rPr>
          <w:rFonts w:ascii="Arial" w:cs="Arial" w:eastAsia="Arial" w:hAnsi="Arial"/>
          <w:sz w:val="14"/>
          <w:szCs w:val="14"/>
          <w:color w:val="auto"/>
        </w:rPr>
        <w:t>th</w:t>
      </w:r>
      <w:r>
        <w:rPr>
          <w:rFonts w:ascii="Arial" w:cs="Arial" w:eastAsia="Arial" w:hAnsi="Arial"/>
          <w:sz w:val="17"/>
          <w:szCs w:val="17"/>
          <w:color w:val="auto"/>
        </w:rPr>
        <w:t xml:space="preserve"> Floor Premises Work within thirty (30) days after receipt of Landlord’s invoice therefor.</w:t>
      </w:r>
    </w:p>
    <w:p>
      <w:pPr>
        <w:spacing w:after="0" w:line="84" w:lineRule="exact"/>
        <w:rPr>
          <w:sz w:val="20"/>
          <w:szCs w:val="20"/>
          <w:color w:val="auto"/>
        </w:rPr>
      </w:pPr>
    </w:p>
    <w:p>
      <w:pPr>
        <w:jc w:val="both"/>
        <w:ind w:left="964" w:right="60" w:hanging="539"/>
        <w:spacing w:after="0" w:line="263" w:lineRule="auto"/>
        <w:tabs>
          <w:tab w:leader="none" w:pos="94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u w:val="single" w:color="auto"/>
          <w:color w:val="auto"/>
        </w:rPr>
        <w:t>Notices Relating to Tenant’s 11</w:t>
      </w:r>
      <w:r>
        <w:rPr>
          <w:rFonts w:ascii="Arial" w:cs="Arial" w:eastAsia="Arial" w:hAnsi="Arial"/>
          <w:sz w:val="15"/>
          <w:szCs w:val="15"/>
          <w:u w:val="single" w:color="auto"/>
          <w:color w:val="auto"/>
        </w:rPr>
        <w:t>th</w:t>
      </w:r>
      <w:r>
        <w:rPr>
          <w:rFonts w:ascii="Arial" w:cs="Arial" w:eastAsia="Arial" w:hAnsi="Arial"/>
          <w:sz w:val="18"/>
          <w:szCs w:val="18"/>
          <w:u w:val="single" w:color="auto"/>
          <w:color w:val="auto"/>
        </w:rPr>
        <w:t xml:space="preserve"> Floor Premises Work</w:t>
      </w:r>
      <w:r>
        <w:rPr>
          <w:rFonts w:ascii="Arial" w:cs="Arial" w:eastAsia="Arial" w:hAnsi="Arial"/>
          <w:sz w:val="18"/>
          <w:szCs w:val="18"/>
          <w:color w:val="auto"/>
        </w:rPr>
        <w:t>. Notwithstanding the notice provisions contained in the Lease, as amended hereby,</w:t>
      </w:r>
      <w:r>
        <w:rPr>
          <w:rFonts w:ascii="Arial" w:cs="Arial" w:eastAsia="Arial" w:hAnsi="Arial"/>
          <w:sz w:val="18"/>
          <w:szCs w:val="18"/>
          <w:u w:val="single" w:color="auto"/>
          <w:color w:val="auto"/>
        </w:rPr>
        <w:t xml:space="preserve"> </w:t>
      </w:r>
      <w:r>
        <w:rPr>
          <w:rFonts w:ascii="Arial" w:cs="Arial" w:eastAsia="Arial" w:hAnsi="Arial"/>
          <w:sz w:val="18"/>
          <w:szCs w:val="18"/>
          <w:color w:val="auto"/>
        </w:rPr>
        <w:t>Landlord and Tenant acknowledge and agree that any written notices relating to Tenant’s 11</w:t>
      </w:r>
      <w:r>
        <w:rPr>
          <w:rFonts w:ascii="Arial" w:cs="Arial" w:eastAsia="Arial" w:hAnsi="Arial"/>
          <w:sz w:val="15"/>
          <w:szCs w:val="15"/>
          <w:color w:val="auto"/>
        </w:rPr>
        <w:t>th</w:t>
      </w:r>
      <w:r>
        <w:rPr>
          <w:rFonts w:ascii="Arial" w:cs="Arial" w:eastAsia="Arial" w:hAnsi="Arial"/>
          <w:sz w:val="18"/>
          <w:szCs w:val="18"/>
          <w:color w:val="auto"/>
        </w:rPr>
        <w:t xml:space="preserve"> Floor Premises Work may be sent via email as follows:</w:t>
      </w:r>
    </w:p>
    <w:p>
      <w:pPr>
        <w:spacing w:after="0" w:line="76"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If to Landlord, then to Landlord’s construction representative: Kevin Kiley, </w:t>
      </w:r>
      <w:r>
        <w:rPr>
          <w:rFonts w:ascii="Arial" w:cs="Arial" w:eastAsia="Arial" w:hAnsi="Arial"/>
          <w:sz w:val="18"/>
          <w:szCs w:val="18"/>
          <w:u w:val="single" w:color="auto"/>
          <w:color w:val="auto"/>
        </w:rPr>
        <w:t>kkiley@synergy-inv.com</w:t>
      </w: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If to Tenant, then to Tenant’s construction representative: Mike Ellis, </w:t>
      </w:r>
      <w:r>
        <w:rPr>
          <w:rFonts w:ascii="Arial" w:cs="Arial" w:eastAsia="Arial" w:hAnsi="Arial"/>
          <w:sz w:val="18"/>
          <w:szCs w:val="18"/>
          <w:u w:val="single" w:color="auto"/>
          <w:color w:val="auto"/>
        </w:rPr>
        <w:t>mellis@flywire.com</w:t>
      </w:r>
      <w:r>
        <w:rPr>
          <w:rFonts w:ascii="Arial" w:cs="Arial" w:eastAsia="Arial" w:hAnsi="Arial"/>
          <w:sz w:val="18"/>
          <w:szCs w:val="18"/>
          <w:color w:val="auto"/>
        </w:rPr>
        <w:t>.</w:t>
      </w:r>
    </w:p>
    <w:p>
      <w:pPr>
        <w:spacing w:after="0" w:line="131" w:lineRule="exact"/>
        <w:rPr>
          <w:sz w:val="20"/>
          <w:szCs w:val="20"/>
          <w:color w:val="auto"/>
        </w:rPr>
      </w:pPr>
    </w:p>
    <w:p>
      <w:pPr>
        <w:ind w:left="964" w:hanging="539"/>
        <w:spacing w:after="0" w:line="255" w:lineRule="auto"/>
        <w:tabs>
          <w:tab w:leader="none" w:pos="944"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u w:val="single" w:color="auto"/>
          <w:color w:val="auto"/>
        </w:rPr>
        <w:t>Space Plan Allowance</w:t>
      </w:r>
      <w:r>
        <w:rPr>
          <w:rFonts w:ascii="Arial" w:cs="Arial" w:eastAsia="Arial" w:hAnsi="Arial"/>
          <w:sz w:val="18"/>
          <w:szCs w:val="18"/>
          <w:color w:val="auto"/>
        </w:rPr>
        <w:t>. In addition to the Tl Allowance, and provided that Tenant shall not be in an Event of Default at the time of 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requisition therefor, Landlord shall provide Tenant with a space plan allowance of up to $0.10 per rentable square foot of the 11</w:t>
      </w:r>
      <w:r>
        <w:rPr>
          <w:rFonts w:ascii="Arial" w:cs="Arial" w:eastAsia="Arial" w:hAnsi="Arial"/>
          <w:sz w:val="15"/>
          <w:szCs w:val="15"/>
          <w:color w:val="auto"/>
        </w:rPr>
        <w:t>th</w:t>
      </w:r>
      <w:r>
        <w:rPr>
          <w:rFonts w:ascii="Arial" w:cs="Arial" w:eastAsia="Arial" w:hAnsi="Arial"/>
          <w:sz w:val="18"/>
          <w:szCs w:val="18"/>
          <w:color w:val="auto"/>
        </w:rPr>
        <w:t xml:space="preserve"> Floor Premises (i.e., a maximum of $547.30 based on 5,473 rentable square feet) (“</w:t>
      </w:r>
      <w:r>
        <w:rPr>
          <w:rFonts w:ascii="Arial" w:cs="Arial" w:eastAsia="Arial" w:hAnsi="Arial"/>
          <w:sz w:val="18"/>
          <w:szCs w:val="18"/>
          <w:u w:val="single" w:color="auto"/>
          <w:color w:val="auto"/>
        </w:rPr>
        <w:t>Space Plan Allowance</w:t>
      </w:r>
      <w:r>
        <w:rPr>
          <w:rFonts w:ascii="Arial" w:cs="Arial" w:eastAsia="Arial" w:hAnsi="Arial"/>
          <w:sz w:val="18"/>
          <w:szCs w:val="18"/>
          <w:color w:val="auto"/>
        </w:rPr>
        <w:t>”) to reimburse Tenant for the design fees incurred by Tenant in connection with Tenant’s 11</w:t>
      </w:r>
      <w:r>
        <w:rPr>
          <w:rFonts w:ascii="Arial" w:cs="Arial" w:eastAsia="Arial" w:hAnsi="Arial"/>
          <w:sz w:val="15"/>
          <w:szCs w:val="15"/>
          <w:color w:val="auto"/>
        </w:rPr>
        <w:t>th</w:t>
      </w:r>
      <w:r>
        <w:rPr>
          <w:rFonts w:ascii="Arial" w:cs="Arial" w:eastAsia="Arial" w:hAnsi="Arial"/>
          <w:sz w:val="18"/>
          <w:szCs w:val="18"/>
          <w:color w:val="auto"/>
        </w:rPr>
        <w:t xml:space="preserve"> Floor Premises Work. The Space Plan Allowance shall be payable by Landlord to Tenant within thirty (30) days after Tenant’s written request therefor, which written request shall include Tenant’s invoices for said design fees.</w:t>
      </w:r>
    </w:p>
    <w:p>
      <w:pPr>
        <w:spacing w:after="0" w:line="98" w:lineRule="exact"/>
        <w:rPr>
          <w:sz w:val="20"/>
          <w:szCs w:val="20"/>
          <w:color w:val="auto"/>
        </w:rPr>
      </w:pPr>
    </w:p>
    <w:p>
      <w:pPr>
        <w:ind w:left="424" w:right="520" w:hanging="424"/>
        <w:spacing w:after="0" w:line="277" w:lineRule="auto"/>
        <w:tabs>
          <w:tab w:leader="none" w:pos="424"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Base Rent for 11</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w:t>
      </w:r>
      <w:r>
        <w:rPr>
          <w:rFonts w:ascii="Arial" w:cs="Arial" w:eastAsia="Arial" w:hAnsi="Arial"/>
          <w:sz w:val="18"/>
          <w:szCs w:val="18"/>
          <w:color w:val="auto"/>
        </w:rPr>
        <w:t>. Starting on the 11</w:t>
      </w:r>
      <w:r>
        <w:rPr>
          <w:rFonts w:ascii="Arial" w:cs="Arial" w:eastAsia="Arial" w:hAnsi="Arial"/>
          <w:sz w:val="15"/>
          <w:szCs w:val="15"/>
          <w:color w:val="auto"/>
        </w:rPr>
        <w:t>th</w:t>
      </w:r>
      <w:r>
        <w:rPr>
          <w:rFonts w:ascii="Arial" w:cs="Arial" w:eastAsia="Arial" w:hAnsi="Arial"/>
          <w:sz w:val="18"/>
          <w:szCs w:val="18"/>
          <w:color w:val="auto"/>
        </w:rPr>
        <w:t xml:space="preserve"> Floor Premises Commencement Date, Tenant shall pay Base Rent for the 11</w:t>
      </w:r>
      <w:r>
        <w:rPr>
          <w:rFonts w:ascii="Arial" w:cs="Arial" w:eastAsia="Arial" w:hAnsi="Arial"/>
          <w:sz w:val="15"/>
          <w:szCs w:val="15"/>
          <w:color w:val="auto"/>
        </w:rPr>
        <w:t>th</w:t>
      </w:r>
      <w:r>
        <w:rPr>
          <w:rFonts w:ascii="Arial" w:cs="Arial" w:eastAsia="Arial" w:hAnsi="Arial"/>
          <w:sz w:val="18"/>
          <w:szCs w:val="18"/>
          <w:color w:val="auto"/>
        </w:rPr>
        <w:t xml:space="preserve"> Floor Premises as set forth in the table below and otherwise in accordance with the terms of the Lease.</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3" w:right="499" w:bottom="1440" w:gutter="0" w:footer="0" w:header="0"/>
        </w:sectPr>
      </w:pPr>
    </w:p>
    <w:bookmarkStart w:id="549" w:name="page550"/>
    <w:bookmarkEnd w:id="549"/>
    <w:tbl>
      <w:tblPr>
        <w:tblLayout w:type="fixed"/>
        <w:tblInd w:w="884"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color w:val="auto"/>
                <w:w w:val="88"/>
              </w:rPr>
              <w:t>Period</w:t>
            </w:r>
          </w:p>
        </w:tc>
        <w:tc>
          <w:tcPr>
            <w:tcW w:w="450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33"/>
              <w:spacing w:after="0"/>
              <w:rPr>
                <w:sz w:val="20"/>
                <w:szCs w:val="20"/>
                <w:color w:val="auto"/>
              </w:rPr>
            </w:pPr>
            <w:r>
              <w:rPr>
                <w:rFonts w:ascii="Arial" w:cs="Arial" w:eastAsia="Arial" w:hAnsi="Arial"/>
                <w:sz w:val="14"/>
                <w:szCs w:val="14"/>
                <w:color w:val="auto"/>
                <w:w w:val="92"/>
              </w:rPr>
              <w:t>Base Annual Rent</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0" w:type="dxa"/>
            <w:vAlign w:val="bottom"/>
            <w:tcBorders>
              <w:bottom w:val="single" w:sz="8" w:color="auto"/>
            </w:tcBorders>
            <w:vMerge w:val="continue"/>
          </w:tcPr>
          <w:p>
            <w:pPr>
              <w:spacing w:after="0"/>
              <w:rPr>
                <w:sz w:val="15"/>
                <w:szCs w:val="15"/>
                <w:color w:val="auto"/>
              </w:rPr>
            </w:pPr>
          </w:p>
        </w:tc>
        <w:tc>
          <w:tcPr>
            <w:tcW w:w="4500" w:type="dxa"/>
            <w:vAlign w:val="bottom"/>
            <w:vMerge w:val="continue"/>
          </w:tcPr>
          <w:p>
            <w:pPr>
              <w:spacing w:after="0"/>
              <w:rPr>
                <w:sz w:val="15"/>
                <w:szCs w:val="15"/>
                <w:color w:val="auto"/>
              </w:rPr>
            </w:pPr>
          </w:p>
        </w:tc>
        <w:tc>
          <w:tcPr>
            <w:tcW w:w="1620" w:type="dxa"/>
            <w:vAlign w:val="bottom"/>
            <w:gridSpan w:val="3"/>
          </w:tcPr>
          <w:p>
            <w:pPr>
              <w:ind w:left="340"/>
              <w:spacing w:after="0" w:line="154" w:lineRule="exact"/>
              <w:rPr>
                <w:sz w:val="20"/>
                <w:szCs w:val="20"/>
                <w:color w:val="auto"/>
              </w:rPr>
            </w:pPr>
            <w:r>
              <w:rPr>
                <w:rFonts w:ascii="Arial" w:cs="Arial" w:eastAsia="Arial" w:hAnsi="Arial"/>
                <w:sz w:val="14"/>
                <w:szCs w:val="14"/>
                <w:color w:val="auto"/>
                <w:w w:val="91"/>
              </w:rPr>
              <w:t>(Based on 12 months)</w:t>
            </w:r>
          </w:p>
        </w:tc>
        <w:tc>
          <w:tcPr>
            <w:tcW w:w="1660" w:type="dxa"/>
            <w:vAlign w:val="bottom"/>
            <w:gridSpan w:val="3"/>
          </w:tcPr>
          <w:p>
            <w:pPr>
              <w:ind w:left="540"/>
              <w:spacing w:after="0" w:line="154" w:lineRule="exact"/>
              <w:rPr>
                <w:sz w:val="20"/>
                <w:szCs w:val="20"/>
                <w:color w:val="auto"/>
              </w:rPr>
            </w:pPr>
            <w:r>
              <w:rPr>
                <w:rFonts w:ascii="Arial" w:cs="Arial" w:eastAsia="Arial" w:hAnsi="Arial"/>
                <w:sz w:val="14"/>
                <w:szCs w:val="14"/>
                <w:color w:val="auto"/>
                <w:w w:val="92"/>
              </w:rPr>
              <w:t>Base Monthly Rent</w:t>
            </w:r>
          </w:p>
        </w:tc>
        <w:tc>
          <w:tcPr>
            <w:tcW w:w="540" w:type="dxa"/>
            <w:vAlign w:val="bottom"/>
          </w:tcPr>
          <w:p>
            <w:pPr>
              <w:spacing w:after="0"/>
              <w:rPr>
                <w:sz w:val="15"/>
                <w:szCs w:val="15"/>
                <w:color w:val="auto"/>
              </w:rPr>
            </w:pPr>
          </w:p>
        </w:tc>
        <w:tc>
          <w:tcPr>
            <w:tcW w:w="560" w:type="dxa"/>
            <w:vAlign w:val="bottom"/>
            <w:gridSpan w:val="2"/>
          </w:tcPr>
          <w:p>
            <w:pPr>
              <w:spacing w:after="0" w:line="154" w:lineRule="exact"/>
              <w:rPr>
                <w:sz w:val="20"/>
                <w:szCs w:val="20"/>
                <w:color w:val="auto"/>
              </w:rPr>
            </w:pPr>
            <w:r>
              <w:rPr>
                <w:rFonts w:ascii="Arial" w:cs="Arial" w:eastAsia="Arial" w:hAnsi="Arial"/>
                <w:sz w:val="14"/>
                <w:szCs w:val="14"/>
                <w:color w:val="auto"/>
              </w:rPr>
              <w:t>Per RSF</w:t>
            </w:r>
          </w:p>
        </w:tc>
        <w:tc>
          <w:tcPr>
            <w:tcW w:w="0" w:type="dxa"/>
            <w:vAlign w:val="bottom"/>
          </w:tcPr>
          <w:p>
            <w:pPr>
              <w:spacing w:after="0"/>
              <w:rPr>
                <w:sz w:val="1"/>
                <w:szCs w:val="1"/>
                <w:color w:val="auto"/>
              </w:rPr>
            </w:pPr>
          </w:p>
        </w:tc>
      </w:tr>
      <w:tr>
        <w:trPr>
          <w:trHeight w:val="175"/>
        </w:trPr>
        <w:tc>
          <w:tcPr>
            <w:tcW w:w="48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7"/>
              </w:rPr>
              <w:t>11</w:t>
            </w:r>
            <w:r>
              <w:rPr>
                <w:rFonts w:ascii="Arial" w:cs="Arial" w:eastAsia="Arial" w:hAnsi="Arial"/>
                <w:sz w:val="15"/>
                <w:szCs w:val="15"/>
                <w:color w:val="auto"/>
                <w:w w:val="97"/>
              </w:rPr>
              <w:t>th</w:t>
            </w:r>
            <w:r>
              <w:rPr>
                <w:rFonts w:ascii="Arial" w:cs="Arial" w:eastAsia="Arial" w:hAnsi="Arial"/>
                <w:sz w:val="18"/>
                <w:szCs w:val="18"/>
                <w:color w:val="auto"/>
                <w:w w:val="97"/>
              </w:rPr>
              <w:t xml:space="preserve"> Floor Premises Commencement Date – the last day of the</w:t>
            </w: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16</w:t>
            </w:r>
            <w:r>
              <w:rPr>
                <w:rFonts w:ascii="Arial" w:cs="Arial" w:eastAsia="Arial" w:hAnsi="Arial"/>
                <w:sz w:val="15"/>
                <w:szCs w:val="15"/>
                <w:color w:val="auto"/>
              </w:rPr>
              <w:t>th</w:t>
            </w:r>
            <w:r>
              <w:rPr>
                <w:rFonts w:ascii="Arial" w:cs="Arial" w:eastAsia="Arial" w:hAnsi="Arial"/>
                <w:sz w:val="18"/>
                <w:szCs w:val="18"/>
                <w:color w:val="auto"/>
              </w:rPr>
              <w:t xml:space="preserve"> full month thereafter</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311,961.00</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25,996.75</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7"/>
              </w:rPr>
              <w:t>$57.00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80" w:type="dxa"/>
            <w:vAlign w:val="bottom"/>
            <w:gridSpan w:val="2"/>
          </w:tcPr>
          <w:p>
            <w:pPr>
              <w:spacing w:after="0" w:line="201" w:lineRule="exact"/>
              <w:rPr>
                <w:sz w:val="20"/>
                <w:szCs w:val="20"/>
                <w:color w:val="auto"/>
              </w:rPr>
            </w:pPr>
            <w:r>
              <w:rPr>
                <w:rFonts w:ascii="Arial" w:cs="Arial" w:eastAsia="Arial" w:hAnsi="Arial"/>
                <w:sz w:val="18"/>
                <w:szCs w:val="18"/>
                <w:color w:val="auto"/>
                <w:w w:val="98"/>
              </w:rPr>
              <w:t>Month 17 (which shall commence on the first day of the month</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following the last day of such 16</w:t>
            </w:r>
            <w:r>
              <w:rPr>
                <w:rFonts w:ascii="Arial" w:cs="Arial" w:eastAsia="Arial" w:hAnsi="Arial"/>
                <w:sz w:val="15"/>
                <w:szCs w:val="15"/>
                <w:color w:val="auto"/>
              </w:rPr>
              <w:t>th</w:t>
            </w:r>
            <w:r>
              <w:rPr>
                <w:rFonts w:ascii="Arial" w:cs="Arial" w:eastAsia="Arial" w:hAnsi="Arial"/>
                <w:sz w:val="18"/>
                <w:szCs w:val="18"/>
                <w:color w:val="auto"/>
              </w:rPr>
              <w:t xml:space="preserve"> full month after the 11</w:t>
            </w:r>
            <w:r>
              <w:rPr>
                <w:rFonts w:ascii="Arial" w:cs="Arial" w:eastAsia="Arial" w:hAnsi="Arial"/>
                <w:sz w:val="15"/>
                <w:szCs w:val="15"/>
                <w:color w:val="auto"/>
              </w:rPr>
              <w:t>th</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Floor Premises Commencement Date) – Month 28</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317,434.00</w:t>
            </w: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26,452.83</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w w:val="87"/>
              </w:rPr>
              <w:t>$58.00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Month 29 – Month 40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322,907.00</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26,908.92</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7"/>
              </w:rPr>
              <w:t>$59.00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Month 41 – Month 52</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328,380.00</w:t>
            </w: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27,365.00</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w w:val="87"/>
              </w:rPr>
              <w:t>$60.00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Month 53 – Month 64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333,853.00</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27,821.08</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7"/>
              </w:rPr>
              <w:t>$61.00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83" w:lineRule="auto"/>
        <w:tabs>
          <w:tab w:leader="none" w:pos="424"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t>Rent Abatement; Rent Abatement Period</w:t>
      </w:r>
      <w:r>
        <w:rPr>
          <w:rFonts w:ascii="Arial" w:cs="Arial" w:eastAsia="Arial" w:hAnsi="Arial"/>
          <w:sz w:val="16"/>
          <w:szCs w:val="16"/>
          <w:color w:val="auto"/>
        </w:rPr>
        <w:t>. Notwithstanding the foregoing Base Rent schedule or any contrary provision of this Second Amendment, but subject to the terms and conditions of this Second Amendment, Tenant shall not be obligated to pay any Base Rent otherwise attributable to the 11</w:t>
      </w:r>
      <w:r>
        <w:rPr>
          <w:rFonts w:ascii="Arial" w:cs="Arial" w:eastAsia="Arial" w:hAnsi="Arial"/>
          <w:sz w:val="13"/>
          <w:szCs w:val="13"/>
          <w:color w:val="auto"/>
        </w:rPr>
        <w:t>th</w:t>
      </w:r>
      <w:r>
        <w:rPr>
          <w:rFonts w:ascii="Arial" w:cs="Arial" w:eastAsia="Arial" w:hAnsi="Arial"/>
          <w:sz w:val="16"/>
          <w:szCs w:val="16"/>
          <w:color w:val="auto"/>
        </w:rPr>
        <w:t xml:space="preserve"> Floor Premises for the first four (4) months (as such time period may be extended pursuant to Section 1 hereof) following the 11</w:t>
      </w:r>
      <w:r>
        <w:rPr>
          <w:rFonts w:ascii="Arial" w:cs="Arial" w:eastAsia="Arial" w:hAnsi="Arial"/>
          <w:sz w:val="13"/>
          <w:szCs w:val="13"/>
          <w:color w:val="auto"/>
        </w:rPr>
        <w:t>th</w:t>
      </w:r>
      <w:r>
        <w:rPr>
          <w:rFonts w:ascii="Arial" w:cs="Arial" w:eastAsia="Arial" w:hAnsi="Arial"/>
          <w:sz w:val="16"/>
          <w:szCs w:val="16"/>
          <w:color w:val="auto"/>
        </w:rPr>
        <w:t xml:space="preserve"> Floor Premises Commencement Date (the “</w:t>
      </w:r>
      <w:r>
        <w:rPr>
          <w:rFonts w:ascii="Arial" w:cs="Arial" w:eastAsia="Arial" w:hAnsi="Arial"/>
          <w:sz w:val="16"/>
          <w:szCs w:val="16"/>
          <w:u w:val="single" w:color="auto"/>
          <w:color w:val="auto"/>
        </w:rPr>
        <w:t>Rent Abatement Period</w:t>
      </w:r>
      <w:r>
        <w:rPr>
          <w:rFonts w:ascii="Arial" w:cs="Arial" w:eastAsia="Arial" w:hAnsi="Arial"/>
          <w:sz w:val="16"/>
          <w:szCs w:val="16"/>
          <w:color w:val="auto"/>
        </w:rPr>
        <w:t>”). Tenant acknowledges and agrees that, assuming a four (4) month Rent Abatement Period, the amount of the rent abatement will equal $103,987.00 (four (4) months x $25,996.75 = $103,987.00) (the “</w:t>
      </w:r>
      <w:r>
        <w:rPr>
          <w:rFonts w:ascii="Arial" w:cs="Arial" w:eastAsia="Arial" w:hAnsi="Arial"/>
          <w:sz w:val="16"/>
          <w:szCs w:val="16"/>
          <w:u w:val="single" w:color="auto"/>
          <w:color w:val="auto"/>
        </w:rPr>
        <w:t>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Abatement</w:t>
      </w:r>
      <w:r>
        <w:rPr>
          <w:rFonts w:ascii="Arial" w:cs="Arial" w:eastAsia="Arial" w:hAnsi="Arial"/>
          <w:sz w:val="16"/>
          <w:szCs w:val="16"/>
          <w:color w:val="auto"/>
        </w:rPr>
        <w:t>”). Tenant acknowledges and agrees that the foregoing Rent Abatement has been granted to Tenant as additional consideration for entering into this Second Amendment, and for agreeing to pay the rental and perform the terms and conditions otherwise required under this Second Amendment. If, prior to the expiration of the Rent Abatement Period, Tenant shall be in an Event of Default under the Lease, beyond any applicable notice and cure period, then (1) Tenant shall immediately be obligated to begin paying Base Rent for the 11</w:t>
      </w:r>
      <w:r>
        <w:rPr>
          <w:rFonts w:ascii="Arial" w:cs="Arial" w:eastAsia="Arial" w:hAnsi="Arial"/>
          <w:sz w:val="13"/>
          <w:szCs w:val="13"/>
          <w:color w:val="auto"/>
        </w:rPr>
        <w:t>th</w:t>
      </w:r>
      <w:r>
        <w:rPr>
          <w:rFonts w:ascii="Arial" w:cs="Arial" w:eastAsia="Arial" w:hAnsi="Arial"/>
          <w:sz w:val="16"/>
          <w:szCs w:val="16"/>
          <w:color w:val="auto"/>
        </w:rPr>
        <w:t xml:space="preserve"> Floor Premises in full and</w:t>
      </w:r>
    </w:p>
    <w:p>
      <w:pPr>
        <w:spacing w:after="0" w:line="5" w:lineRule="exact"/>
        <w:rPr>
          <w:rFonts w:ascii="Arial" w:cs="Arial" w:eastAsia="Arial" w:hAnsi="Arial"/>
          <w:sz w:val="16"/>
          <w:szCs w:val="16"/>
          <w:color w:val="auto"/>
        </w:rPr>
      </w:pPr>
    </w:p>
    <w:p>
      <w:pPr>
        <w:ind w:left="424" w:right="160"/>
        <w:spacing w:after="0" w:line="260" w:lineRule="auto"/>
        <w:rPr>
          <w:rFonts w:ascii="Arial" w:cs="Arial" w:eastAsia="Arial" w:hAnsi="Arial"/>
          <w:sz w:val="16"/>
          <w:szCs w:val="16"/>
          <w:color w:val="auto"/>
        </w:rPr>
      </w:pPr>
      <w:r>
        <w:rPr>
          <w:rFonts w:ascii="Arial" w:cs="Arial" w:eastAsia="Arial" w:hAnsi="Arial"/>
          <w:sz w:val="18"/>
          <w:szCs w:val="18"/>
          <w:color w:val="auto"/>
        </w:rPr>
        <w:t>(2) Landlord shall have all rights and remedies set forth in the Lease in addition to any and all other rights and remedies available to Landlord at law or in equity.</w:t>
      </w:r>
    </w:p>
    <w:p>
      <w:pPr>
        <w:spacing w:after="0" w:line="90" w:lineRule="exact"/>
        <w:rPr>
          <w:rFonts w:ascii="Arial" w:cs="Arial" w:eastAsia="Arial" w:hAnsi="Arial"/>
          <w:sz w:val="16"/>
          <w:szCs w:val="16"/>
          <w:color w:val="auto"/>
        </w:rPr>
      </w:pPr>
    </w:p>
    <w:p>
      <w:pPr>
        <w:jc w:val="both"/>
        <w:ind w:left="424" w:right="160" w:hanging="424"/>
        <w:spacing w:after="0" w:line="342" w:lineRule="auto"/>
        <w:tabs>
          <w:tab w:leader="none" w:pos="424"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t>Additional Rent – Tenant’s Share of Taxes for 11</w:t>
      </w:r>
      <w:r>
        <w:rPr>
          <w:rFonts w:ascii="Arial" w:cs="Arial" w:eastAsia="Arial" w:hAnsi="Arial"/>
          <w:sz w:val="13"/>
          <w:szCs w:val="13"/>
          <w:u w:val="single" w:color="auto"/>
          <w:color w:val="auto"/>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Floor Premises</w:t>
      </w:r>
      <w:r>
        <w:rPr>
          <w:rFonts w:ascii="Arial" w:cs="Arial" w:eastAsia="Arial" w:hAnsi="Arial"/>
          <w:sz w:val="16"/>
          <w:szCs w:val="16"/>
          <w:color w:val="auto"/>
        </w:rPr>
        <w:t>. Starting on July 1, 2020, with respect to the 11</w:t>
      </w:r>
      <w:r>
        <w:rPr>
          <w:rFonts w:ascii="Arial" w:cs="Arial" w:eastAsia="Arial" w:hAnsi="Arial"/>
          <w:sz w:val="13"/>
          <w:szCs w:val="13"/>
          <w:color w:val="auto"/>
        </w:rPr>
        <w:t>th</w:t>
      </w:r>
      <w:r>
        <w:rPr>
          <w:rFonts w:ascii="Arial" w:cs="Arial" w:eastAsia="Arial" w:hAnsi="Arial"/>
          <w:sz w:val="16"/>
          <w:szCs w:val="16"/>
          <w:color w:val="auto"/>
        </w:rPr>
        <w:t xml:space="preserve"> Floor Premises only, Tenant shall pay 8.25% of the amount by which Taxes for the applicable fiscal year exceed Taxes for fiscal year 2020 (i.e., July 1, 2019-June 30, 2020).</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57" w:right="479" w:bottom="1440" w:gutter="0" w:footer="0" w:header="0"/>
        </w:sectPr>
      </w:pPr>
    </w:p>
    <w:bookmarkStart w:id="550" w:name="page551"/>
    <w:bookmarkEnd w:id="550"/>
    <w:p>
      <w:pPr>
        <w:ind w:left="424" w:right="40" w:hanging="424"/>
        <w:spacing w:after="0" w:line="257" w:lineRule="auto"/>
        <w:tabs>
          <w:tab w:leader="none" w:pos="424"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Rent – Tenant’s Share of Operating Expenses for 11</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w:t>
      </w:r>
      <w:r>
        <w:rPr>
          <w:rFonts w:ascii="Arial" w:cs="Arial" w:eastAsia="Arial" w:hAnsi="Arial"/>
          <w:sz w:val="18"/>
          <w:szCs w:val="18"/>
          <w:color w:val="auto"/>
        </w:rPr>
        <w:t>. Starting on January 1, 2020, with respect to the 11</w:t>
      </w:r>
      <w:r>
        <w:rPr>
          <w:rFonts w:ascii="Arial" w:cs="Arial" w:eastAsia="Arial" w:hAnsi="Arial"/>
          <w:sz w:val="15"/>
          <w:szCs w:val="15"/>
          <w:color w:val="auto"/>
        </w:rPr>
        <w:t>th</w:t>
      </w:r>
      <w:r>
        <w:rPr>
          <w:rFonts w:ascii="Arial" w:cs="Arial" w:eastAsia="Arial" w:hAnsi="Arial"/>
          <w:sz w:val="18"/>
          <w:szCs w:val="18"/>
          <w:color w:val="auto"/>
        </w:rPr>
        <w:t xml:space="preserve"> Floor Premises only, Tenant shall pay 8.25% of the amount by which Operating Expenses for the applicable calendar year exceed Operating Expenses for calendar year 2019 (i.e., January 1, 2019 – December 31, 2019). The parties agree that the definition of “Base Expenses” set forth in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(Additional Rent) of the Original Lease shall be applied to the calculation of Operating Expenses for calendar year 2019 with respect to the 11</w:t>
      </w:r>
      <w:r>
        <w:rPr>
          <w:rFonts w:ascii="Arial" w:cs="Arial" w:eastAsia="Arial" w:hAnsi="Arial"/>
          <w:sz w:val="15"/>
          <w:szCs w:val="15"/>
          <w:color w:val="auto"/>
        </w:rPr>
        <w:t>th</w:t>
      </w:r>
      <w:r>
        <w:rPr>
          <w:rFonts w:ascii="Arial" w:cs="Arial" w:eastAsia="Arial" w:hAnsi="Arial"/>
          <w:sz w:val="18"/>
          <w:szCs w:val="18"/>
          <w:color w:val="auto"/>
        </w:rPr>
        <w:t xml:space="preserve"> Floor Premises.</w:t>
      </w:r>
    </w:p>
    <w:p>
      <w:pPr>
        <w:spacing w:after="0" w:line="93" w:lineRule="exact"/>
        <w:rPr>
          <w:rFonts w:ascii="Arial" w:cs="Arial" w:eastAsia="Arial" w:hAnsi="Arial"/>
          <w:sz w:val="18"/>
          <w:szCs w:val="18"/>
          <w:color w:val="auto"/>
        </w:rPr>
      </w:pPr>
    </w:p>
    <w:p>
      <w:pPr>
        <w:ind w:left="424" w:hanging="424"/>
        <w:spacing w:after="0" w:line="273" w:lineRule="auto"/>
        <w:tabs>
          <w:tab w:leader="none" w:pos="424"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Electricity for 11</w:t>
      </w:r>
      <w:r>
        <w:rPr>
          <w:rFonts w:ascii="Arial" w:cs="Arial" w:eastAsia="Arial" w:hAnsi="Arial"/>
          <w:sz w:val="14"/>
          <w:szCs w:val="14"/>
          <w:u w:val="single" w:color="auto"/>
          <w:color w:val="auto"/>
        </w:rPr>
        <w:t>th</w:t>
      </w:r>
      <w:r>
        <w:rPr>
          <w:rFonts w:ascii="Arial" w:cs="Arial" w:eastAsia="Arial" w:hAnsi="Arial"/>
          <w:sz w:val="17"/>
          <w:szCs w:val="17"/>
          <w:color w:val="auto"/>
        </w:rPr>
        <w:t xml:space="preserve"> </w:t>
      </w:r>
      <w:r>
        <w:rPr>
          <w:rFonts w:ascii="Arial" w:cs="Arial" w:eastAsia="Arial" w:hAnsi="Arial"/>
          <w:sz w:val="17"/>
          <w:szCs w:val="17"/>
          <w:u w:val="single" w:color="auto"/>
          <w:color w:val="auto"/>
        </w:rPr>
        <w:t>Floor Premises</w:t>
      </w:r>
      <w:r>
        <w:rPr>
          <w:rFonts w:ascii="Arial" w:cs="Arial" w:eastAsia="Arial" w:hAnsi="Arial"/>
          <w:sz w:val="17"/>
          <w:szCs w:val="17"/>
          <w:color w:val="auto"/>
        </w:rPr>
        <w:t>. Starting on the 11</w:t>
      </w:r>
      <w:r>
        <w:rPr>
          <w:rFonts w:ascii="Arial" w:cs="Arial" w:eastAsia="Arial" w:hAnsi="Arial"/>
          <w:sz w:val="14"/>
          <w:szCs w:val="14"/>
          <w:color w:val="auto"/>
        </w:rPr>
        <w:t>th</w:t>
      </w:r>
      <w:r>
        <w:rPr>
          <w:rFonts w:ascii="Arial" w:cs="Arial" w:eastAsia="Arial" w:hAnsi="Arial"/>
          <w:sz w:val="17"/>
          <w:szCs w:val="17"/>
          <w:color w:val="auto"/>
        </w:rPr>
        <w:t xml:space="preserve"> Floor Premises Commencement Date, Tenant shall pay for all electricity used by Tenant in the 11</w:t>
      </w:r>
      <w:r>
        <w:rPr>
          <w:rFonts w:ascii="Arial" w:cs="Arial" w:eastAsia="Arial" w:hAnsi="Arial"/>
          <w:sz w:val="14"/>
          <w:szCs w:val="14"/>
          <w:color w:val="auto"/>
        </w:rPr>
        <w:t>th</w:t>
      </w:r>
      <w:r>
        <w:rPr>
          <w:rFonts w:ascii="Arial" w:cs="Arial" w:eastAsia="Arial" w:hAnsi="Arial"/>
          <w:sz w:val="17"/>
          <w:szCs w:val="17"/>
          <w:color w:val="auto"/>
        </w:rPr>
        <w:t xml:space="preserve"> Floor Premises based on the utility service provider’s reading of one or more direct meters, and payable by Tenant to the utility service provider upon demand. Tenant’s use of electrical services shall not exceed in voltage, rated capacity, or overall load that which is standard for the Building. Landlord, at any time during the Term of the Lease, shall have the right (1) to sub-meter or check meter electricity for the 11</w:t>
      </w:r>
      <w:r>
        <w:rPr>
          <w:rFonts w:ascii="Arial" w:cs="Arial" w:eastAsia="Arial" w:hAnsi="Arial"/>
          <w:sz w:val="14"/>
          <w:szCs w:val="14"/>
          <w:color w:val="auto"/>
        </w:rPr>
        <w:t>th</w:t>
      </w:r>
      <w:r>
        <w:rPr>
          <w:rFonts w:ascii="Arial" w:cs="Arial" w:eastAsia="Arial" w:hAnsi="Arial"/>
          <w:sz w:val="17"/>
          <w:szCs w:val="17"/>
          <w:color w:val="auto"/>
        </w:rPr>
        <w:t xml:space="preserve"> Floor Premises, in which case electricity shall be paid by Tenant to Landlord as Additional Rent, or (2) to measure electrical usage by survey or any other method that Landlord, in its reasonable judgment, deems appropriate.</w:t>
      </w:r>
    </w:p>
    <w:p>
      <w:pPr>
        <w:spacing w:after="0" w:line="83" w:lineRule="exact"/>
        <w:rPr>
          <w:rFonts w:ascii="Arial" w:cs="Arial" w:eastAsia="Arial" w:hAnsi="Arial"/>
          <w:sz w:val="17"/>
          <w:szCs w:val="17"/>
          <w:color w:val="auto"/>
        </w:rPr>
      </w:pPr>
    </w:p>
    <w:p>
      <w:pPr>
        <w:ind w:left="424" w:right="40" w:hanging="424"/>
        <w:spacing w:after="0" w:line="277" w:lineRule="auto"/>
        <w:tabs>
          <w:tab w:leader="none" w:pos="424"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Base Rent for Existing Premises</w:t>
      </w:r>
      <w:r>
        <w:rPr>
          <w:rFonts w:ascii="Arial" w:cs="Arial" w:eastAsia="Arial" w:hAnsi="Arial"/>
          <w:sz w:val="18"/>
          <w:szCs w:val="18"/>
          <w:color w:val="auto"/>
        </w:rPr>
        <w:t>. Starting on October 1, 2021, Tenant shall pay Base Rent for the Existing Premises as set forth in the table below and otherwise in accordance with the terms of the Lease.</w:t>
      </w:r>
    </w:p>
    <w:p>
      <w:pPr>
        <w:spacing w:after="0" w:line="18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color w:val="auto"/>
                <w:w w:val="88"/>
              </w:rPr>
              <w:t>Period</w:t>
            </w:r>
          </w:p>
        </w:tc>
        <w:tc>
          <w:tcPr>
            <w:tcW w:w="4480" w:type="dxa"/>
            <w:vAlign w:val="bottom"/>
            <w:gridSpan w:val="5"/>
            <w:vMerge w:val="restart"/>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35"/>
              <w:spacing w:after="0"/>
              <w:rPr>
                <w:sz w:val="20"/>
                <w:szCs w:val="20"/>
                <w:color w:val="auto"/>
              </w:rPr>
            </w:pPr>
            <w:r>
              <w:rPr>
                <w:rFonts w:ascii="Arial" w:cs="Arial" w:eastAsia="Arial" w:hAnsi="Arial"/>
                <w:sz w:val="14"/>
                <w:szCs w:val="14"/>
                <w:color w:val="auto"/>
                <w:w w:val="90"/>
              </w:rPr>
              <w:t>Base Annual Rent</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0" w:type="dxa"/>
            <w:vAlign w:val="bottom"/>
            <w:tcBorders>
              <w:bottom w:val="single" w:sz="8" w:color="auto"/>
            </w:tcBorders>
            <w:vMerge w:val="continue"/>
          </w:tcPr>
          <w:p>
            <w:pPr>
              <w:spacing w:after="0"/>
              <w:rPr>
                <w:sz w:val="15"/>
                <w:szCs w:val="15"/>
                <w:color w:val="auto"/>
              </w:rPr>
            </w:pPr>
          </w:p>
        </w:tc>
        <w:tc>
          <w:tcPr>
            <w:tcW w:w="4480" w:type="dxa"/>
            <w:vAlign w:val="bottom"/>
            <w:gridSpan w:val="5"/>
            <w:vMerge w:val="continue"/>
          </w:tcPr>
          <w:p>
            <w:pPr>
              <w:spacing w:after="0"/>
              <w:rPr>
                <w:sz w:val="15"/>
                <w:szCs w:val="15"/>
                <w:color w:val="auto"/>
              </w:rPr>
            </w:pPr>
          </w:p>
        </w:tc>
        <w:tc>
          <w:tcPr>
            <w:tcW w:w="1620" w:type="dxa"/>
            <w:vAlign w:val="bottom"/>
            <w:gridSpan w:val="3"/>
          </w:tcPr>
          <w:p>
            <w:pPr>
              <w:ind w:left="360"/>
              <w:spacing w:after="0" w:line="154" w:lineRule="exact"/>
              <w:rPr>
                <w:sz w:val="20"/>
                <w:szCs w:val="20"/>
                <w:color w:val="auto"/>
              </w:rPr>
            </w:pPr>
            <w:r>
              <w:rPr>
                <w:rFonts w:ascii="Arial" w:cs="Arial" w:eastAsia="Arial" w:hAnsi="Arial"/>
                <w:sz w:val="14"/>
                <w:szCs w:val="14"/>
                <w:color w:val="auto"/>
                <w:w w:val="89"/>
              </w:rPr>
              <w:t>(Based on 12 months)</w:t>
            </w:r>
          </w:p>
        </w:tc>
        <w:tc>
          <w:tcPr>
            <w:tcW w:w="1660" w:type="dxa"/>
            <w:vAlign w:val="bottom"/>
            <w:gridSpan w:val="3"/>
          </w:tcPr>
          <w:p>
            <w:pPr>
              <w:ind w:left="540"/>
              <w:spacing w:after="0" w:line="154" w:lineRule="exact"/>
              <w:rPr>
                <w:sz w:val="20"/>
                <w:szCs w:val="20"/>
                <w:color w:val="auto"/>
              </w:rPr>
            </w:pPr>
            <w:r>
              <w:rPr>
                <w:rFonts w:ascii="Arial" w:cs="Arial" w:eastAsia="Arial" w:hAnsi="Arial"/>
                <w:sz w:val="14"/>
                <w:szCs w:val="14"/>
                <w:color w:val="auto"/>
                <w:w w:val="92"/>
              </w:rPr>
              <w:t>Base Monthly Rent</w:t>
            </w:r>
          </w:p>
        </w:tc>
        <w:tc>
          <w:tcPr>
            <w:tcW w:w="560" w:type="dxa"/>
            <w:vAlign w:val="bottom"/>
          </w:tcPr>
          <w:p>
            <w:pPr>
              <w:spacing w:after="0"/>
              <w:rPr>
                <w:sz w:val="15"/>
                <w:szCs w:val="15"/>
                <w:color w:val="auto"/>
              </w:rPr>
            </w:pPr>
          </w:p>
        </w:tc>
        <w:tc>
          <w:tcPr>
            <w:tcW w:w="560" w:type="dxa"/>
            <w:vAlign w:val="bottom"/>
            <w:gridSpan w:val="2"/>
          </w:tcPr>
          <w:p>
            <w:pPr>
              <w:spacing w:after="0" w:line="154" w:lineRule="exact"/>
              <w:rPr>
                <w:sz w:val="20"/>
                <w:szCs w:val="20"/>
                <w:color w:val="auto"/>
              </w:rPr>
            </w:pPr>
            <w:r>
              <w:rPr>
                <w:rFonts w:ascii="Arial" w:cs="Arial" w:eastAsia="Arial" w:hAnsi="Arial"/>
                <w:sz w:val="14"/>
                <w:szCs w:val="14"/>
                <w:color w:val="auto"/>
              </w:rPr>
              <w:t>Per RSF</w:t>
            </w:r>
          </w:p>
        </w:tc>
        <w:tc>
          <w:tcPr>
            <w:tcW w:w="0" w:type="dxa"/>
            <w:vAlign w:val="bottom"/>
          </w:tcPr>
          <w:p>
            <w:pPr>
              <w:spacing w:after="0"/>
              <w:rPr>
                <w:sz w:val="1"/>
                <w:szCs w:val="1"/>
                <w:color w:val="auto"/>
              </w:rPr>
            </w:pPr>
          </w:p>
        </w:tc>
      </w:tr>
      <w:tr>
        <w:trPr>
          <w:trHeight w:val="149"/>
        </w:trPr>
        <w:tc>
          <w:tcPr>
            <w:tcW w:w="4860" w:type="dxa"/>
            <w:vAlign w:val="bottom"/>
            <w:tcBorders>
              <w:top w:val="single" w:sz="8" w:color="CCEEFF"/>
            </w:tcBorders>
            <w:gridSpan w:val="6"/>
            <w:shd w:val="clear" w:color="auto" w:fill="CCEEFF"/>
          </w:tcPr>
          <w:p>
            <w:pPr>
              <w:spacing w:after="0" w:line="149" w:lineRule="exact"/>
              <w:rPr>
                <w:sz w:val="20"/>
                <w:szCs w:val="20"/>
                <w:color w:val="auto"/>
              </w:rPr>
            </w:pPr>
            <w:r>
              <w:rPr>
                <w:rFonts w:ascii="Arial" w:cs="Arial" w:eastAsia="Arial" w:hAnsi="Arial"/>
                <w:sz w:val="17"/>
                <w:szCs w:val="17"/>
                <w:color w:val="auto"/>
              </w:rPr>
              <w:t>October 1, 2021 – Month 40 (as determined under Section 5 of</w:t>
            </w: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366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this Second Amendment)</w:t>
            </w:r>
          </w:p>
        </w:tc>
        <w:tc>
          <w:tcPr>
            <w:tcW w:w="680" w:type="dxa"/>
            <w:vAlign w:val="bottom"/>
            <w:tcBorders>
              <w:top w:val="single" w:sz="8" w:color="auto"/>
            </w:tcBorders>
            <w:gridSpan w:val="2"/>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645,814.00</w:t>
            </w:r>
          </w:p>
        </w:tc>
        <w:tc>
          <w:tcPr>
            <w:tcW w:w="78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53,817.83</w:t>
            </w:r>
          </w:p>
        </w:tc>
        <w:tc>
          <w:tcPr>
            <w:tcW w:w="1060" w:type="dxa"/>
            <w:vAlign w:val="bottom"/>
            <w:tcBorders>
              <w:top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w w:val="87"/>
              </w:rPr>
              <w:t>$59.00</w:t>
            </w: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860" w:type="dxa"/>
            <w:vAlign w:val="bottom"/>
            <w:gridSpan w:val="6"/>
          </w:tcPr>
          <w:p>
            <w:pPr>
              <w:spacing w:after="0" w:line="176" w:lineRule="exact"/>
              <w:rPr>
                <w:sz w:val="20"/>
                <w:szCs w:val="20"/>
                <w:color w:val="auto"/>
              </w:rPr>
            </w:pPr>
            <w:r>
              <w:rPr>
                <w:rFonts w:ascii="Arial" w:cs="Arial" w:eastAsia="Arial" w:hAnsi="Arial"/>
                <w:sz w:val="18"/>
                <w:szCs w:val="18"/>
                <w:color w:val="auto"/>
              </w:rPr>
              <w:t>Month 41 – Month 52 (as determined under Section 5 of this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Second Amendment)</w:t>
            </w:r>
          </w:p>
        </w:tc>
        <w:tc>
          <w:tcPr>
            <w:tcW w:w="680" w:type="dxa"/>
            <w:vAlign w:val="bottom"/>
            <w:tcBorders>
              <w:top w:val="single" w:sz="8" w:color="auto"/>
            </w:tcBorders>
            <w:gridSpan w:val="2"/>
          </w:tcPr>
          <w:p>
            <w:pPr>
              <w:spacing w:after="0"/>
              <w:rPr>
                <w:sz w:val="20"/>
                <w:szCs w:val="20"/>
                <w:color w:val="auto"/>
              </w:rPr>
            </w:pPr>
          </w:p>
        </w:tc>
        <w:tc>
          <w:tcPr>
            <w:tcW w:w="980" w:type="dxa"/>
            <w:vAlign w:val="bottom"/>
            <w:gridSpan w:val="2"/>
          </w:tcPr>
          <w:p>
            <w:pPr>
              <w:spacing w:after="0"/>
              <w:rPr>
                <w:sz w:val="20"/>
                <w:szCs w:val="20"/>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656,760.00</w:t>
            </w: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54,730.00</w:t>
            </w: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w w:val="87"/>
              </w:rPr>
              <w:t>$60.00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8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Month 53 – Month 64 (as determined under Section 5 of this</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Second Amendment)</w:t>
            </w:r>
          </w:p>
        </w:tc>
        <w:tc>
          <w:tcPr>
            <w:tcW w:w="680" w:type="dxa"/>
            <w:vAlign w:val="bottom"/>
            <w:tcBorders>
              <w:top w:val="single" w:sz="8" w:color="auto"/>
            </w:tcBorders>
            <w:gridSpan w:val="2"/>
            <w:shd w:val="clear" w:color="auto" w:fill="CCEEFF"/>
          </w:tcPr>
          <w:p>
            <w:pPr>
              <w:spacing w:after="0"/>
              <w:rPr>
                <w:sz w:val="20"/>
                <w:szCs w:val="20"/>
                <w:color w:val="auto"/>
              </w:rPr>
            </w:pPr>
          </w:p>
        </w:tc>
        <w:tc>
          <w:tcPr>
            <w:tcW w:w="980" w:type="dxa"/>
            <w:vAlign w:val="bottom"/>
            <w:tcBorders>
              <w:top w:val="single" w:sz="8" w:color="CCEEFF"/>
            </w:tcBorders>
            <w:gridSpan w:val="2"/>
            <w:shd w:val="clear" w:color="auto" w:fill="CCEEFF"/>
          </w:tcPr>
          <w:p>
            <w:pPr>
              <w:spacing w:after="0"/>
              <w:rPr>
                <w:sz w:val="20"/>
                <w:szCs w:val="20"/>
                <w:color w:val="auto"/>
              </w:rPr>
            </w:pPr>
          </w:p>
        </w:tc>
        <w:tc>
          <w:tcPr>
            <w:tcW w:w="46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667,706.00</w:t>
            </w:r>
          </w:p>
        </w:tc>
        <w:tc>
          <w:tcPr>
            <w:tcW w:w="78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55,642.17</w:t>
            </w:r>
          </w:p>
        </w:tc>
        <w:tc>
          <w:tcPr>
            <w:tcW w:w="1060" w:type="dxa"/>
            <w:vAlign w:val="bottom"/>
            <w:tcBorders>
              <w:top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w w:val="87"/>
              </w:rPr>
              <w:t>$61.00</w:t>
            </w: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00" w:hanging="424"/>
        <w:spacing w:after="0" w:line="263" w:lineRule="auto"/>
        <w:tabs>
          <w:tab w:leader="none" w:pos="424"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Additional Rent – Tenant’s Share of Taxes for Existing Premises</w:t>
      </w:r>
      <w:r>
        <w:rPr>
          <w:rFonts w:ascii="Arial" w:cs="Arial" w:eastAsia="Arial" w:hAnsi="Arial"/>
          <w:sz w:val="18"/>
          <w:szCs w:val="18"/>
          <w:color w:val="auto"/>
        </w:rPr>
        <w:t>. Starting on October 1, 2021, with respect to the Existing Premises only, Tenant shall continue to pay 16.50% of the amount by which Taxes for the applicable fiscal year exceed Taxes for fiscal year 2016 (i.e., July 1, 2015 – June 30, 2016).</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3" w:right="499" w:bottom="1440" w:gutter="0" w:footer="0" w:header="0"/>
        </w:sectPr>
      </w:pPr>
    </w:p>
    <w:bookmarkStart w:id="551" w:name="page552"/>
    <w:bookmarkEnd w:id="551"/>
    <w:p>
      <w:pPr>
        <w:ind w:left="424" w:right="40" w:hanging="424"/>
        <w:spacing w:after="0" w:line="263" w:lineRule="auto"/>
        <w:tabs>
          <w:tab w:leader="none" w:pos="424"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Rent – Tenant’s Share of Operating Expenses for Existing Premises</w:t>
      </w:r>
      <w:r>
        <w:rPr>
          <w:rFonts w:ascii="Arial" w:cs="Arial" w:eastAsia="Arial" w:hAnsi="Arial"/>
          <w:sz w:val="18"/>
          <w:szCs w:val="18"/>
          <w:color w:val="auto"/>
        </w:rPr>
        <w:t>. Starting on October 1, 2021, with respect to the Existing Premises only, Tenant shall continue to pay 16.50% of the amount by which Operating Expenses for the applicable calendar year exceed Operating Expenses for calendar year 2015 (i.e., January 1, 2015 – December 31, 2015).</w:t>
      </w:r>
    </w:p>
    <w:p>
      <w:pPr>
        <w:spacing w:after="0" w:line="89" w:lineRule="exact"/>
        <w:rPr>
          <w:rFonts w:ascii="Arial" w:cs="Arial" w:eastAsia="Arial" w:hAnsi="Arial"/>
          <w:sz w:val="18"/>
          <w:szCs w:val="18"/>
          <w:color w:val="auto"/>
        </w:rPr>
      </w:pPr>
    </w:p>
    <w:p>
      <w:pPr>
        <w:ind w:left="424" w:right="80" w:hanging="424"/>
        <w:spacing w:after="0" w:line="277" w:lineRule="auto"/>
        <w:tabs>
          <w:tab w:leader="none" w:pos="424"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Electricity for Existing Premises</w:t>
      </w:r>
      <w:r>
        <w:rPr>
          <w:rFonts w:ascii="Arial" w:cs="Arial" w:eastAsia="Arial" w:hAnsi="Arial"/>
          <w:sz w:val="18"/>
          <w:szCs w:val="18"/>
          <w:color w:val="auto"/>
        </w:rPr>
        <w:t>. Starting on October 1, 2021, Tenant shall continue to pay for electricity for the Existing Premises in accordance with Section 10 (Utilities) of the Original Lease.</w:t>
      </w:r>
    </w:p>
    <w:p>
      <w:pPr>
        <w:spacing w:after="0" w:line="318" w:lineRule="exact"/>
        <w:rPr>
          <w:rFonts w:ascii="Arial" w:cs="Arial" w:eastAsia="Arial" w:hAnsi="Arial"/>
          <w:sz w:val="18"/>
          <w:szCs w:val="18"/>
          <w:color w:val="auto"/>
        </w:rPr>
      </w:pPr>
    </w:p>
    <w:p>
      <w:pPr>
        <w:ind w:left="424" w:hanging="424"/>
        <w:spacing w:after="0"/>
        <w:tabs>
          <w:tab w:leader="none" w:pos="424"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80" w:hanging="540"/>
        <w:spacing w:after="0" w:line="257" w:lineRule="auto"/>
        <w:rPr>
          <w:rFonts w:ascii="Arial" w:cs="Arial" w:eastAsia="Arial" w:hAnsi="Arial"/>
          <w:sz w:val="18"/>
          <w:szCs w:val="18"/>
          <w:color w:val="auto"/>
        </w:rPr>
      </w:pPr>
      <w:r>
        <w:rPr>
          <w:rFonts w:ascii="Arial" w:cs="Arial" w:eastAsia="Arial" w:hAnsi="Arial"/>
          <w:sz w:val="18"/>
          <w:szCs w:val="18"/>
          <w:color w:val="auto"/>
        </w:rPr>
        <w:t>14.1 The parties hereto acknowledge and agree that Landlord is currently holding $100,000.00 as the Security Deposit under the Lease. Simultaneously with Tenant’s execution of this Second Amendment, Tenant shall remit to Landlord, by check or wire transfer of immediately available funds, $50,000.00 (the “</w:t>
      </w:r>
      <w:r>
        <w:rPr>
          <w:rFonts w:ascii="Arial" w:cs="Arial" w:eastAsia="Arial" w:hAnsi="Arial"/>
          <w:sz w:val="18"/>
          <w:szCs w:val="18"/>
          <w:u w:val="single" w:color="auto"/>
          <w:color w:val="auto"/>
        </w:rPr>
        <w:t>Additional Security Deposit</w:t>
      </w:r>
      <w:r>
        <w:rPr>
          <w:rFonts w:ascii="Arial" w:cs="Arial" w:eastAsia="Arial" w:hAnsi="Arial"/>
          <w:sz w:val="18"/>
          <w:szCs w:val="18"/>
          <w:color w:val="auto"/>
        </w:rPr>
        <w:t>”) to be held as additional security for Tenant’s performance of its obligations set forth in the Lease; it being agreed that upon Landlord’s receipt of the Additional Security Deposit, the total amount of the Security Deposit held by Landlord shall be $150,000.00.</w:t>
      </w:r>
    </w:p>
    <w:p>
      <w:pPr>
        <w:spacing w:after="0" w:line="93" w:lineRule="exact"/>
        <w:rPr>
          <w:rFonts w:ascii="Arial" w:cs="Arial" w:eastAsia="Arial" w:hAnsi="Arial"/>
          <w:sz w:val="18"/>
          <w:szCs w:val="18"/>
          <w:color w:val="auto"/>
        </w:rPr>
      </w:pPr>
    </w:p>
    <w:p>
      <w:pPr>
        <w:ind w:left="964" w:right="140" w:hanging="540"/>
        <w:spacing w:after="0" w:line="290" w:lineRule="auto"/>
        <w:rPr>
          <w:rFonts w:ascii="Arial" w:cs="Arial" w:eastAsia="Arial" w:hAnsi="Arial"/>
          <w:sz w:val="18"/>
          <w:szCs w:val="18"/>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Section 13.2</w:t>
      </w:r>
      <w:r>
        <w:rPr>
          <w:rFonts w:ascii="Arial" w:cs="Arial" w:eastAsia="Arial" w:hAnsi="Arial"/>
          <w:sz w:val="16"/>
          <w:szCs w:val="16"/>
          <w:color w:val="auto"/>
        </w:rPr>
        <w:t xml:space="preserve"> of the First Amendment is hereby deleted in its entirety. The terms and conditions relating to the reduction (if any) of the Security Deposit shall be controlled by this </w:t>
      </w:r>
      <w:r>
        <w:rPr>
          <w:rFonts w:ascii="Arial" w:cs="Arial" w:eastAsia="Arial" w:hAnsi="Arial"/>
          <w:sz w:val="16"/>
          <w:szCs w:val="16"/>
          <w:u w:val="single" w:color="auto"/>
          <w:color w:val="auto"/>
        </w:rPr>
        <w:t>Section 14.2</w:t>
      </w:r>
      <w:r>
        <w:rPr>
          <w:rFonts w:ascii="Arial" w:cs="Arial" w:eastAsia="Arial" w:hAnsi="Arial"/>
          <w:sz w:val="16"/>
          <w:szCs w:val="16"/>
          <w:color w:val="auto"/>
        </w:rPr>
        <w:t>. Subject to the terms and conditions contained herein, provided that Tenant shall not be in an Event of Default under the Lease, beyond any applicable notice and cure period, on the Reduction Date (as hereinafter defined), the Security Deposit shall be decreased to $90,000.00 (the “</w:t>
      </w:r>
      <w:r>
        <w:rPr>
          <w:rFonts w:ascii="Arial" w:cs="Arial" w:eastAsia="Arial" w:hAnsi="Arial"/>
          <w:sz w:val="16"/>
          <w:szCs w:val="16"/>
          <w:u w:val="single" w:color="auto"/>
          <w:color w:val="auto"/>
        </w:rPr>
        <w:t>Reduced Amount</w:t>
      </w:r>
      <w:r>
        <w:rPr>
          <w:rFonts w:ascii="Arial" w:cs="Arial" w:eastAsia="Arial" w:hAnsi="Arial"/>
          <w:sz w:val="16"/>
          <w:szCs w:val="16"/>
          <w:color w:val="auto"/>
        </w:rPr>
        <w:t>”) after the twenty-four (24) month anniversary of the 11</w:t>
      </w:r>
      <w:r>
        <w:rPr>
          <w:rFonts w:ascii="Arial" w:cs="Arial" w:eastAsia="Arial" w:hAnsi="Arial"/>
          <w:sz w:val="13"/>
          <w:szCs w:val="13"/>
          <w:color w:val="auto"/>
        </w:rPr>
        <w:t>th</w:t>
      </w:r>
      <w:r>
        <w:rPr>
          <w:rFonts w:ascii="Arial" w:cs="Arial" w:eastAsia="Arial" w:hAnsi="Arial"/>
          <w:sz w:val="16"/>
          <w:szCs w:val="16"/>
          <w:color w:val="auto"/>
        </w:rPr>
        <w:t xml:space="preserve"> Floor Premises rent commencement date (the “</w:t>
      </w:r>
      <w:r>
        <w:rPr>
          <w:rFonts w:ascii="Arial" w:cs="Arial" w:eastAsia="Arial" w:hAnsi="Arial"/>
          <w:sz w:val="16"/>
          <w:szCs w:val="16"/>
          <w:u w:val="single" w:color="auto"/>
          <w:color w:val="auto"/>
        </w:rPr>
        <w:t>Reduction Date</w:t>
      </w:r>
      <w:r>
        <w:rPr>
          <w:rFonts w:ascii="Arial" w:cs="Arial" w:eastAsia="Arial" w:hAnsi="Arial"/>
          <w:sz w:val="16"/>
          <w:szCs w:val="16"/>
          <w:color w:val="auto"/>
        </w:rPr>
        <w:t>”). Landlord shall, promptly following the Reduction Date, and Tenant’s written request therefor, refund to Tenant the amount necessary to reduce the Security Deposit to the Reduced Amount. Should Tenant be in an Event of Default under the Lease, beyond any applicable notice and cure period, on the Reduction Date, the Security Deposit then in effect shall remain in place (without reduction) for the balance of the Term of the Lease.</w:t>
      </w:r>
    </w:p>
    <w:p>
      <w:pPr>
        <w:spacing w:after="0" w:line="70" w:lineRule="exact"/>
        <w:rPr>
          <w:rFonts w:ascii="Arial" w:cs="Arial" w:eastAsia="Arial" w:hAnsi="Arial"/>
          <w:sz w:val="18"/>
          <w:szCs w:val="18"/>
          <w:color w:val="auto"/>
        </w:rPr>
      </w:pPr>
    </w:p>
    <w:p>
      <w:pPr>
        <w:ind w:left="424" w:hanging="424"/>
        <w:spacing w:after="0" w:line="275" w:lineRule="auto"/>
        <w:tabs>
          <w:tab w:leader="none" w:pos="424" w:val="left"/>
        </w:tabs>
        <w:numPr>
          <w:ilvl w:val="0"/>
          <w:numId w:val="406"/>
        </w:numPr>
        <w:rPr>
          <w:rFonts w:ascii="Arial" w:cs="Arial" w:eastAsia="Arial" w:hAnsi="Arial"/>
          <w:sz w:val="17"/>
          <w:szCs w:val="17"/>
          <w:color w:val="auto"/>
        </w:rPr>
      </w:pPr>
      <w:r>
        <w:rPr>
          <w:rFonts w:ascii="Arial" w:cs="Arial" w:eastAsia="Arial" w:hAnsi="Arial"/>
          <w:sz w:val="17"/>
          <w:szCs w:val="17"/>
          <w:u w:val="single" w:color="auto"/>
          <w:color w:val="auto"/>
        </w:rPr>
        <w:t>Exterior Signage</w:t>
      </w:r>
      <w:r>
        <w:rPr>
          <w:rFonts w:ascii="Arial" w:cs="Arial" w:eastAsia="Arial" w:hAnsi="Arial"/>
          <w:sz w:val="17"/>
          <w:szCs w:val="17"/>
          <w:color w:val="auto"/>
        </w:rPr>
        <w:t>. Tenant shall have the option, at Tenant’s sole cost and expense, and as part of either Tenant’s 11</w:t>
      </w:r>
      <w:r>
        <w:rPr>
          <w:rFonts w:ascii="Arial" w:cs="Arial" w:eastAsia="Arial" w:hAnsi="Arial"/>
          <w:sz w:val="14"/>
          <w:szCs w:val="14"/>
          <w:color w:val="auto"/>
        </w:rPr>
        <w:t>th</w:t>
      </w:r>
      <w:r>
        <w:rPr>
          <w:rFonts w:ascii="Arial" w:cs="Arial" w:eastAsia="Arial" w:hAnsi="Arial"/>
          <w:sz w:val="17"/>
          <w:szCs w:val="17"/>
          <w:color w:val="auto"/>
        </w:rPr>
        <w:t xml:space="preserve"> Floor Premises Work or future Alterations, to install a plaque with Tenant’s corporate name/logo on the exterior facade of the Building, provided (1) such plaque is consistent with the specifications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and made a part hereof, and (2) the installation of such plaque is done in accordance with all applicable laws, rules and regulations, and otherwise in accordance with the terms of the Lease, including without limitation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(Alterations, Additions and Improvements to the Premises) of the Original Lease.</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3" w:right="479" w:bottom="1440" w:gutter="0" w:footer="0" w:header="0"/>
        </w:sectPr>
      </w:pPr>
    </w:p>
    <w:bookmarkStart w:id="552" w:name="page553"/>
    <w:bookmarkEnd w:id="552"/>
    <w:p>
      <w:pPr>
        <w:ind w:left="424" w:hanging="424"/>
        <w:spacing w:after="0" w:line="296" w:lineRule="auto"/>
        <w:tabs>
          <w:tab w:leader="none" w:pos="424" w:val="left"/>
        </w:tabs>
        <w:numPr>
          <w:ilvl w:val="0"/>
          <w:numId w:val="40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Options</w:t>
      </w:r>
      <w:r>
        <w:rPr>
          <w:rFonts w:ascii="Arial" w:cs="Arial" w:eastAsia="Arial" w:hAnsi="Arial"/>
          <w:sz w:val="16"/>
          <w:szCs w:val="16"/>
          <w:color w:val="auto"/>
        </w:rPr>
        <w:t xml:space="preserve">. Tenant acknowledges and agrees that, except for the Extension Option referenced in </w:t>
      </w:r>
      <w:r>
        <w:rPr>
          <w:rFonts w:ascii="Arial" w:cs="Arial" w:eastAsia="Arial" w:hAnsi="Arial"/>
          <w:sz w:val="16"/>
          <w:szCs w:val="16"/>
          <w:u w:val="single" w:color="auto"/>
          <w:color w:val="auto"/>
        </w:rPr>
        <w:t>Section 50</w:t>
      </w:r>
      <w:r>
        <w:rPr>
          <w:rFonts w:ascii="Arial" w:cs="Arial" w:eastAsia="Arial" w:hAnsi="Arial"/>
          <w:sz w:val="16"/>
          <w:szCs w:val="16"/>
          <w:color w:val="auto"/>
        </w:rPr>
        <w:t xml:space="preserve"> (Extension Option) of the Original Lease (which shall apply with respect to the entire Premises upon expiration of the Term as extended hereby), Tenant has no (1) options or rights to extend the Term of the Lease, (2) options, rights of first offer, rights of first refusal, or other rights to expand the rentable square feet comprising the Premises or lease any other space in the Building, or (3) options to terminate the Lease ( except in connection with a casualty as set forth in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(Fire or Other Casualty) of the Original Lease) or contract the rentable square feet comprising the Premises.</w:t>
      </w:r>
    </w:p>
    <w:p>
      <w:pPr>
        <w:spacing w:after="0" w:line="66" w:lineRule="exact"/>
        <w:rPr>
          <w:rFonts w:ascii="Arial" w:cs="Arial" w:eastAsia="Arial" w:hAnsi="Arial"/>
          <w:sz w:val="16"/>
          <w:szCs w:val="16"/>
          <w:color w:val="auto"/>
        </w:rPr>
      </w:pPr>
    </w:p>
    <w:p>
      <w:pPr>
        <w:ind w:left="424" w:hanging="424"/>
        <w:spacing w:after="0" w:line="293" w:lineRule="auto"/>
        <w:tabs>
          <w:tab w:leader="none" w:pos="424" w:val="left"/>
        </w:tabs>
        <w:numPr>
          <w:ilvl w:val="0"/>
          <w:numId w:val="407"/>
        </w:numPr>
        <w:rPr>
          <w:rFonts w:ascii="Arial" w:cs="Arial" w:eastAsia="Arial" w:hAnsi="Arial"/>
          <w:sz w:val="16"/>
          <w:szCs w:val="16"/>
          <w:color w:val="auto"/>
        </w:rPr>
      </w:pPr>
      <w:r>
        <w:rPr>
          <w:rFonts w:ascii="Arial" w:cs="Arial" w:eastAsia="Arial" w:hAnsi="Arial"/>
          <w:sz w:val="16"/>
          <w:szCs w:val="16"/>
          <w:u w:val="single" w:color="auto"/>
          <w:color w:val="auto"/>
        </w:rPr>
        <w:t>No Brokers</w:t>
      </w:r>
      <w:r>
        <w:rPr>
          <w:rFonts w:ascii="Arial" w:cs="Arial" w:eastAsia="Arial" w:hAnsi="Arial"/>
          <w:sz w:val="16"/>
          <w:szCs w:val="16"/>
          <w:color w:val="auto"/>
        </w:rPr>
        <w:t xml:space="preserve">. Except for CBRE (representing Tenant exclusively), each party represents and warrants to the other that they have not made any agreement or taken any action which may cause anyone to become entitled to a commission as a result of the transactions contemplated by this Second Amendment, and each will indemnify and defend the other from any and all claims, actual or threatened, for compensation by any such third person by reason of such party’s breach of their representation or warranty contained in this Second Amendment. Landlord will pay any commission due to the broker(s) hereunder pursuant to its separate agreement with the broker(s) hereunder subject to execution and delivery of this Second Amendment by Landlord and Tenant. The provisions of this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shall survive the expiration or earlier termination of the Lease.</w:t>
      </w:r>
    </w:p>
    <w:p>
      <w:pPr>
        <w:spacing w:after="0" w:line="69" w:lineRule="exact"/>
        <w:rPr>
          <w:rFonts w:ascii="Arial" w:cs="Arial" w:eastAsia="Arial" w:hAnsi="Arial"/>
          <w:sz w:val="16"/>
          <w:szCs w:val="16"/>
          <w:color w:val="auto"/>
        </w:rPr>
      </w:pPr>
    </w:p>
    <w:p>
      <w:pPr>
        <w:ind w:left="424" w:right="140" w:hanging="424"/>
        <w:spacing w:after="0" w:line="263" w:lineRule="auto"/>
        <w:tabs>
          <w:tab w:leader="none" w:pos="424"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Landlord’s Notice Address</w:t>
      </w:r>
      <w:r>
        <w:rPr>
          <w:rFonts w:ascii="Arial" w:cs="Arial" w:eastAsia="Arial" w:hAnsi="Arial"/>
          <w:sz w:val="18"/>
          <w:szCs w:val="18"/>
          <w:color w:val="auto"/>
        </w:rPr>
        <w:t xml:space="preserve">. Effective as of the date of this Second Amendment,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(Notices) of the Original Lease is hereby amended to provide that any notices to Landlord under the Lease shall be submitted to Landlord at the below address ( or at such other address as Landlord may hereafter designate by notice to Tenant as required hereby).</w:t>
      </w:r>
    </w:p>
    <w:p>
      <w:pPr>
        <w:spacing w:after="0" w:line="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NS 141 Tremont LLC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c/o Synergy Investments</w:t>
      </w:r>
    </w:p>
    <w:p>
      <w:pPr>
        <w:spacing w:after="0" w:line="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10 Post Office Square, 14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Senior Director of Leasing</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Rubin and Rudman LLP</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53 State Street</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Paul L. Baccari, Esq.</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3" w:right="479" w:bottom="1440" w:gutter="0" w:footer="0" w:header="0"/>
        </w:sectPr>
      </w:pPr>
    </w:p>
    <w:bookmarkStart w:id="553" w:name="page554"/>
    <w:bookmarkEnd w:id="553"/>
    <w:p>
      <w:pPr>
        <w:ind w:left="424" w:right="80" w:hanging="424"/>
        <w:spacing w:after="0" w:line="286" w:lineRule="auto"/>
        <w:tabs>
          <w:tab w:leader="none" w:pos="424" w:val="left"/>
        </w:tabs>
        <w:numPr>
          <w:ilvl w:val="0"/>
          <w:numId w:val="40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Landlord’s Rent Payment Address</w:t>
      </w:r>
      <w:r>
        <w:rPr>
          <w:rFonts w:ascii="Arial" w:cs="Arial" w:eastAsia="Arial" w:hAnsi="Arial"/>
          <w:sz w:val="17"/>
          <w:szCs w:val="17"/>
          <w:color w:val="auto"/>
        </w:rPr>
        <w:t xml:space="preserve">. Effective as of the date of this Second Amendment,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(Payment of Base Rent and Additional Rent) of the Original Lease is hereby amended to provide that any Rent payments under the Lease shall be submitted to Landlord at the below address (or at such other address as Landlord may hereafter designate by notice to Tenant as required hereby).</w:t>
      </w:r>
    </w:p>
    <w:p>
      <w:pPr>
        <w:spacing w:after="0" w:line="5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NS 141 Tremont LLC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c/o Synergy Investments</w:t>
      </w:r>
    </w:p>
    <w:p>
      <w:pPr>
        <w:spacing w:after="0" w:line="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10 Post Office Square, 14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Accounting Department</w:t>
      </w:r>
    </w:p>
    <w:p>
      <w:pPr>
        <w:spacing w:after="0" w:line="116" w:lineRule="exact"/>
        <w:rPr>
          <w:sz w:val="20"/>
          <w:szCs w:val="20"/>
          <w:color w:val="auto"/>
        </w:rPr>
      </w:pPr>
    </w:p>
    <w:p>
      <w:pPr>
        <w:jc w:val="both"/>
        <w:ind w:left="424" w:right="100" w:hanging="424"/>
        <w:spacing w:after="0" w:line="263" w:lineRule="auto"/>
        <w:tabs>
          <w:tab w:leader="none" w:pos="424"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Tenant represents, warrants and covenants to Landlord that (1) the Lease is in full force and effect, and (2) to the best of Tenant’s knowledge, Landlord is not in default under the Lease, and no facts or circumstances exist which, with the passage of time or the giving of notice or both, would constitute a Landlord default under the Lease.</w:t>
      </w:r>
    </w:p>
    <w:p>
      <w:pPr>
        <w:spacing w:after="0" w:line="89" w:lineRule="exact"/>
        <w:rPr>
          <w:rFonts w:ascii="Arial" w:cs="Arial" w:eastAsia="Arial" w:hAnsi="Arial"/>
          <w:sz w:val="18"/>
          <w:szCs w:val="18"/>
          <w:color w:val="auto"/>
        </w:rPr>
      </w:pPr>
    </w:p>
    <w:p>
      <w:pPr>
        <w:ind w:left="424" w:right="100" w:hanging="424"/>
        <w:spacing w:after="0" w:line="254" w:lineRule="auto"/>
        <w:tabs>
          <w:tab w:leader="none" w:pos="424"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Tenant represents, warrants and covenants to Landlord that (1) Tenant is duly formed, has legal existence, is in good standing, and is qualified to do business in the state in which the Building is located, (2) Tenant has full right, power and authority to enter into this Second Amendment without the consent of any third party, and (3) the person or persons executing this Second Amendment on behalf of Tenant arc duly authorized to do so. Landlord represents, warrants and covenants to Tenant that (1) Landlord is duly formed, has legal existence, is in good standing, and is qualified to do business in the state in which the Building is located, (2) Landlord has full right, power and authority to enter into this Second Amendment without the consent of any third party, and (3) the person or persons executing this Second Amendment on behalf of Landlord are duly authorized to do so.</w:t>
      </w:r>
    </w:p>
    <w:p>
      <w:pPr>
        <w:spacing w:after="0" w:line="100"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References; Ratification</w:t>
      </w:r>
      <w:r>
        <w:rPr>
          <w:rFonts w:ascii="Arial" w:cs="Arial" w:eastAsia="Arial" w:hAnsi="Arial"/>
          <w:sz w:val="18"/>
          <w:szCs w:val="18"/>
          <w:color w:val="auto"/>
        </w:rPr>
        <w:t>. The Lease shall be modified such that each reference to the Lease contained therein shall be deemed to refer to the Lease as amended by this Second Amendment. Except as specifically modified or amended herein, the Lease remains unchanged and in full force and effect and is hereby ratified and confirmed in every respect.</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In the event of a conflict between this Second Amendment and the Lease, this Second Amendment shall control.</w:t>
      </w:r>
    </w:p>
    <w:p>
      <w:pPr>
        <w:spacing w:after="0" w:line="130" w:lineRule="exact"/>
        <w:rPr>
          <w:rFonts w:ascii="Arial" w:cs="Arial" w:eastAsia="Arial" w:hAnsi="Arial"/>
          <w:sz w:val="18"/>
          <w:szCs w:val="18"/>
          <w:color w:val="auto"/>
        </w:rPr>
      </w:pPr>
    </w:p>
    <w:p>
      <w:pPr>
        <w:ind w:left="424" w:right="180" w:hanging="424"/>
        <w:spacing w:after="0" w:line="277" w:lineRule="auto"/>
        <w:tabs>
          <w:tab w:leader="none" w:pos="424"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in this Second Amendment but not defined in this Second Amendment have the meanings ascribed to them in the Lease.</w:t>
      </w:r>
    </w:p>
    <w:p>
      <w:pPr>
        <w:spacing w:after="0" w:line="75"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When Binding; Counterparts</w:t>
      </w:r>
      <w:r>
        <w:rPr>
          <w:rFonts w:ascii="Arial" w:cs="Arial" w:eastAsia="Arial" w:hAnsi="Arial"/>
          <w:sz w:val="18"/>
          <w:szCs w:val="18"/>
          <w:color w:val="auto"/>
        </w:rPr>
        <w:t>. This Second Amendment shall be binding upon the parties hereto only upon valid execution and delivery hereof by both Landlord and Tenant. Upon execution and delivery hereof by Landlord and Tenant, the agreements of the parties hereto shall be binding upon and inure to the benefit of their respective successors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3" w:right="479" w:bottom="1440" w:gutter="0" w:footer="0" w:header="0"/>
        </w:sectPr>
      </w:pPr>
    </w:p>
    <w:bookmarkStart w:id="554" w:name="page555"/>
    <w:bookmarkEnd w:id="554"/>
    <w:p>
      <w:pPr>
        <w:jc w:val="both"/>
        <w:ind w:left="42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assigns. This Second Amendment may be signed in counterpart originals, which taken together shall constitute one and the same instrument. Delivery of a copy of a signed counterpart original transmitted by facsimile or as a PDF or similar attachment to an email shall constitute a good and valid execution and delivery of this Second Amendment.</w:t>
      </w:r>
    </w:p>
    <w:p>
      <w:pPr>
        <w:spacing w:after="0" w:line="89" w:lineRule="exact"/>
        <w:rPr>
          <w:sz w:val="20"/>
          <w:szCs w:val="20"/>
          <w:color w:val="auto"/>
        </w:rPr>
      </w:pPr>
    </w:p>
    <w:p>
      <w:pPr>
        <w:ind w:left="424" w:hanging="424"/>
        <w:spacing w:after="0" w:line="277" w:lineRule="auto"/>
        <w:tabs>
          <w:tab w:leader="none" w:pos="424"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Additional terms to this Second Amendment, if any, are set forth in the attached Exhibits, which are incorporated herein by reference as follows:</w:t>
      </w:r>
    </w:p>
    <w:p>
      <w:pPr>
        <w:spacing w:after="0" w:line="62" w:lineRule="exact"/>
        <w:rPr>
          <w:rFonts w:ascii="Arial" w:cs="Arial" w:eastAsia="Arial" w:hAnsi="Arial"/>
          <w:sz w:val="18"/>
          <w:szCs w:val="18"/>
          <w:color w:val="auto"/>
        </w:rPr>
      </w:pPr>
    </w:p>
    <w:p>
      <w:pPr>
        <w:ind w:left="444" w:right="7580"/>
        <w:spacing w:after="0" w:line="342" w:lineRule="auto"/>
        <w:rPr>
          <w:rFonts w:ascii="Arial" w:cs="Arial" w:eastAsia="Arial" w:hAnsi="Arial"/>
          <w:sz w:val="18"/>
          <w:szCs w:val="18"/>
          <w:color w:val="auto"/>
        </w:rPr>
      </w:pPr>
      <w:r>
        <w:rPr>
          <w:rFonts w:ascii="Arial" w:cs="Arial" w:eastAsia="Arial" w:hAnsi="Arial"/>
          <w:sz w:val="16"/>
          <w:szCs w:val="16"/>
          <w:color w:val="auto"/>
        </w:rPr>
        <w:t>Exhibit A – Plan of 11</w:t>
      </w:r>
      <w:r>
        <w:rPr>
          <w:rFonts w:ascii="Arial" w:cs="Arial" w:eastAsia="Arial" w:hAnsi="Arial"/>
          <w:sz w:val="13"/>
          <w:szCs w:val="13"/>
          <w:color w:val="auto"/>
        </w:rPr>
        <w:t>th</w:t>
      </w:r>
      <w:r>
        <w:rPr>
          <w:rFonts w:ascii="Arial" w:cs="Arial" w:eastAsia="Arial" w:hAnsi="Arial"/>
          <w:sz w:val="16"/>
          <w:szCs w:val="16"/>
          <w:color w:val="auto"/>
        </w:rPr>
        <w:t xml:space="preserve"> Floor Premises Exhibit B – Exterior Signage Exhibit</w:t>
      </w:r>
    </w:p>
    <w:p>
      <w:pPr>
        <w:spacing w:after="0" w:line="336"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[END OF TEXT; SIGNATURES FOLLOW ON NEXT PAGE.]</w:t>
      </w:r>
    </w:p>
    <w:p>
      <w:pPr>
        <w:spacing w:after="0" w:line="162"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4"/>
          </w:cols>
          <w:pgMar w:left="436" w:top="273" w:right="579" w:bottom="1440" w:gutter="0" w:footer="0" w:header="0"/>
        </w:sectPr>
      </w:pPr>
    </w:p>
    <w:bookmarkStart w:id="555" w:name="page556"/>
    <w:bookmarkEnd w:id="55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Landlord and Tenant have caused this Second Amendment to be executed as of the date set forth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NS 141 TREMONT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limited liability company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Synergy Financial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Massachusetts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Manager and Authorized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David Greaney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David Greaney, Manager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Hereunto duly authorized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FLYWIRE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3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Butterfield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Peter Butterfield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General Counsel &amp;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Hereunto duly authorized</w:t>
      </w:r>
    </w:p>
    <w:p>
      <w:pPr>
        <w:spacing w:after="0" w:line="200" w:lineRule="exact"/>
        <w:rPr>
          <w:sz w:val="20"/>
          <w:szCs w:val="20"/>
          <w:color w:val="auto"/>
        </w:rPr>
      </w:pP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[COUNTERPART SIGNATURE PAGE TO SECOND AMENDMENT]</w:t>
      </w:r>
    </w:p>
    <w:p>
      <w:pPr>
        <w:spacing w:after="0" w:line="16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19"/>
          </w:cols>
          <w:pgMar w:left="440" w:top="273" w:right="1440" w:bottom="1440" w:gutter="0" w:footer="0" w:header="0"/>
        </w:sectPr>
      </w:pPr>
    </w:p>
    <w:bookmarkStart w:id="556" w:name="page557"/>
    <w:bookmarkEnd w:id="55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PLAN OF 11</w:t>
      </w:r>
      <w:r>
        <w:rPr>
          <w:rFonts w:ascii="Arial" w:cs="Arial" w:eastAsia="Arial" w:hAnsi="Arial"/>
          <w:sz w:val="14"/>
          <w:szCs w:val="14"/>
          <w:b w:val="1"/>
          <w:bCs w:val="1"/>
          <w:u w:val="single" w:color="auto"/>
          <w:color w:val="auto"/>
        </w:rPr>
        <w:t>TH</w:t>
      </w:r>
      <w:r>
        <w:rPr>
          <w:rFonts w:ascii="Arial" w:cs="Arial" w:eastAsia="Arial" w:hAnsi="Arial"/>
          <w:sz w:val="17"/>
          <w:szCs w:val="17"/>
          <w:b w:val="1"/>
          <w:bCs w:val="1"/>
          <w:u w:val="single" w:color="auto"/>
          <w:color w:val="auto"/>
        </w:rPr>
        <w:t xml:space="preserve"> FLOOR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179070</wp:posOffset>
            </wp:positionV>
            <wp:extent cx="5288915" cy="32829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288915"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019"/>
          </w:cols>
          <w:pgMar w:left="1440" w:top="269" w:right="1440" w:bottom="1440" w:gutter="0" w:footer="0" w:header="0"/>
        </w:sectPr>
      </w:pPr>
    </w:p>
    <w:bookmarkStart w:id="557" w:name="page558"/>
    <w:bookmarkEnd w:id="55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EXTERIOR SIGNAGE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171450</wp:posOffset>
            </wp:positionV>
            <wp:extent cx="5306060" cy="354901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30606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019"/>
          </w:cols>
          <w:pgMar w:left="1440" w:top="269" w:right="1440" w:bottom="1440" w:gutter="0" w:footer="0" w:header="0"/>
        </w:sectPr>
      </w:pPr>
    </w:p>
    <w:bookmarkStart w:id="558" w:name="page559"/>
    <w:bookmarkEnd w:id="558"/>
    <w:p>
      <w:pPr>
        <w:jc w:val="center"/>
        <w:ind w:right="-8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AMENDMENT TO LEASE</w:t>
      </w:r>
    </w:p>
    <w:p>
      <w:pPr>
        <w:spacing w:after="0" w:line="229" w:lineRule="exact"/>
        <w:rPr>
          <w:sz w:val="20"/>
          <w:szCs w:val="20"/>
          <w:color w:val="auto"/>
        </w:rPr>
      </w:pPr>
    </w:p>
    <w:p>
      <w:pPr>
        <w:ind w:left="4" w:right="240" w:firstLine="440"/>
        <w:spacing w:after="0" w:line="342" w:lineRule="auto"/>
        <w:rPr>
          <w:sz w:val="20"/>
          <w:szCs w:val="20"/>
          <w:color w:val="auto"/>
        </w:rPr>
      </w:pPr>
      <w:r>
        <w:rPr>
          <w:rFonts w:ascii="Arial" w:cs="Arial" w:eastAsia="Arial" w:hAnsi="Arial"/>
          <w:sz w:val="16"/>
          <w:szCs w:val="16"/>
          <w:color w:val="auto"/>
        </w:rPr>
        <w:t>THIS FIRST AMENDMENT TO LEASE (this “</w:t>
      </w:r>
      <w:r>
        <w:rPr>
          <w:rFonts w:ascii="Arial" w:cs="Arial" w:eastAsia="Arial" w:hAnsi="Arial"/>
          <w:sz w:val="16"/>
          <w:szCs w:val="16"/>
          <w:u w:val="single" w:color="auto"/>
          <w:color w:val="auto"/>
        </w:rPr>
        <w:t>First Amendment</w:t>
      </w:r>
      <w:r>
        <w:rPr>
          <w:rFonts w:ascii="Arial" w:cs="Arial" w:eastAsia="Arial" w:hAnsi="Arial"/>
          <w:sz w:val="16"/>
          <w:szCs w:val="16"/>
          <w:color w:val="auto"/>
        </w:rPr>
        <w:t>”), dated as April 7</w:t>
      </w:r>
      <w:r>
        <w:rPr>
          <w:rFonts w:ascii="Arial" w:cs="Arial" w:eastAsia="Arial" w:hAnsi="Arial"/>
          <w:sz w:val="13"/>
          <w:szCs w:val="13"/>
          <w:color w:val="auto"/>
        </w:rPr>
        <w:t>th</w:t>
      </w:r>
      <w:r>
        <w:rPr>
          <w:rFonts w:ascii="Arial" w:cs="Arial" w:eastAsia="Arial" w:hAnsi="Arial"/>
          <w:sz w:val="16"/>
          <w:szCs w:val="16"/>
          <w:color w:val="auto"/>
        </w:rPr>
        <w:t>, 2016, is entered into by and between NS 141 Tremont LLC, a Massachusetts limited liability company (“</w:t>
      </w:r>
      <w:r>
        <w:rPr>
          <w:rFonts w:ascii="Arial" w:cs="Arial" w:eastAsia="Arial" w:hAnsi="Arial"/>
          <w:sz w:val="16"/>
          <w:szCs w:val="16"/>
          <w:u w:val="single" w:color="auto"/>
          <w:color w:val="auto"/>
        </w:rPr>
        <w:t>Landlord</w:t>
      </w:r>
      <w:r>
        <w:rPr>
          <w:rFonts w:ascii="Arial" w:cs="Arial" w:eastAsia="Arial" w:hAnsi="Arial"/>
          <w:sz w:val="16"/>
          <w:szCs w:val="16"/>
          <w:color w:val="auto"/>
        </w:rPr>
        <w:t>”) and peerTransfer Corporation, a Delaware corporation, d/b/a “FlyWire” (“</w:t>
      </w:r>
      <w:r>
        <w:rPr>
          <w:rFonts w:ascii="Arial" w:cs="Arial" w:eastAsia="Arial" w:hAnsi="Arial"/>
          <w:sz w:val="16"/>
          <w:szCs w:val="16"/>
          <w:u w:val="single" w:color="auto"/>
          <w:color w:val="auto"/>
        </w:rPr>
        <w:t>Tenant</w:t>
      </w:r>
      <w:r>
        <w:rPr>
          <w:rFonts w:ascii="Arial" w:cs="Arial" w:eastAsia="Arial" w:hAnsi="Arial"/>
          <w:sz w:val="16"/>
          <w:szCs w:val="16"/>
          <w:color w:val="auto"/>
        </w:rPr>
        <w:t>”).</w:t>
      </w:r>
    </w:p>
    <w:p>
      <w:pPr>
        <w:spacing w:after="0" w:line="340"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Landlord and Tenant entered into that certain Office Lease Agreement dated as of April 8, 2015 (the “</w:t>
      </w:r>
      <w:r>
        <w:rPr>
          <w:rFonts w:ascii="Arial" w:cs="Arial" w:eastAsia="Arial" w:hAnsi="Arial"/>
          <w:sz w:val="18"/>
          <w:szCs w:val="18"/>
          <w:u w:val="single" w:color="auto"/>
          <w:color w:val="auto"/>
        </w:rPr>
        <w:t>Lease</w:t>
      </w:r>
      <w:r>
        <w:rPr>
          <w:rFonts w:ascii="Arial" w:cs="Arial" w:eastAsia="Arial" w:hAnsi="Arial"/>
          <w:sz w:val="18"/>
          <w:szCs w:val="18"/>
          <w:color w:val="auto"/>
        </w:rPr>
        <w:t>”);</w:t>
      </w:r>
    </w:p>
    <w:p>
      <w:pPr>
        <w:spacing w:after="0" w:line="225" w:lineRule="exact"/>
        <w:rPr>
          <w:sz w:val="20"/>
          <w:szCs w:val="20"/>
          <w:color w:val="auto"/>
        </w:rPr>
      </w:pPr>
    </w:p>
    <w:p>
      <w:pPr>
        <w:ind w:left="4" w:right="160" w:firstLine="440"/>
        <w:spacing w:after="0" w:line="308" w:lineRule="auto"/>
        <w:rPr>
          <w:sz w:val="20"/>
          <w:szCs w:val="20"/>
          <w:color w:val="auto"/>
        </w:rPr>
      </w:pPr>
      <w:r>
        <w:rPr>
          <w:rFonts w:ascii="Arial" w:cs="Arial" w:eastAsia="Arial" w:hAnsi="Arial"/>
          <w:sz w:val="17"/>
          <w:szCs w:val="17"/>
          <w:color w:val="auto"/>
        </w:rPr>
        <w:t>WHEREAS, the Lease relates to the premises hereafter referred to as the “</w:t>
      </w:r>
      <w:r>
        <w:rPr>
          <w:rFonts w:ascii="Arial" w:cs="Arial" w:eastAsia="Arial" w:hAnsi="Arial"/>
          <w:sz w:val="17"/>
          <w:szCs w:val="17"/>
          <w:u w:val="single" w:color="auto"/>
          <w:color w:val="auto"/>
        </w:rPr>
        <w:t>10</w:t>
      </w:r>
      <w:r>
        <w:rPr>
          <w:rFonts w:ascii="Arial" w:cs="Arial" w:eastAsia="Arial" w:hAnsi="Arial"/>
          <w:sz w:val="14"/>
          <w:szCs w:val="14"/>
          <w:u w:val="single" w:color="auto"/>
          <w:color w:val="auto"/>
        </w:rPr>
        <w:t>th</w:t>
      </w:r>
      <w:r>
        <w:rPr>
          <w:rFonts w:ascii="Arial" w:cs="Arial" w:eastAsia="Arial" w:hAnsi="Arial"/>
          <w:sz w:val="17"/>
          <w:szCs w:val="17"/>
          <w:color w:val="auto"/>
        </w:rPr>
        <w:t xml:space="preserve"> </w:t>
      </w:r>
      <w:r>
        <w:rPr>
          <w:rFonts w:ascii="Arial" w:cs="Arial" w:eastAsia="Arial" w:hAnsi="Arial"/>
          <w:sz w:val="17"/>
          <w:szCs w:val="17"/>
          <w:u w:val="single" w:color="auto"/>
          <w:color w:val="auto"/>
        </w:rPr>
        <w:t>Floor Premises</w:t>
      </w:r>
      <w:r>
        <w:rPr>
          <w:rFonts w:ascii="Arial" w:cs="Arial" w:eastAsia="Arial" w:hAnsi="Arial"/>
          <w:sz w:val="17"/>
          <w:szCs w:val="17"/>
          <w:color w:val="auto"/>
        </w:rPr>
        <w:t>” measuring approximately 5,473 rentable square feet located on the tenth (10</w:t>
      </w:r>
      <w:r>
        <w:rPr>
          <w:rFonts w:ascii="Arial" w:cs="Arial" w:eastAsia="Arial" w:hAnsi="Arial"/>
          <w:sz w:val="14"/>
          <w:szCs w:val="14"/>
          <w:color w:val="auto"/>
        </w:rPr>
        <w:t>th</w:t>
      </w:r>
      <w:r>
        <w:rPr>
          <w:rFonts w:ascii="Arial" w:cs="Arial" w:eastAsia="Arial" w:hAnsi="Arial"/>
          <w:sz w:val="17"/>
          <w:szCs w:val="17"/>
          <w:color w:val="auto"/>
        </w:rPr>
        <w:t xml:space="preserve"> ) floor of the building known and numbered as 141 Tremont Street, Boston, MA (the “</w:t>
      </w:r>
      <w:r>
        <w:rPr>
          <w:rFonts w:ascii="Arial" w:cs="Arial" w:eastAsia="Arial" w:hAnsi="Arial"/>
          <w:sz w:val="17"/>
          <w:szCs w:val="17"/>
          <w:u w:val="single" w:color="auto"/>
          <w:color w:val="auto"/>
        </w:rPr>
        <w:t>Building</w:t>
      </w:r>
      <w:r>
        <w:rPr>
          <w:rFonts w:ascii="Arial" w:cs="Arial" w:eastAsia="Arial" w:hAnsi="Arial"/>
          <w:sz w:val="17"/>
          <w:szCs w:val="17"/>
          <w:color w:val="auto"/>
        </w:rPr>
        <w:t>”); and</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Landlord and Tenant wish to modify and amend the Lease subject to the terms and conditions set forth below.</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NOW, THEREFORE, in consideration of the covenants herein reserved and contained, and other good and valuable consideration, the receipt and sufficiency of which are hereby acknowledged, Landlord and Tenant hereby agree as follows:</w:t>
      </w:r>
    </w:p>
    <w:p>
      <w:pPr>
        <w:spacing w:after="0" w:line="76" w:lineRule="exact"/>
        <w:rPr>
          <w:sz w:val="20"/>
          <w:szCs w:val="20"/>
          <w:color w:val="auto"/>
        </w:rPr>
      </w:pPr>
    </w:p>
    <w:p>
      <w:pPr>
        <w:ind w:left="424" w:right="560" w:hanging="424"/>
        <w:spacing w:after="0" w:line="277" w:lineRule="auto"/>
        <w:tabs>
          <w:tab w:leader="none" w:pos="424"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Extension of Term</w:t>
      </w:r>
      <w:r>
        <w:rPr>
          <w:rFonts w:ascii="Arial" w:cs="Arial" w:eastAsia="Arial" w:hAnsi="Arial"/>
          <w:sz w:val="18"/>
          <w:szCs w:val="18"/>
          <w:color w:val="auto"/>
        </w:rPr>
        <w:t>. The term (the “</w:t>
      </w:r>
      <w:r>
        <w:rPr>
          <w:rFonts w:ascii="Arial" w:cs="Arial" w:eastAsia="Arial" w:hAnsi="Arial"/>
          <w:sz w:val="18"/>
          <w:szCs w:val="18"/>
          <w:u w:val="single" w:color="auto"/>
          <w:color w:val="auto"/>
        </w:rPr>
        <w:t>Term</w:t>
      </w:r>
      <w:r>
        <w:rPr>
          <w:rFonts w:ascii="Arial" w:cs="Arial" w:eastAsia="Arial" w:hAnsi="Arial"/>
          <w:sz w:val="18"/>
          <w:szCs w:val="18"/>
          <w:color w:val="auto"/>
        </w:rPr>
        <w:t>”) of the Lease is presently due to expire on September 30, 2020. The Term of the Lease is hereby extended through September 30, 2021 (the “</w:t>
      </w:r>
      <w:r>
        <w:rPr>
          <w:rFonts w:ascii="Arial" w:cs="Arial" w:eastAsia="Arial" w:hAnsi="Arial"/>
          <w:sz w:val="18"/>
          <w:szCs w:val="18"/>
          <w:u w:val="single" w:color="auto"/>
          <w:color w:val="auto"/>
        </w:rPr>
        <w:t>Expiration Date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4" w:right="20" w:hanging="424"/>
        <w:spacing w:after="0" w:line="268" w:lineRule="auto"/>
        <w:tabs>
          <w:tab w:leader="none" w:pos="424"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Addition of 9</w:t>
      </w:r>
      <w:r>
        <w:rPr>
          <w:rFonts w:ascii="Arial" w:cs="Arial" w:eastAsia="Arial" w:hAnsi="Arial"/>
          <w:sz w:val="14"/>
          <w:szCs w:val="14"/>
          <w:u w:val="single" w:color="auto"/>
          <w:color w:val="auto"/>
        </w:rPr>
        <w:t>th</w:t>
      </w:r>
      <w:r>
        <w:rPr>
          <w:rFonts w:ascii="Arial" w:cs="Arial" w:eastAsia="Arial" w:hAnsi="Arial"/>
          <w:sz w:val="17"/>
          <w:szCs w:val="17"/>
          <w:color w:val="auto"/>
        </w:rPr>
        <w:t xml:space="preserve"> </w:t>
      </w:r>
      <w:r>
        <w:rPr>
          <w:rFonts w:ascii="Arial" w:cs="Arial" w:eastAsia="Arial" w:hAnsi="Arial"/>
          <w:sz w:val="17"/>
          <w:szCs w:val="17"/>
          <w:u w:val="single" w:color="auto"/>
          <w:color w:val="auto"/>
        </w:rPr>
        <w:t>Floor Premises</w:t>
      </w:r>
      <w:r>
        <w:rPr>
          <w:rFonts w:ascii="Arial" w:cs="Arial" w:eastAsia="Arial" w:hAnsi="Arial"/>
          <w:sz w:val="17"/>
          <w:szCs w:val="17"/>
          <w:color w:val="auto"/>
        </w:rPr>
        <w:t>. Starting on the date upon which Landlord’s 9</w:t>
      </w:r>
      <w:r>
        <w:rPr>
          <w:rFonts w:ascii="Arial" w:cs="Arial" w:eastAsia="Arial" w:hAnsi="Arial"/>
          <w:sz w:val="14"/>
          <w:szCs w:val="14"/>
          <w:color w:val="auto"/>
        </w:rPr>
        <w:t>th</w:t>
      </w:r>
      <w:r>
        <w:rPr>
          <w:rFonts w:ascii="Arial" w:cs="Arial" w:eastAsia="Arial" w:hAnsi="Arial"/>
          <w:sz w:val="17"/>
          <w:szCs w:val="17"/>
          <w:color w:val="auto"/>
        </w:rPr>
        <w:t xml:space="preserve"> Floor Premises Work (as hereinafter defined) is Substantially Complete (as hereinafter defined) (the “</w:t>
      </w:r>
      <w:r>
        <w:rPr>
          <w:rFonts w:ascii="Arial" w:cs="Arial" w:eastAsia="Arial" w:hAnsi="Arial"/>
          <w:sz w:val="17"/>
          <w:szCs w:val="17"/>
          <w:u w:val="single" w:color="auto"/>
          <w:color w:val="auto"/>
        </w:rPr>
        <w:t>9</w:t>
      </w:r>
      <w:r>
        <w:rPr>
          <w:rFonts w:ascii="Arial" w:cs="Arial" w:eastAsia="Arial" w:hAnsi="Arial"/>
          <w:sz w:val="14"/>
          <w:szCs w:val="14"/>
          <w:u w:val="single" w:color="auto"/>
          <w:color w:val="auto"/>
        </w:rPr>
        <w:t>th</w:t>
      </w:r>
      <w:r>
        <w:rPr>
          <w:rFonts w:ascii="Arial" w:cs="Arial" w:eastAsia="Arial" w:hAnsi="Arial"/>
          <w:sz w:val="17"/>
          <w:szCs w:val="17"/>
          <w:color w:val="auto"/>
        </w:rPr>
        <w:t xml:space="preserve"> </w:t>
      </w:r>
      <w:r>
        <w:rPr>
          <w:rFonts w:ascii="Arial" w:cs="Arial" w:eastAsia="Arial" w:hAnsi="Arial"/>
          <w:sz w:val="17"/>
          <w:szCs w:val="17"/>
          <w:u w:val="single" w:color="auto"/>
          <w:color w:val="auto"/>
        </w:rPr>
        <w:t>Floor Premises Commencement Date</w:t>
      </w:r>
      <w:r>
        <w:rPr>
          <w:rFonts w:ascii="Arial" w:cs="Arial" w:eastAsia="Arial" w:hAnsi="Arial"/>
          <w:sz w:val="17"/>
          <w:szCs w:val="17"/>
          <w:color w:val="auto"/>
        </w:rPr>
        <w:t>”), the Lease shall be amended to provide that the premises demised to Tenant under the Lease shall include additional premises (hereafter referred to as the “</w:t>
      </w:r>
      <w:r>
        <w:rPr>
          <w:rFonts w:ascii="Arial" w:cs="Arial" w:eastAsia="Arial" w:hAnsi="Arial"/>
          <w:sz w:val="17"/>
          <w:szCs w:val="17"/>
          <w:u w:val="single" w:color="auto"/>
          <w:color w:val="auto"/>
        </w:rPr>
        <w:t>9</w:t>
      </w:r>
      <w:r>
        <w:rPr>
          <w:rFonts w:ascii="Arial" w:cs="Arial" w:eastAsia="Arial" w:hAnsi="Arial"/>
          <w:sz w:val="14"/>
          <w:szCs w:val="14"/>
          <w:u w:val="single" w:color="auto"/>
          <w:color w:val="auto"/>
        </w:rPr>
        <w:t>th</w:t>
      </w:r>
      <w:r>
        <w:rPr>
          <w:rFonts w:ascii="Arial" w:cs="Arial" w:eastAsia="Arial" w:hAnsi="Arial"/>
          <w:sz w:val="17"/>
          <w:szCs w:val="17"/>
          <w:color w:val="auto"/>
        </w:rPr>
        <w:t xml:space="preserve"> </w:t>
      </w:r>
      <w:r>
        <w:rPr>
          <w:rFonts w:ascii="Arial" w:cs="Arial" w:eastAsia="Arial" w:hAnsi="Arial"/>
          <w:sz w:val="17"/>
          <w:szCs w:val="17"/>
          <w:u w:val="single" w:color="auto"/>
          <w:color w:val="auto"/>
        </w:rPr>
        <w:t>Floor Premises</w:t>
      </w:r>
      <w:r>
        <w:rPr>
          <w:rFonts w:ascii="Arial" w:cs="Arial" w:eastAsia="Arial" w:hAnsi="Arial"/>
          <w:sz w:val="17"/>
          <w:szCs w:val="17"/>
          <w:color w:val="auto"/>
        </w:rPr>
        <w:t>”) measuring approximately 5,473 rentable square feet located on the ninth (9</w:t>
      </w:r>
      <w:r>
        <w:rPr>
          <w:rFonts w:ascii="Arial" w:cs="Arial" w:eastAsia="Arial" w:hAnsi="Arial"/>
          <w:sz w:val="14"/>
          <w:szCs w:val="14"/>
          <w:color w:val="auto"/>
        </w:rPr>
        <w:t>th</w:t>
      </w:r>
      <w:r>
        <w:rPr>
          <w:rFonts w:ascii="Arial" w:cs="Arial" w:eastAsia="Arial" w:hAnsi="Arial"/>
          <w:sz w:val="17"/>
          <w:szCs w:val="17"/>
          <w:color w:val="auto"/>
        </w:rPr>
        <w:t xml:space="preserve">) floor of the Building and shown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made a part hereof. Thereafter, all references to the “Premises” in the Lease shall be deemed to include both the 9</w:t>
      </w:r>
      <w:r>
        <w:rPr>
          <w:rFonts w:ascii="Arial" w:cs="Arial" w:eastAsia="Arial" w:hAnsi="Arial"/>
          <w:sz w:val="14"/>
          <w:szCs w:val="14"/>
          <w:color w:val="auto"/>
        </w:rPr>
        <w:t>th</w:t>
      </w:r>
      <w:r>
        <w:rPr>
          <w:rFonts w:ascii="Arial" w:cs="Arial" w:eastAsia="Arial" w:hAnsi="Arial"/>
          <w:sz w:val="17"/>
          <w:szCs w:val="17"/>
          <w:color w:val="auto"/>
        </w:rPr>
        <w:t xml:space="preserve"> Floor Premises and the 10</w:t>
      </w:r>
      <w:r>
        <w:rPr>
          <w:rFonts w:ascii="Arial" w:cs="Arial" w:eastAsia="Arial" w:hAnsi="Arial"/>
          <w:sz w:val="14"/>
          <w:szCs w:val="14"/>
          <w:color w:val="auto"/>
        </w:rPr>
        <w:t>th</w:t>
      </w:r>
      <w:r>
        <w:rPr>
          <w:rFonts w:ascii="Arial" w:cs="Arial" w:eastAsia="Arial" w:hAnsi="Arial"/>
          <w:sz w:val="17"/>
          <w:szCs w:val="17"/>
          <w:color w:val="auto"/>
        </w:rPr>
        <w:t xml:space="preserve"> Floor Premises and contain a total of 10,946 rentable square feet. Subject to the terms and conditions set forth herein, Tenant may install its furniture, fixtures, equipment and appliances (“</w:t>
      </w:r>
      <w:r>
        <w:rPr>
          <w:rFonts w:ascii="Arial" w:cs="Arial" w:eastAsia="Arial" w:hAnsi="Arial"/>
          <w:sz w:val="17"/>
          <w:szCs w:val="17"/>
          <w:u w:val="single" w:color="auto"/>
          <w:color w:val="auto"/>
        </w:rPr>
        <w:t>Tenant’s Work</w:t>
      </w:r>
      <w:r>
        <w:rPr>
          <w:rFonts w:ascii="Arial" w:cs="Arial" w:eastAsia="Arial" w:hAnsi="Arial"/>
          <w:sz w:val="17"/>
          <w:szCs w:val="17"/>
          <w:color w:val="auto"/>
        </w:rPr>
        <w:t>”) while Landlord completes Landlord’s 9</w:t>
      </w:r>
      <w:r>
        <w:rPr>
          <w:rFonts w:ascii="Arial" w:cs="Arial" w:eastAsia="Arial" w:hAnsi="Arial"/>
          <w:sz w:val="14"/>
          <w:szCs w:val="14"/>
          <w:color w:val="auto"/>
        </w:rPr>
        <w:t>th</w:t>
      </w:r>
      <w:r>
        <w:rPr>
          <w:rFonts w:ascii="Arial" w:cs="Arial" w:eastAsia="Arial" w:hAnsi="Arial"/>
          <w:sz w:val="17"/>
          <w:szCs w:val="17"/>
          <w:color w:val="auto"/>
        </w:rPr>
        <w:t xml:space="preserve"> Floor Premises Work provided that (i) Tenant coordinates such installation with Landlord, (ii) such installation complies with the terms of the Lease, (iii) Tenant has deposited with Landlord the insurance certificates required by the Lease with respect to the 9</w:t>
      </w:r>
      <w:r>
        <w:rPr>
          <w:rFonts w:ascii="Arial" w:cs="Arial" w:eastAsia="Arial" w:hAnsi="Arial"/>
          <w:sz w:val="14"/>
          <w:szCs w:val="14"/>
          <w:color w:val="auto"/>
        </w:rPr>
        <w:t>th</w:t>
      </w:r>
      <w:r>
        <w:rPr>
          <w:rFonts w:ascii="Arial" w:cs="Arial" w:eastAsia="Arial" w:hAnsi="Arial"/>
          <w:sz w:val="17"/>
          <w:szCs w:val="17"/>
          <w:color w:val="auto"/>
        </w:rPr>
        <w:t xml:space="preserve"> Floor Premises, and (iv) all the terms and conditions of the Lease shall apply to Tenant and the 9</w:t>
      </w:r>
      <w:r>
        <w:rPr>
          <w:rFonts w:ascii="Arial" w:cs="Arial" w:eastAsia="Arial" w:hAnsi="Arial"/>
          <w:sz w:val="14"/>
          <w:szCs w:val="14"/>
          <w:color w:val="auto"/>
        </w:rPr>
        <w:t>th</w:t>
      </w:r>
      <w:r>
        <w:rPr>
          <w:rFonts w:ascii="Arial" w:cs="Arial" w:eastAsia="Arial" w:hAnsi="Arial"/>
          <w:sz w:val="17"/>
          <w:szCs w:val="17"/>
          <w:color w:val="auto"/>
        </w:rPr>
        <w:t xml:space="preserve"> Floor Premises during Tenant’s entry therein, provided that Tenant shall not be required to pay any rent, additional rent, electricity or other charges related to occupancy prior to the 9</w:t>
      </w:r>
      <w:r>
        <w:rPr>
          <w:rFonts w:ascii="Arial" w:cs="Arial" w:eastAsia="Arial" w:hAnsi="Arial"/>
          <w:sz w:val="14"/>
          <w:szCs w:val="14"/>
          <w:color w:val="auto"/>
        </w:rPr>
        <w:t>th</w:t>
      </w:r>
      <w:r>
        <w:rPr>
          <w:rFonts w:ascii="Arial" w:cs="Arial" w:eastAsia="Arial" w:hAnsi="Arial"/>
          <w:sz w:val="17"/>
          <w:szCs w:val="17"/>
          <w:color w:val="auto"/>
        </w:rPr>
        <w:t xml:space="preserve"> Floor Premises Commencement Date. Landlord and Tenant shall each take commercially reasonable measures to ensure that Landlord’s contractors and Tenant’s contractors cooperate in commercially reasonable ways with each other to avoid</w:t>
      </w:r>
    </w:p>
    <w:p>
      <w:pPr>
        <w:spacing w:after="0" w:line="11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4"/>
          </w:cols>
          <w:pgMar w:left="436" w:top="269" w:right="519" w:bottom="1440" w:gutter="0" w:footer="0" w:header="0"/>
        </w:sectPr>
      </w:pPr>
    </w:p>
    <w:bookmarkStart w:id="559" w:name="page560"/>
    <w:bookmarkEnd w:id="559"/>
    <w:p>
      <w:pPr>
        <w:ind w:left="42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delay in either Landlord’s 9</w:t>
      </w:r>
      <w:r>
        <w:rPr>
          <w:rFonts w:ascii="Arial" w:cs="Arial" w:eastAsia="Arial" w:hAnsi="Arial"/>
          <w:sz w:val="15"/>
          <w:szCs w:val="15"/>
          <w:color w:val="auto"/>
        </w:rPr>
        <w:t>th</w:t>
      </w:r>
      <w:r>
        <w:rPr>
          <w:rFonts w:ascii="Arial" w:cs="Arial" w:eastAsia="Arial" w:hAnsi="Arial"/>
          <w:sz w:val="18"/>
          <w:szCs w:val="18"/>
          <w:color w:val="auto"/>
        </w:rPr>
        <w:t xml:space="preserve"> Floor Premises Work or Tenant’s Work, or any conflict with the performance of either Landlord’s 9</w:t>
      </w:r>
      <w:r>
        <w:rPr>
          <w:rFonts w:ascii="Arial" w:cs="Arial" w:eastAsia="Arial" w:hAnsi="Arial"/>
          <w:sz w:val="15"/>
          <w:szCs w:val="15"/>
          <w:color w:val="auto"/>
        </w:rPr>
        <w:t>th</w:t>
      </w:r>
      <w:r>
        <w:rPr>
          <w:rFonts w:ascii="Arial" w:cs="Arial" w:eastAsia="Arial" w:hAnsi="Arial"/>
          <w:sz w:val="18"/>
          <w:szCs w:val="18"/>
          <w:color w:val="auto"/>
        </w:rPr>
        <w:t xml:space="preserve"> Floor Premises Work or Tenant’s Work; Tenant acknowledging, however, that in the case of conflict that is not reasonably avoidable, the performance of Landlord’s 9</w:t>
      </w:r>
      <w:r>
        <w:rPr>
          <w:rFonts w:ascii="Arial" w:cs="Arial" w:eastAsia="Arial" w:hAnsi="Arial"/>
          <w:sz w:val="15"/>
          <w:szCs w:val="15"/>
          <w:color w:val="auto"/>
        </w:rPr>
        <w:t>th</w:t>
      </w:r>
      <w:r>
        <w:rPr>
          <w:rFonts w:ascii="Arial" w:cs="Arial" w:eastAsia="Arial" w:hAnsi="Arial"/>
          <w:sz w:val="18"/>
          <w:szCs w:val="18"/>
          <w:color w:val="auto"/>
        </w:rPr>
        <w:t xml:space="preserve"> Floor Premises Work shall have priority.</w:t>
      </w:r>
    </w:p>
    <w:p>
      <w:pPr>
        <w:spacing w:after="0" w:line="89" w:lineRule="exact"/>
        <w:rPr>
          <w:sz w:val="20"/>
          <w:szCs w:val="20"/>
          <w:color w:val="auto"/>
        </w:rPr>
      </w:pPr>
    </w:p>
    <w:p>
      <w:pPr>
        <w:ind w:left="424" w:hanging="424"/>
        <w:spacing w:after="0" w:line="279" w:lineRule="auto"/>
        <w:tabs>
          <w:tab w:leader="none" w:pos="424"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Condition of 9</w:t>
      </w:r>
      <w:r>
        <w:rPr>
          <w:rFonts w:ascii="Arial" w:cs="Arial" w:eastAsia="Arial" w:hAnsi="Arial"/>
          <w:sz w:val="14"/>
          <w:szCs w:val="14"/>
          <w:u w:val="single" w:color="auto"/>
          <w:color w:val="auto"/>
        </w:rPr>
        <w:t>th</w:t>
      </w:r>
      <w:r>
        <w:rPr>
          <w:rFonts w:ascii="Arial" w:cs="Arial" w:eastAsia="Arial" w:hAnsi="Arial"/>
          <w:sz w:val="17"/>
          <w:szCs w:val="17"/>
          <w:color w:val="auto"/>
        </w:rPr>
        <w:t xml:space="preserve"> </w:t>
      </w:r>
      <w:r>
        <w:rPr>
          <w:rFonts w:ascii="Arial" w:cs="Arial" w:eastAsia="Arial" w:hAnsi="Arial"/>
          <w:sz w:val="17"/>
          <w:szCs w:val="17"/>
          <w:u w:val="single" w:color="auto"/>
          <w:color w:val="auto"/>
        </w:rPr>
        <w:t>Floor Premises; Landlord’s 9</w:t>
      </w:r>
      <w:r>
        <w:rPr>
          <w:rFonts w:ascii="Arial" w:cs="Arial" w:eastAsia="Arial" w:hAnsi="Arial"/>
          <w:sz w:val="14"/>
          <w:szCs w:val="14"/>
          <w:u w:val="single" w:color="auto"/>
          <w:color w:val="auto"/>
        </w:rPr>
        <w:t>th</w:t>
      </w:r>
      <w:r>
        <w:rPr>
          <w:rFonts w:ascii="Arial" w:cs="Arial" w:eastAsia="Arial" w:hAnsi="Arial"/>
          <w:sz w:val="17"/>
          <w:szCs w:val="17"/>
          <w:color w:val="auto"/>
        </w:rPr>
        <w:t xml:space="preserve"> </w:t>
      </w:r>
      <w:r>
        <w:rPr>
          <w:rFonts w:ascii="Arial" w:cs="Arial" w:eastAsia="Arial" w:hAnsi="Arial"/>
          <w:sz w:val="17"/>
          <w:szCs w:val="17"/>
          <w:u w:val="single" w:color="auto"/>
          <w:color w:val="auto"/>
        </w:rPr>
        <w:t>Floor Premises Work</w:t>
      </w:r>
      <w:r>
        <w:rPr>
          <w:rFonts w:ascii="Arial" w:cs="Arial" w:eastAsia="Arial" w:hAnsi="Arial"/>
          <w:sz w:val="17"/>
          <w:szCs w:val="17"/>
          <w:color w:val="auto"/>
        </w:rPr>
        <w:t>. Except for completion of Landlord’s 9</w:t>
      </w:r>
      <w:r>
        <w:rPr>
          <w:rFonts w:ascii="Arial" w:cs="Arial" w:eastAsia="Arial" w:hAnsi="Arial"/>
          <w:sz w:val="14"/>
          <w:szCs w:val="14"/>
          <w:color w:val="auto"/>
        </w:rPr>
        <w:t>th</w:t>
      </w:r>
      <w:r>
        <w:rPr>
          <w:rFonts w:ascii="Arial" w:cs="Arial" w:eastAsia="Arial" w:hAnsi="Arial"/>
          <w:sz w:val="17"/>
          <w:szCs w:val="17"/>
          <w:color w:val="auto"/>
        </w:rPr>
        <w:t xml:space="preserve"> Floor Premises Work in accordance with the terms hereof, and subject to Landlord’s express obligations under the Lease, including but not limited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therein, Tenant shall accept the 9</w:t>
      </w:r>
      <w:r>
        <w:rPr>
          <w:rFonts w:ascii="Arial" w:cs="Arial" w:eastAsia="Arial" w:hAnsi="Arial"/>
          <w:sz w:val="14"/>
          <w:szCs w:val="14"/>
          <w:color w:val="auto"/>
        </w:rPr>
        <w:t>th</w:t>
      </w:r>
      <w:r>
        <w:rPr>
          <w:rFonts w:ascii="Arial" w:cs="Arial" w:eastAsia="Arial" w:hAnsi="Arial"/>
          <w:sz w:val="17"/>
          <w:szCs w:val="17"/>
          <w:color w:val="auto"/>
        </w:rPr>
        <w:t xml:space="preserve"> Floor Premises in “AS IS, WHERE IS, WITH ALL FAULTS” condition, and without any representations or warranties by Landlord to Tenant as to the condition of the 9</w:t>
      </w:r>
      <w:r>
        <w:rPr>
          <w:rFonts w:ascii="Arial" w:cs="Arial" w:eastAsia="Arial" w:hAnsi="Arial"/>
          <w:sz w:val="14"/>
          <w:szCs w:val="14"/>
          <w:color w:val="auto"/>
        </w:rPr>
        <w:t>th</w:t>
      </w:r>
      <w:r>
        <w:rPr>
          <w:rFonts w:ascii="Arial" w:cs="Arial" w:eastAsia="Arial" w:hAnsi="Arial"/>
          <w:sz w:val="17"/>
          <w:szCs w:val="17"/>
          <w:color w:val="auto"/>
        </w:rPr>
        <w:t xml:space="preserve"> Floor Premises, or the suitability thereof for Tenant’s use.</w:t>
      </w:r>
    </w:p>
    <w:p>
      <w:pPr>
        <w:spacing w:after="0" w:line="76" w:lineRule="exact"/>
        <w:rPr>
          <w:rFonts w:ascii="Arial" w:cs="Arial" w:eastAsia="Arial" w:hAnsi="Arial"/>
          <w:sz w:val="17"/>
          <w:szCs w:val="17"/>
          <w:color w:val="auto"/>
        </w:rPr>
      </w:pPr>
    </w:p>
    <w:p>
      <w:pPr>
        <w:ind w:left="964" w:hanging="540"/>
        <w:spacing w:after="0" w:line="283" w:lineRule="auto"/>
        <w:rPr>
          <w:rFonts w:ascii="Arial" w:cs="Arial" w:eastAsia="Arial" w:hAnsi="Arial"/>
          <w:sz w:val="17"/>
          <w:szCs w:val="17"/>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Work Letter; Concept Plan</w:t>
      </w:r>
      <w:r>
        <w:rPr>
          <w:rFonts w:ascii="Arial" w:cs="Arial" w:eastAsia="Arial" w:hAnsi="Arial"/>
          <w:sz w:val="16"/>
          <w:szCs w:val="16"/>
          <w:color w:val="auto"/>
        </w:rPr>
        <w:t>. Landlord shall perform the work (“</w:t>
      </w:r>
      <w:r>
        <w:rPr>
          <w:rFonts w:ascii="Arial" w:cs="Arial" w:eastAsia="Arial" w:hAnsi="Arial"/>
          <w:sz w:val="16"/>
          <w:szCs w:val="16"/>
          <w:u w:val="single" w:color="auto"/>
          <w:color w:val="auto"/>
        </w:rPr>
        <w:t>Landlord’s 9</w:t>
      </w:r>
      <w:r>
        <w:rPr>
          <w:rFonts w:ascii="Arial" w:cs="Arial" w:eastAsia="Arial" w:hAnsi="Arial"/>
          <w:sz w:val="13"/>
          <w:szCs w:val="13"/>
          <w:u w:val="single" w:color="auto"/>
          <w:color w:val="auto"/>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Floor Premises Work</w:t>
      </w:r>
      <w:r>
        <w:rPr>
          <w:rFonts w:ascii="Arial" w:cs="Arial" w:eastAsia="Arial" w:hAnsi="Arial"/>
          <w:sz w:val="16"/>
          <w:szCs w:val="16"/>
          <w:color w:val="auto"/>
        </w:rPr>
        <w:t>”) (a) set forth (i) in the work letter (the “</w:t>
      </w:r>
      <w:r>
        <w:rPr>
          <w:rFonts w:ascii="Arial" w:cs="Arial" w:eastAsia="Arial" w:hAnsi="Arial"/>
          <w:sz w:val="16"/>
          <w:szCs w:val="16"/>
          <w:u w:val="single" w:color="auto"/>
          <w:color w:val="auto"/>
        </w:rPr>
        <w:t>Work Letter</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(ii) on the concept plan (the “</w:t>
      </w:r>
      <w:r>
        <w:rPr>
          <w:rFonts w:ascii="Arial" w:cs="Arial" w:eastAsia="Arial" w:hAnsi="Arial"/>
          <w:sz w:val="16"/>
          <w:szCs w:val="16"/>
          <w:u w:val="single" w:color="auto"/>
          <w:color w:val="auto"/>
        </w:rPr>
        <w:t>Concept Plan</w:t>
      </w:r>
      <w:r>
        <w:rPr>
          <w:rFonts w:ascii="Arial" w:cs="Arial" w:eastAsia="Arial" w:hAnsi="Arial"/>
          <w:sz w:val="16"/>
          <w:szCs w:val="16"/>
          <w:color w:val="auto"/>
        </w:rPr>
        <w:t xml:space="preserve">”) prepared by AW Interiors, dated March, 2016,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in order to deliver the 9</w:t>
      </w:r>
      <w:r>
        <w:rPr>
          <w:rFonts w:ascii="Arial" w:cs="Arial" w:eastAsia="Arial" w:hAnsi="Arial"/>
          <w:sz w:val="13"/>
          <w:szCs w:val="13"/>
          <w:color w:val="auto"/>
        </w:rPr>
        <w:t>th</w:t>
      </w:r>
      <w:r>
        <w:rPr>
          <w:rFonts w:ascii="Arial" w:cs="Arial" w:eastAsia="Arial" w:hAnsi="Arial"/>
          <w:sz w:val="16"/>
          <w:szCs w:val="16"/>
          <w:color w:val="auto"/>
        </w:rPr>
        <w:t xml:space="preserve"> Floor Premises to Tenant in accordance therewith and (b) with the existing internal staircase located in the 9</w:t>
      </w:r>
      <w:r>
        <w:rPr>
          <w:rFonts w:ascii="Arial" w:cs="Arial" w:eastAsia="Arial" w:hAnsi="Arial"/>
          <w:sz w:val="13"/>
          <w:szCs w:val="13"/>
          <w:color w:val="auto"/>
        </w:rPr>
        <w:t>th</w:t>
      </w:r>
      <w:r>
        <w:rPr>
          <w:rFonts w:ascii="Arial" w:cs="Arial" w:eastAsia="Arial" w:hAnsi="Arial"/>
          <w:sz w:val="16"/>
          <w:szCs w:val="16"/>
          <w:color w:val="auto"/>
        </w:rPr>
        <w:t xml:space="preserve"> Floor Premises capped (the “</w:t>
      </w:r>
      <w:r>
        <w:rPr>
          <w:rFonts w:ascii="Arial" w:cs="Arial" w:eastAsia="Arial" w:hAnsi="Arial"/>
          <w:sz w:val="16"/>
          <w:szCs w:val="16"/>
          <w:u w:val="single" w:color="auto"/>
          <w:color w:val="auto"/>
        </w:rPr>
        <w:t>Staircase Work</w:t>
      </w:r>
      <w:r>
        <w:rPr>
          <w:rFonts w:ascii="Arial" w:cs="Arial" w:eastAsia="Arial" w:hAnsi="Arial"/>
          <w:sz w:val="16"/>
          <w:szCs w:val="16"/>
          <w:color w:val="auto"/>
        </w:rPr>
        <w:t>”). Notwithstanding anything to the contrary contained herein, (1) Landlord shall not be responsible for the installation in the 9</w:t>
      </w:r>
      <w:r>
        <w:rPr>
          <w:rFonts w:ascii="Arial" w:cs="Arial" w:eastAsia="Arial" w:hAnsi="Arial"/>
          <w:sz w:val="13"/>
          <w:szCs w:val="13"/>
          <w:color w:val="auto"/>
        </w:rPr>
        <w:t>th</w:t>
      </w:r>
      <w:r>
        <w:rPr>
          <w:rFonts w:ascii="Arial" w:cs="Arial" w:eastAsia="Arial" w:hAnsi="Arial"/>
          <w:sz w:val="16"/>
          <w:szCs w:val="16"/>
          <w:color w:val="auto"/>
        </w:rPr>
        <w:t xml:space="preserve"> Floor Premises of Tenant’s furniture, fixtures, equipment and appliances and (2) Landlord shall only be responsible for the cost of Landlord’s 9</w:t>
      </w:r>
      <w:r>
        <w:rPr>
          <w:rFonts w:ascii="Arial" w:cs="Arial" w:eastAsia="Arial" w:hAnsi="Arial"/>
          <w:sz w:val="13"/>
          <w:szCs w:val="13"/>
          <w:color w:val="auto"/>
        </w:rPr>
        <w:t>th</w:t>
      </w:r>
      <w:r>
        <w:rPr>
          <w:rFonts w:ascii="Arial" w:cs="Arial" w:eastAsia="Arial" w:hAnsi="Arial"/>
          <w:sz w:val="16"/>
          <w:szCs w:val="16"/>
          <w:color w:val="auto"/>
        </w:rPr>
        <w:t xml:space="preserve"> Floor Premises Work (excluding the Staircase Work which shall be completed at Landlord’s sole cost and expense, but including the cost of the Construction Drawings (as hereinafter defined)) up to $45.00 per rentable square foot of the Premises (i.e., a maximum of $246,285.00 based on 5,473 rentable square feet), which shall include a construction management fee equal to five percent (5%) of the cost of Landlord’s 9</w:t>
      </w:r>
      <w:r>
        <w:rPr>
          <w:rFonts w:ascii="Arial" w:cs="Arial" w:eastAsia="Arial" w:hAnsi="Arial"/>
          <w:sz w:val="13"/>
          <w:szCs w:val="13"/>
          <w:color w:val="auto"/>
        </w:rPr>
        <w:t>th</w:t>
      </w:r>
      <w:r>
        <w:rPr>
          <w:rFonts w:ascii="Arial" w:cs="Arial" w:eastAsia="Arial" w:hAnsi="Arial"/>
          <w:sz w:val="16"/>
          <w:szCs w:val="16"/>
          <w:color w:val="auto"/>
        </w:rPr>
        <w:t xml:space="preserve"> Floor Premises Work, excluding the cost of the Staircase Work. In the event the cost of Landlord’s 9</w:t>
      </w:r>
      <w:r>
        <w:rPr>
          <w:rFonts w:ascii="Arial" w:cs="Arial" w:eastAsia="Arial" w:hAnsi="Arial"/>
          <w:sz w:val="13"/>
          <w:szCs w:val="13"/>
          <w:color w:val="auto"/>
        </w:rPr>
        <w:t>th</w:t>
      </w:r>
      <w:r>
        <w:rPr>
          <w:rFonts w:ascii="Arial" w:cs="Arial" w:eastAsia="Arial" w:hAnsi="Arial"/>
          <w:sz w:val="16"/>
          <w:szCs w:val="16"/>
          <w:color w:val="auto"/>
        </w:rPr>
        <w:t xml:space="preserve"> Floor Premises Work, excluding the cost of the Staircase Work, exceeds $246,285.00 (the “</w:t>
      </w:r>
      <w:r>
        <w:rPr>
          <w:rFonts w:ascii="Arial" w:cs="Arial" w:eastAsia="Arial" w:hAnsi="Arial"/>
          <w:sz w:val="16"/>
          <w:szCs w:val="16"/>
          <w:u w:val="single" w:color="auto"/>
          <w:color w:val="auto"/>
        </w:rPr>
        <w:t>Excess Costs</w:t>
      </w:r>
      <w:r>
        <w:rPr>
          <w:rFonts w:ascii="Arial" w:cs="Arial" w:eastAsia="Arial" w:hAnsi="Arial"/>
          <w:sz w:val="16"/>
          <w:szCs w:val="16"/>
          <w:color w:val="auto"/>
        </w:rPr>
        <w:t>”), Tenant shall pay such Excess Costs as set forth below. Promptly after Landlord’s receipt of an estimate for Landlord’s 9</w:t>
      </w:r>
      <w:r>
        <w:rPr>
          <w:rFonts w:ascii="Arial" w:cs="Arial" w:eastAsia="Arial" w:hAnsi="Arial"/>
          <w:sz w:val="13"/>
          <w:szCs w:val="13"/>
          <w:color w:val="auto"/>
        </w:rPr>
        <w:t>th</w:t>
      </w:r>
      <w:r>
        <w:rPr>
          <w:rFonts w:ascii="Arial" w:cs="Arial" w:eastAsia="Arial" w:hAnsi="Arial"/>
          <w:sz w:val="16"/>
          <w:szCs w:val="16"/>
          <w:color w:val="auto"/>
        </w:rPr>
        <w:t xml:space="preserve"> Floor Premises Work (the “</w:t>
      </w:r>
      <w:r>
        <w:rPr>
          <w:rFonts w:ascii="Arial" w:cs="Arial" w:eastAsia="Arial" w:hAnsi="Arial"/>
          <w:sz w:val="16"/>
          <w:szCs w:val="16"/>
          <w:u w:val="single" w:color="auto"/>
          <w:color w:val="auto"/>
        </w:rPr>
        <w:t>Estimate</w:t>
      </w:r>
      <w:r>
        <w:rPr>
          <w:rFonts w:ascii="Arial" w:cs="Arial" w:eastAsia="Arial" w:hAnsi="Arial"/>
          <w:sz w:val="16"/>
          <w:szCs w:val="16"/>
          <w:color w:val="auto"/>
        </w:rPr>
        <w:t>”), Landlord shall deliver the Estimate to Tenant for Tenant’s approval. Within four</w:t>
      </w:r>
    </w:p>
    <w:p>
      <w:pPr>
        <w:spacing w:after="0" w:line="2" w:lineRule="exact"/>
        <w:rPr>
          <w:rFonts w:ascii="Arial" w:cs="Arial" w:eastAsia="Arial" w:hAnsi="Arial"/>
          <w:sz w:val="17"/>
          <w:szCs w:val="17"/>
          <w:color w:val="auto"/>
        </w:rPr>
      </w:pPr>
    </w:p>
    <w:p>
      <w:pPr>
        <w:ind w:left="1224" w:hanging="252"/>
        <w:spacing w:after="0"/>
        <w:tabs>
          <w:tab w:leader="none" w:pos="1224" w:val="left"/>
        </w:tabs>
        <w:numPr>
          <w:ilvl w:val="1"/>
          <w:numId w:val="412"/>
        </w:numPr>
        <w:rPr>
          <w:rFonts w:ascii="Arial" w:cs="Arial" w:eastAsia="Arial" w:hAnsi="Arial"/>
          <w:sz w:val="16"/>
          <w:szCs w:val="16"/>
          <w:color w:val="auto"/>
        </w:rPr>
      </w:pPr>
      <w:r>
        <w:rPr>
          <w:rFonts w:ascii="Arial" w:cs="Arial" w:eastAsia="Arial" w:hAnsi="Arial"/>
          <w:sz w:val="16"/>
          <w:szCs w:val="16"/>
          <w:color w:val="auto"/>
        </w:rPr>
        <w:t>Business Days of receipt of the Estimate, Tenant shall respond to Landlord either approving the Estimate and the Excess Costs, or</w:t>
      </w:r>
    </w:p>
    <w:p>
      <w:pPr>
        <w:spacing w:after="0" w:line="32" w:lineRule="exact"/>
        <w:rPr>
          <w:rFonts w:ascii="Arial" w:cs="Arial" w:eastAsia="Arial" w:hAnsi="Arial"/>
          <w:sz w:val="16"/>
          <w:szCs w:val="16"/>
          <w:color w:val="auto"/>
        </w:rPr>
      </w:pPr>
    </w:p>
    <w:p>
      <w:pPr>
        <w:jc w:val="both"/>
        <w:ind w:left="964" w:right="140"/>
        <w:spacing w:after="0" w:line="281" w:lineRule="auto"/>
        <w:rPr>
          <w:rFonts w:ascii="Arial" w:cs="Arial" w:eastAsia="Arial" w:hAnsi="Arial"/>
          <w:sz w:val="16"/>
          <w:szCs w:val="16"/>
          <w:color w:val="auto"/>
        </w:rPr>
      </w:pPr>
      <w:r>
        <w:rPr>
          <w:rFonts w:ascii="Arial" w:cs="Arial" w:eastAsia="Arial" w:hAnsi="Arial"/>
          <w:sz w:val="16"/>
          <w:szCs w:val="16"/>
          <w:color w:val="auto"/>
        </w:rPr>
        <w:t>requesting changes to the Estimate (the “</w:t>
      </w:r>
      <w:r>
        <w:rPr>
          <w:rFonts w:ascii="Arial" w:cs="Arial" w:eastAsia="Arial" w:hAnsi="Arial"/>
          <w:sz w:val="16"/>
          <w:szCs w:val="16"/>
          <w:u w:val="single" w:color="auto"/>
          <w:color w:val="auto"/>
        </w:rPr>
        <w:t>Revision Request</w:t>
      </w:r>
      <w:r>
        <w:rPr>
          <w:rFonts w:ascii="Arial" w:cs="Arial" w:eastAsia="Arial" w:hAnsi="Arial"/>
          <w:sz w:val="16"/>
          <w:szCs w:val="16"/>
          <w:color w:val="auto"/>
        </w:rPr>
        <w:t xml:space="preserve">”). If Tenant shall fail to respond to Landlord within the four (4) Business Day time period herein provided, Tenant shall be deemed to have accepted the Estimate and the Excess Costs (provided, however, any request for Tenant approval that is subject to the terms of this sentence shall be accompanied by a notice to Tenant (which notice may be sent via email in accordance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stating in bold capital letters, </w:t>
      </w:r>
      <w:r>
        <w:rPr>
          <w:rFonts w:ascii="Arial" w:cs="Arial" w:eastAsia="Arial" w:hAnsi="Arial"/>
          <w:sz w:val="16"/>
          <w:szCs w:val="16"/>
          <w:b w:val="1"/>
          <w:bCs w:val="1"/>
          <w:color w:val="auto"/>
        </w:rPr>
        <w:t>“THE ENCLOSED DOCUMENT IS SUBJECT TO</w:t>
      </w:r>
    </w:p>
    <w:p>
      <w:pPr>
        <w:spacing w:after="0" w:line="2" w:lineRule="exact"/>
        <w:rPr>
          <w:rFonts w:ascii="Arial" w:cs="Arial" w:eastAsia="Arial" w:hAnsi="Arial"/>
          <w:sz w:val="16"/>
          <w:szCs w:val="16"/>
          <w:color w:val="auto"/>
        </w:rPr>
      </w:pPr>
    </w:p>
    <w:p>
      <w:pPr>
        <w:ind w:left="964" w:right="140"/>
        <w:spacing w:after="0" w:line="265" w:lineRule="auto"/>
        <w:rPr>
          <w:rFonts w:ascii="Arial" w:cs="Arial" w:eastAsia="Arial" w:hAnsi="Arial"/>
          <w:sz w:val="16"/>
          <w:szCs w:val="16"/>
          <w:color w:val="auto"/>
        </w:rPr>
      </w:pPr>
      <w:r>
        <w:rPr>
          <w:rFonts w:ascii="Arial" w:cs="Arial" w:eastAsia="Arial" w:hAnsi="Arial"/>
          <w:sz w:val="17"/>
          <w:szCs w:val="17"/>
          <w:b w:val="1"/>
          <w:bCs w:val="1"/>
          <w:color w:val="auto"/>
        </w:rPr>
        <w:t>AUTOMATIC APPROVAL IF TENANT DOES NOT RESPOND TO LANDLORD WITHIN FOUR (4) BUSINESS DAYS OF THE DATE OF TENANT’S RECEIPT HEREOF”</w:t>
      </w:r>
      <w:r>
        <w:rPr>
          <w:rFonts w:ascii="Arial" w:cs="Arial" w:eastAsia="Arial" w:hAnsi="Arial"/>
          <w:sz w:val="17"/>
          <w:szCs w:val="17"/>
          <w:color w:val="auto"/>
        </w:rPr>
        <w:t>). If Tenant makes a Revision Request, Landlord shall deliver to Tenant within four</w:t>
      </w:r>
    </w:p>
    <w:p>
      <w:pPr>
        <w:ind w:left="1224" w:hanging="252"/>
        <w:spacing w:after="0"/>
        <w:tabs>
          <w:tab w:leader="none" w:pos="1224" w:val="left"/>
        </w:tabs>
        <w:numPr>
          <w:ilvl w:val="1"/>
          <w:numId w:val="413"/>
        </w:numPr>
        <w:rPr>
          <w:rFonts w:ascii="Arial" w:cs="Arial" w:eastAsia="Arial" w:hAnsi="Arial"/>
          <w:sz w:val="18"/>
          <w:szCs w:val="18"/>
          <w:color w:val="auto"/>
        </w:rPr>
      </w:pPr>
      <w:r>
        <w:rPr>
          <w:rFonts w:ascii="Arial" w:cs="Arial" w:eastAsia="Arial" w:hAnsi="Arial"/>
          <w:sz w:val="18"/>
          <w:szCs w:val="18"/>
          <w:color w:val="auto"/>
        </w:rPr>
        <w:t>Business Days of the date of Tenant’s Revision Request, a revised Estimate (and to the extent necessary,</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3" w:right="459" w:bottom="1440" w:gutter="0" w:footer="0" w:header="0"/>
        </w:sectPr>
      </w:pPr>
    </w:p>
    <w:bookmarkStart w:id="560" w:name="page561"/>
    <w:bookmarkEnd w:id="560"/>
    <w:p>
      <w:pPr>
        <w:ind w:left="560"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revised Construction Drawings). Landlord shall not commence construction of Landlord’s 9</w:t>
      </w:r>
      <w:r>
        <w:rPr>
          <w:rFonts w:ascii="Arial" w:cs="Arial" w:eastAsia="Arial" w:hAnsi="Arial"/>
          <w:sz w:val="15"/>
          <w:szCs w:val="15"/>
          <w:color w:val="auto"/>
        </w:rPr>
        <w:t>th</w:t>
      </w:r>
      <w:r>
        <w:rPr>
          <w:rFonts w:ascii="Arial" w:cs="Arial" w:eastAsia="Arial" w:hAnsi="Arial"/>
          <w:sz w:val="18"/>
          <w:szCs w:val="18"/>
          <w:color w:val="auto"/>
        </w:rPr>
        <w:t xml:space="preserve"> Floor Premises Work until Tenant has approved the Estimate and the Excess Costs. Tenant shall be responsible for payment of all Excess Costs within ten ( l0) days of receipt of an invoice therefor from Landlord. Should Tenant fail to pay the Excess Costs to Landlord as required herein, Landlord shall have all rights and remedies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(Default) of the Lease in addition to any and all other rights and remedies available to Landlord at law or in equity.</w:t>
      </w:r>
    </w:p>
    <w:p>
      <w:pPr>
        <w:spacing w:after="0" w:line="93" w:lineRule="exact"/>
        <w:rPr>
          <w:sz w:val="20"/>
          <w:szCs w:val="20"/>
          <w:color w:val="auto"/>
        </w:rPr>
      </w:pPr>
    </w:p>
    <w:p>
      <w:pPr>
        <w:ind w:left="540" w:hanging="539"/>
        <w:spacing w:after="0" w:line="270" w:lineRule="auto"/>
        <w:tabs>
          <w:tab w:leader="none" w:pos="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Construction Drawings</w:t>
      </w:r>
      <w:r>
        <w:rPr>
          <w:rFonts w:ascii="Arial" w:cs="Arial" w:eastAsia="Arial" w:hAnsi="Arial"/>
          <w:sz w:val="17"/>
          <w:szCs w:val="17"/>
          <w:color w:val="auto"/>
        </w:rPr>
        <w:t>. In connection with the performance of Landlord’s 9</w:t>
      </w:r>
      <w:r>
        <w:rPr>
          <w:rFonts w:ascii="Arial" w:cs="Arial" w:eastAsia="Arial" w:hAnsi="Arial"/>
          <w:sz w:val="14"/>
          <w:szCs w:val="14"/>
          <w:color w:val="auto"/>
        </w:rPr>
        <w:t>th</w:t>
      </w:r>
      <w:r>
        <w:rPr>
          <w:rFonts w:ascii="Arial" w:cs="Arial" w:eastAsia="Arial" w:hAnsi="Arial"/>
          <w:sz w:val="17"/>
          <w:szCs w:val="17"/>
          <w:u w:val="single" w:color="auto"/>
          <w:color w:val="auto"/>
        </w:rPr>
        <w:t xml:space="preserve"> </w:t>
      </w:r>
      <w:r>
        <w:rPr>
          <w:rFonts w:ascii="Arial" w:cs="Arial" w:eastAsia="Arial" w:hAnsi="Arial"/>
          <w:sz w:val="17"/>
          <w:szCs w:val="17"/>
          <w:color w:val="auto"/>
        </w:rPr>
        <w:t>Floor Premises Work”, Landlord shall, based upon the Work</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Letter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the Concept Plan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submit to Tenant for Tenant’s approval a set of construction drawings for Tenant’s 9</w:t>
      </w:r>
      <w:r>
        <w:rPr>
          <w:rFonts w:ascii="Arial" w:cs="Arial" w:eastAsia="Arial" w:hAnsi="Arial"/>
          <w:sz w:val="14"/>
          <w:szCs w:val="14"/>
          <w:color w:val="auto"/>
        </w:rPr>
        <w:t>th</w:t>
      </w:r>
      <w:r>
        <w:rPr>
          <w:rFonts w:ascii="Arial" w:cs="Arial" w:eastAsia="Arial" w:hAnsi="Arial"/>
          <w:sz w:val="17"/>
          <w:szCs w:val="17"/>
          <w:color w:val="auto"/>
        </w:rPr>
        <w:t xml:space="preserve"> Floor Premises Work (the “</w:t>
      </w:r>
      <w:r>
        <w:rPr>
          <w:rFonts w:ascii="Arial" w:cs="Arial" w:eastAsia="Arial" w:hAnsi="Arial"/>
          <w:sz w:val="17"/>
          <w:szCs w:val="17"/>
          <w:u w:val="single" w:color="auto"/>
          <w:color w:val="auto"/>
        </w:rPr>
        <w:t>Construction Drawings</w:t>
      </w:r>
      <w:r>
        <w:rPr>
          <w:rFonts w:ascii="Arial" w:cs="Arial" w:eastAsia="Arial" w:hAnsi="Arial"/>
          <w:sz w:val="17"/>
          <w:szCs w:val="17"/>
          <w:color w:val="auto"/>
        </w:rPr>
        <w:t>”) within forty-five (45) days after the date of this First Amendment. Tenant agrees to use commercially reasonable efforts to respond to any request for approval of the Construction Drawings or any other request requiring Tenant’s consent with respect to Tenant’s 9</w:t>
      </w:r>
      <w:r>
        <w:rPr>
          <w:rFonts w:ascii="Arial" w:cs="Arial" w:eastAsia="Arial" w:hAnsi="Arial"/>
          <w:sz w:val="14"/>
          <w:szCs w:val="14"/>
          <w:color w:val="auto"/>
        </w:rPr>
        <w:t>th</w:t>
      </w:r>
      <w:r>
        <w:rPr>
          <w:rFonts w:ascii="Arial" w:cs="Arial" w:eastAsia="Arial" w:hAnsi="Arial"/>
          <w:sz w:val="17"/>
          <w:szCs w:val="17"/>
          <w:color w:val="auto"/>
        </w:rPr>
        <w:t xml:space="preserve"> Floor Premises Work within four (4) Business Days after receipt thereof. If Tenant shall fail to respond to Landlord within the four (4) Business Day time period herein provided, Tenant shall be deemed to have accepted the Construction Drawings or any other request requiring Tenant’s consent (as the case may be), but provided that such document(s) shall be accompanied by a notice to Tenant (which notice may be sent via email in accordance with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below) including the language in bold, capital letters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above.</w:t>
      </w:r>
    </w:p>
    <w:p>
      <w:pPr>
        <w:spacing w:after="0" w:line="86" w:lineRule="exact"/>
        <w:rPr>
          <w:sz w:val="20"/>
          <w:szCs w:val="20"/>
          <w:color w:val="auto"/>
        </w:rPr>
      </w:pPr>
    </w:p>
    <w:p>
      <w:pPr>
        <w:ind w:left="540" w:right="760" w:hanging="539"/>
        <w:spacing w:after="0" w:line="277" w:lineRule="auto"/>
        <w:tabs>
          <w:tab w:leader="none" w:pos="5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u w:val="single" w:color="auto"/>
          <w:color w:val="auto"/>
        </w:rPr>
        <w:t>Building Standard</w:t>
      </w:r>
      <w:r>
        <w:rPr>
          <w:rFonts w:ascii="Arial" w:cs="Arial" w:eastAsia="Arial" w:hAnsi="Arial"/>
          <w:sz w:val="18"/>
          <w:szCs w:val="18"/>
          <w:color w:val="auto"/>
        </w:rPr>
        <w:t>.</w:t>
      </w:r>
      <w:r>
        <w:rPr>
          <w:rFonts w:ascii="Arial" w:cs="Arial" w:eastAsia="Arial" w:hAnsi="Arial"/>
          <w:sz w:val="18"/>
          <w:szCs w:val="18"/>
          <w:u w:val="single" w:color="auto"/>
          <w:color w:val="auto"/>
        </w:rPr>
        <w:t xml:space="preserve"> Section 3.l(B) </w:t>
      </w:r>
      <w:r>
        <w:rPr>
          <w:rFonts w:ascii="Arial" w:cs="Arial" w:eastAsia="Arial" w:hAnsi="Arial"/>
          <w:sz w:val="18"/>
          <w:szCs w:val="18"/>
          <w:color w:val="auto"/>
        </w:rPr>
        <w:t>of the Lease shall apply to Landlord’s construction of Landlord’s 9</w:t>
      </w:r>
      <w:r>
        <w:rPr>
          <w:rFonts w:ascii="Arial" w:cs="Arial" w:eastAsia="Arial" w:hAnsi="Arial"/>
          <w:sz w:val="15"/>
          <w:szCs w:val="15"/>
          <w:color w:val="auto"/>
        </w:rPr>
        <w:t>th</w:t>
      </w:r>
      <w:r>
        <w:rPr>
          <w:rFonts w:ascii="Arial" w:cs="Arial" w:eastAsia="Arial" w:hAnsi="Arial"/>
          <w:sz w:val="18"/>
          <w:szCs w:val="18"/>
          <w:u w:val="single" w:color="auto"/>
          <w:color w:val="auto"/>
        </w:rPr>
        <w:t xml:space="preserve"> </w:t>
      </w:r>
      <w:r>
        <w:rPr>
          <w:rFonts w:ascii="Arial" w:cs="Arial" w:eastAsia="Arial" w:hAnsi="Arial"/>
          <w:sz w:val="18"/>
          <w:szCs w:val="18"/>
          <w:color w:val="auto"/>
        </w:rPr>
        <w:t>Floor Premises Work, but</w:t>
      </w:r>
      <w:r>
        <w:rPr>
          <w:rFonts w:ascii="Arial" w:cs="Arial" w:eastAsia="Arial" w:hAnsi="Arial"/>
          <w:sz w:val="18"/>
          <w:szCs w:val="18"/>
          <w:u w:val="single" w:color="auto"/>
          <w:color w:val="auto"/>
        </w:rPr>
        <w:t xml:space="preserve"> </w:t>
      </w:r>
      <w:r>
        <w:rPr>
          <w:rFonts w:ascii="Arial" w:cs="Arial" w:eastAsia="Arial" w:hAnsi="Arial"/>
          <w:sz w:val="18"/>
          <w:szCs w:val="18"/>
          <w:color w:val="auto"/>
        </w:rPr>
        <w:t>substituting the term “Landlord’s 9</w:t>
      </w:r>
      <w:r>
        <w:rPr>
          <w:rFonts w:ascii="Arial" w:cs="Arial" w:eastAsia="Arial" w:hAnsi="Arial"/>
          <w:sz w:val="15"/>
          <w:szCs w:val="15"/>
          <w:color w:val="auto"/>
        </w:rPr>
        <w:t>th</w:t>
      </w:r>
      <w:r>
        <w:rPr>
          <w:rFonts w:ascii="Arial" w:cs="Arial" w:eastAsia="Arial" w:hAnsi="Arial"/>
          <w:sz w:val="18"/>
          <w:szCs w:val="18"/>
          <w:color w:val="auto"/>
        </w:rPr>
        <w:t xml:space="preserve"> Floor Premises Work” for the term “Landlord’s Work”.</w:t>
      </w:r>
    </w:p>
    <w:p>
      <w:pPr>
        <w:spacing w:after="0" w:line="76" w:lineRule="exact"/>
        <w:rPr>
          <w:sz w:val="20"/>
          <w:szCs w:val="20"/>
          <w:color w:val="auto"/>
        </w:rPr>
      </w:pPr>
    </w:p>
    <w:p>
      <w:pPr>
        <w:ind w:left="540" w:right="60" w:hanging="539"/>
        <w:spacing w:after="0" w:line="288" w:lineRule="auto"/>
        <w:tabs>
          <w:tab w:leader="none" w:pos="5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Substantial Completion of Landlord’s 9</w:t>
      </w:r>
      <w:r>
        <w:rPr>
          <w:rFonts w:ascii="Arial" w:cs="Arial" w:eastAsia="Arial" w:hAnsi="Arial"/>
          <w:sz w:val="13"/>
          <w:szCs w:val="13"/>
          <w:u w:val="single" w:color="auto"/>
          <w:color w:val="auto"/>
        </w:rPr>
        <w:t>th</w:t>
      </w:r>
      <w:r>
        <w:rPr>
          <w:rFonts w:ascii="Arial" w:cs="Arial" w:eastAsia="Arial" w:hAnsi="Arial"/>
          <w:sz w:val="16"/>
          <w:szCs w:val="16"/>
          <w:u w:val="single" w:color="auto"/>
          <w:color w:val="auto"/>
        </w:rPr>
        <w:t xml:space="preserve"> Floor Premises Work</w:t>
      </w:r>
      <w:r>
        <w:rPr>
          <w:rFonts w:ascii="Arial" w:cs="Arial" w:eastAsia="Arial" w:hAnsi="Arial"/>
          <w:sz w:val="16"/>
          <w:szCs w:val="16"/>
          <w:color w:val="auto"/>
        </w:rPr>
        <w:t>. Landlord’s 9</w:t>
      </w:r>
      <w:r>
        <w:rPr>
          <w:rFonts w:ascii="Arial" w:cs="Arial" w:eastAsia="Arial" w:hAnsi="Arial"/>
          <w:sz w:val="13"/>
          <w:szCs w:val="13"/>
          <w:color w:val="auto"/>
        </w:rPr>
        <w:t>th</w:t>
      </w:r>
      <w:r>
        <w:rPr>
          <w:rFonts w:ascii="Arial" w:cs="Arial" w:eastAsia="Arial" w:hAnsi="Arial"/>
          <w:sz w:val="16"/>
          <w:szCs w:val="16"/>
          <w:u w:val="single" w:color="auto"/>
          <w:color w:val="auto"/>
        </w:rPr>
        <w:t xml:space="preserve"> </w:t>
      </w:r>
      <w:r>
        <w:rPr>
          <w:rFonts w:ascii="Arial" w:cs="Arial" w:eastAsia="Arial" w:hAnsi="Arial"/>
          <w:sz w:val="16"/>
          <w:szCs w:val="16"/>
          <w:color w:val="auto"/>
        </w:rPr>
        <w:t>Floor Premises Work shall be deemed “</w:t>
      </w:r>
      <w:r>
        <w:rPr>
          <w:rFonts w:ascii="Arial" w:cs="Arial" w:eastAsia="Arial" w:hAnsi="Arial"/>
          <w:sz w:val="16"/>
          <w:szCs w:val="16"/>
          <w:u w:val="single" w:color="auto"/>
          <w:color w:val="auto"/>
        </w:rPr>
        <w:t>Substantially Complete</w:t>
      </w:r>
      <w:r>
        <w:rPr>
          <w:rFonts w:ascii="Arial" w:cs="Arial" w:eastAsia="Arial" w:hAnsi="Arial"/>
          <w:sz w:val="16"/>
          <w:szCs w:val="16"/>
          <w:color w:val="auto"/>
        </w:rPr>
        <w:t>” when (a) Landlord’s construction representative confirms that Landlord’s 9</w:t>
      </w:r>
      <w:r>
        <w:rPr>
          <w:rFonts w:ascii="Arial" w:cs="Arial" w:eastAsia="Arial" w:hAnsi="Arial"/>
          <w:sz w:val="13"/>
          <w:szCs w:val="13"/>
          <w:color w:val="auto"/>
        </w:rPr>
        <w:t>th</w:t>
      </w:r>
      <w:r>
        <w:rPr>
          <w:rFonts w:ascii="Arial" w:cs="Arial" w:eastAsia="Arial" w:hAnsi="Arial"/>
          <w:sz w:val="16"/>
          <w:szCs w:val="16"/>
          <w:color w:val="auto"/>
        </w:rPr>
        <w:t xml:space="preserve"> Floor Premises Work has been completed in accordance with the Construction Drawings, Punchlist Items (as hereinafter defined) excepted and (b) Landlord has obtained a certificate of occupancy ( or temporary certificate of occupancy) as necessary for Tenant to occupy the 9</w:t>
      </w:r>
      <w:r>
        <w:rPr>
          <w:rFonts w:ascii="Arial" w:cs="Arial" w:eastAsia="Arial" w:hAnsi="Arial"/>
          <w:sz w:val="13"/>
          <w:szCs w:val="13"/>
          <w:color w:val="auto"/>
        </w:rPr>
        <w:t>th</w:t>
      </w:r>
      <w:r>
        <w:rPr>
          <w:rFonts w:ascii="Arial" w:cs="Arial" w:eastAsia="Arial" w:hAnsi="Arial"/>
          <w:sz w:val="16"/>
          <w:szCs w:val="16"/>
          <w:color w:val="auto"/>
        </w:rPr>
        <w:t xml:space="preserve"> Floor Premises for the Permitted Use. Subject to delays due to events of Force Majeure (as defined in the Lease), Extra Work (as hereinafter defined), or Tenant Delay (as hereinafter defined), Landlord shall use commercially reasonable efforts to complete Landlord’s 9</w:t>
      </w:r>
      <w:r>
        <w:rPr>
          <w:rFonts w:ascii="Arial" w:cs="Arial" w:eastAsia="Arial" w:hAnsi="Arial"/>
          <w:sz w:val="13"/>
          <w:szCs w:val="13"/>
          <w:color w:val="auto"/>
        </w:rPr>
        <w:t>th</w:t>
      </w:r>
      <w:r>
        <w:rPr>
          <w:rFonts w:ascii="Arial" w:cs="Arial" w:eastAsia="Arial" w:hAnsi="Arial"/>
          <w:sz w:val="16"/>
          <w:szCs w:val="16"/>
          <w:color w:val="auto"/>
        </w:rPr>
        <w:t xml:space="preserve"> Floor Premises Work on or before September I, 2016, but Tenant shall have no claim against Landlord for failure to complete Landlord’s 9</w:t>
      </w:r>
      <w:r>
        <w:rPr>
          <w:rFonts w:ascii="Arial" w:cs="Arial" w:eastAsia="Arial" w:hAnsi="Arial"/>
          <w:sz w:val="13"/>
          <w:szCs w:val="13"/>
          <w:color w:val="auto"/>
        </w:rPr>
        <w:t>th</w:t>
      </w:r>
      <w:r>
        <w:rPr>
          <w:rFonts w:ascii="Arial" w:cs="Arial" w:eastAsia="Arial" w:hAnsi="Arial"/>
          <w:sz w:val="16"/>
          <w:szCs w:val="16"/>
          <w:color w:val="auto"/>
        </w:rPr>
        <w:t xml:space="preserve"> Floor Premises Work by such date. Notwithstanding the foregoing, in the event Landlord fails to deliver the 9</w:t>
      </w:r>
      <w:r>
        <w:rPr>
          <w:rFonts w:ascii="Arial" w:cs="Arial" w:eastAsia="Arial" w:hAnsi="Arial"/>
          <w:sz w:val="13"/>
          <w:szCs w:val="13"/>
          <w:color w:val="auto"/>
        </w:rPr>
        <w:t>th</w:t>
      </w:r>
      <w:r>
        <w:rPr>
          <w:rFonts w:ascii="Arial" w:cs="Arial" w:eastAsia="Arial" w:hAnsi="Arial"/>
          <w:sz w:val="16"/>
          <w:szCs w:val="16"/>
          <w:color w:val="auto"/>
        </w:rPr>
        <w:t xml:space="preserve"> Floor Premises with Landlord’s 9</w:t>
      </w:r>
      <w:r>
        <w:rPr>
          <w:rFonts w:ascii="Arial" w:cs="Arial" w:eastAsia="Arial" w:hAnsi="Arial"/>
          <w:sz w:val="13"/>
          <w:szCs w:val="13"/>
          <w:color w:val="auto"/>
        </w:rPr>
        <w:t>th</w:t>
      </w:r>
      <w:r>
        <w:rPr>
          <w:rFonts w:ascii="Arial" w:cs="Arial" w:eastAsia="Arial" w:hAnsi="Arial"/>
          <w:sz w:val="16"/>
          <w:szCs w:val="16"/>
          <w:color w:val="auto"/>
        </w:rPr>
        <w:t xml:space="preserve"> Floor Premises Work Substantially Complete on or before December 1, 2016 (except for delays due to events of Force Majeure, Extra Work, or Tenant Delay), then Landlord shall provide Tenant with a credit of one (1) day’s Base Rent with respect to the 9</w:t>
      </w:r>
      <w:r>
        <w:rPr>
          <w:rFonts w:ascii="Arial" w:cs="Arial" w:eastAsia="Arial" w:hAnsi="Arial"/>
          <w:sz w:val="13"/>
          <w:szCs w:val="13"/>
          <w:color w:val="auto"/>
        </w:rPr>
        <w:t>th</w:t>
      </w:r>
      <w:r>
        <w:rPr>
          <w:rFonts w:ascii="Arial" w:cs="Arial" w:eastAsia="Arial" w:hAnsi="Arial"/>
          <w:sz w:val="16"/>
          <w:szCs w:val="16"/>
          <w:color w:val="auto"/>
        </w:rPr>
        <w:t xml:space="preserve"> Floor Premises for</w:t>
      </w:r>
    </w:p>
    <w:p>
      <w:pPr>
        <w:spacing w:after="0" w:line="1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60" w:top="273" w:right="459" w:bottom="1440" w:gutter="0" w:footer="0" w:header="0"/>
        </w:sectPr>
      </w:pPr>
    </w:p>
    <w:bookmarkStart w:id="561" w:name="page562"/>
    <w:bookmarkEnd w:id="561"/>
    <w:p>
      <w:pPr>
        <w:ind w:left="560"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day after December 1, 2016 until the 9</w:t>
      </w:r>
      <w:r>
        <w:rPr>
          <w:rFonts w:ascii="Arial" w:cs="Arial" w:eastAsia="Arial" w:hAnsi="Arial"/>
          <w:sz w:val="15"/>
          <w:szCs w:val="15"/>
          <w:color w:val="auto"/>
        </w:rPr>
        <w:t>th</w:t>
      </w:r>
      <w:r>
        <w:rPr>
          <w:rFonts w:ascii="Arial" w:cs="Arial" w:eastAsia="Arial" w:hAnsi="Arial"/>
          <w:sz w:val="18"/>
          <w:szCs w:val="18"/>
          <w:color w:val="auto"/>
        </w:rPr>
        <w:t xml:space="preserve"> Floor Premises Commencement Date occurs. The foregoing credit shall be applied on a day-for-day basis beginning on the 9</w:t>
      </w:r>
      <w:r>
        <w:rPr>
          <w:rFonts w:ascii="Arial" w:cs="Arial" w:eastAsia="Arial" w:hAnsi="Arial"/>
          <w:sz w:val="15"/>
          <w:szCs w:val="15"/>
          <w:color w:val="auto"/>
        </w:rPr>
        <w:t>th</w:t>
      </w:r>
      <w:r>
        <w:rPr>
          <w:rFonts w:ascii="Arial" w:cs="Arial" w:eastAsia="Arial" w:hAnsi="Arial"/>
          <w:sz w:val="18"/>
          <w:szCs w:val="18"/>
          <w:color w:val="auto"/>
        </w:rPr>
        <w:t xml:space="preserve"> Floor Premises Commencement Date.</w:t>
      </w:r>
    </w:p>
    <w:p>
      <w:pPr>
        <w:spacing w:after="0" w:line="76" w:lineRule="exact"/>
        <w:rPr>
          <w:sz w:val="20"/>
          <w:szCs w:val="20"/>
          <w:color w:val="auto"/>
        </w:rPr>
      </w:pPr>
    </w:p>
    <w:p>
      <w:pPr>
        <w:ind w:left="540" w:hanging="539"/>
        <w:spacing w:after="0" w:line="286" w:lineRule="auto"/>
        <w:tabs>
          <w:tab w:leader="none" w:pos="5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Extra Work</w:t>
      </w:r>
      <w:r>
        <w:rPr>
          <w:rFonts w:ascii="Arial" w:cs="Arial" w:eastAsia="Arial" w:hAnsi="Arial"/>
          <w:sz w:val="16"/>
          <w:szCs w:val="16"/>
          <w:color w:val="auto"/>
        </w:rPr>
        <w:t>. If, after approval of the Construction Drawings, Tenant requests any changes (including changes to materials or finishes)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such Construction Drawings (“</w:t>
      </w:r>
      <w:r>
        <w:rPr>
          <w:rFonts w:ascii="Arial" w:cs="Arial" w:eastAsia="Arial" w:hAnsi="Arial"/>
          <w:sz w:val="16"/>
          <w:szCs w:val="16"/>
          <w:u w:val="single" w:color="auto"/>
          <w:color w:val="auto"/>
        </w:rPr>
        <w:t>Extra Work</w:t>
      </w:r>
      <w:r>
        <w:rPr>
          <w:rFonts w:ascii="Arial" w:cs="Arial" w:eastAsia="Arial" w:hAnsi="Arial"/>
          <w:sz w:val="16"/>
          <w:szCs w:val="16"/>
          <w:color w:val="auto"/>
        </w:rPr>
        <w:t>”), Tenant (at Tenant’s sole cost and expense) shall submit to Landlord all information, plans and specifications necessary for Landlord to review the Extra Work (the “</w:t>
      </w:r>
      <w:r>
        <w:rPr>
          <w:rFonts w:ascii="Arial" w:cs="Arial" w:eastAsia="Arial" w:hAnsi="Arial"/>
          <w:sz w:val="16"/>
          <w:szCs w:val="16"/>
          <w:u w:val="single" w:color="auto"/>
          <w:color w:val="auto"/>
        </w:rPr>
        <w:t>Change Request</w:t>
      </w:r>
      <w:r>
        <w:rPr>
          <w:rFonts w:ascii="Arial" w:cs="Arial" w:eastAsia="Arial" w:hAnsi="Arial"/>
          <w:sz w:val="16"/>
          <w:szCs w:val="16"/>
          <w:color w:val="auto"/>
        </w:rPr>
        <w:t xml:space="preserve">”), the approval of which Landlord agrees not to unreasonably withhold, condition or delay; provided, however, that any approved Change Request shall be completed at Tenant’s sole cost and expense and subject to the terms and conditions of this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(and shall be deemed to be an Excess Cost). Prior to commencing any Extra Work related to the approved Change Request, Landlord shall submit to Tenant a written statement of the cost of such Extra Work (which statement shall include the amount of additional time required to complete such Extra Work) and a proposed tenant change order therefor (the “</w:t>
      </w:r>
      <w:r>
        <w:rPr>
          <w:rFonts w:ascii="Arial" w:cs="Arial" w:eastAsia="Arial" w:hAnsi="Arial"/>
          <w:sz w:val="16"/>
          <w:szCs w:val="16"/>
          <w:u w:val="single" w:color="auto"/>
          <w:color w:val="auto"/>
        </w:rPr>
        <w:t>Change Order</w:t>
      </w:r>
      <w:r>
        <w:rPr>
          <w:rFonts w:ascii="Arial" w:cs="Arial" w:eastAsia="Arial" w:hAnsi="Arial"/>
          <w:sz w:val="16"/>
          <w:szCs w:val="16"/>
          <w:color w:val="auto"/>
        </w:rPr>
        <w:t>”) in the standard form then in use by Landlord. If Tenant wishes to proceed with the Extra Work, Tenant shall execute and deliver to Landlord the Change Order, along with payment for the entire cost of the Extra Work. Costs related to approved Change Requests and Change Orders shall include, without limitation, Landlord’s architectural and design fees, construction management fee, and general contractor’s price for effecting the change. If Tenant fails to execute and deliver to Landlord the Change Order, along with payment for the entire cost of the Extra Work, then Landlord shall not be obligated to do any additional work related to the approved Change Request and/or Change Order, and Landlord may proceed to perform only Landlord’s 9</w:t>
      </w:r>
      <w:r>
        <w:rPr>
          <w:rFonts w:ascii="Arial" w:cs="Arial" w:eastAsia="Arial" w:hAnsi="Arial"/>
          <w:sz w:val="13"/>
          <w:szCs w:val="13"/>
          <w:color w:val="auto"/>
        </w:rPr>
        <w:t>th</w:t>
      </w:r>
      <w:r>
        <w:rPr>
          <w:rFonts w:ascii="Arial" w:cs="Arial" w:eastAsia="Arial" w:hAnsi="Arial"/>
          <w:sz w:val="16"/>
          <w:szCs w:val="16"/>
          <w:color w:val="auto"/>
        </w:rPr>
        <w:t xml:space="preserve"> Floor Premises Work.</w:t>
      </w:r>
    </w:p>
    <w:p>
      <w:pPr>
        <w:spacing w:after="0" w:line="79" w:lineRule="exact"/>
        <w:rPr>
          <w:sz w:val="20"/>
          <w:szCs w:val="20"/>
          <w:color w:val="auto"/>
        </w:rPr>
      </w:pPr>
    </w:p>
    <w:p>
      <w:pPr>
        <w:ind w:left="540" w:right="120" w:hanging="539"/>
        <w:spacing w:after="0" w:line="255" w:lineRule="auto"/>
        <w:tabs>
          <w:tab w:leader="none" w:pos="5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u w:val="single" w:color="auto"/>
          <w:color w:val="auto"/>
        </w:rPr>
        <w:t>Consequences of Extra Work</w:t>
      </w:r>
      <w:r>
        <w:rPr>
          <w:rFonts w:ascii="Arial" w:cs="Arial" w:eastAsia="Arial" w:hAnsi="Arial"/>
          <w:sz w:val="18"/>
          <w:szCs w:val="18"/>
          <w:color w:val="auto"/>
        </w:rPr>
        <w:t>. Notwithstanding anything contained herein or elsewhere in this First Amendment to the contrary, if there 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any increase in Landlord’s cost for Landlord’s 9</w:t>
      </w:r>
      <w:r>
        <w:rPr>
          <w:rFonts w:ascii="Arial" w:cs="Arial" w:eastAsia="Arial" w:hAnsi="Arial"/>
          <w:sz w:val="15"/>
          <w:szCs w:val="15"/>
          <w:color w:val="auto"/>
        </w:rPr>
        <w:t>th</w:t>
      </w:r>
      <w:r>
        <w:rPr>
          <w:rFonts w:ascii="Arial" w:cs="Arial" w:eastAsia="Arial" w:hAnsi="Arial"/>
          <w:sz w:val="18"/>
          <w:szCs w:val="18"/>
          <w:color w:val="auto"/>
        </w:rPr>
        <w:t xml:space="preserve"> Floor Premises Work solely as a result of the Extra Work approved by Tenant or if Landlord is delayed in substantial completion of Landlord’s 9</w:t>
      </w:r>
      <w:r>
        <w:rPr>
          <w:rFonts w:ascii="Arial" w:cs="Arial" w:eastAsia="Arial" w:hAnsi="Arial"/>
          <w:sz w:val="15"/>
          <w:szCs w:val="15"/>
          <w:color w:val="auto"/>
        </w:rPr>
        <w:t>th</w:t>
      </w:r>
      <w:r>
        <w:rPr>
          <w:rFonts w:ascii="Arial" w:cs="Arial" w:eastAsia="Arial" w:hAnsi="Arial"/>
          <w:sz w:val="18"/>
          <w:szCs w:val="18"/>
          <w:color w:val="auto"/>
        </w:rPr>
        <w:t xml:space="preserve"> Floor Premises Work solely as a result of the Extra Work approved by Tenant, then (a) Tenant shall be responsible for the increase in Landlord’s cost for Landlord’s 9</w:t>
      </w:r>
      <w:r>
        <w:rPr>
          <w:rFonts w:ascii="Arial" w:cs="Arial" w:eastAsia="Arial" w:hAnsi="Arial"/>
          <w:sz w:val="15"/>
          <w:szCs w:val="15"/>
          <w:color w:val="auto"/>
        </w:rPr>
        <w:t>th</w:t>
      </w:r>
      <w:r>
        <w:rPr>
          <w:rFonts w:ascii="Arial" w:cs="Arial" w:eastAsia="Arial" w:hAnsi="Arial"/>
          <w:sz w:val="18"/>
          <w:szCs w:val="18"/>
          <w:color w:val="auto"/>
        </w:rPr>
        <w:t xml:space="preserve"> Floor Premises Work, and (b) the 9</w:t>
      </w:r>
      <w:r>
        <w:rPr>
          <w:rFonts w:ascii="Arial" w:cs="Arial" w:eastAsia="Arial" w:hAnsi="Arial"/>
          <w:sz w:val="15"/>
          <w:szCs w:val="15"/>
          <w:color w:val="auto"/>
        </w:rPr>
        <w:t>th</w:t>
      </w:r>
      <w:r>
        <w:rPr>
          <w:rFonts w:ascii="Arial" w:cs="Arial" w:eastAsia="Arial" w:hAnsi="Arial"/>
          <w:sz w:val="18"/>
          <w:szCs w:val="18"/>
          <w:color w:val="auto"/>
        </w:rPr>
        <w:t xml:space="preserve"> Floor Premises Commencement Date shall be deemed to be the date on which Landlord’s 9</w:t>
      </w:r>
      <w:r>
        <w:rPr>
          <w:rFonts w:ascii="Arial" w:cs="Arial" w:eastAsia="Arial" w:hAnsi="Arial"/>
          <w:sz w:val="15"/>
          <w:szCs w:val="15"/>
          <w:color w:val="auto"/>
        </w:rPr>
        <w:t>th</w:t>
      </w:r>
      <w:r>
        <w:rPr>
          <w:rFonts w:ascii="Arial" w:cs="Arial" w:eastAsia="Arial" w:hAnsi="Arial"/>
          <w:sz w:val="18"/>
          <w:szCs w:val="18"/>
          <w:color w:val="auto"/>
        </w:rPr>
        <w:t xml:space="preserve"> Floor Premises Work would have been Substantially Complete but for the Extra Work.</w:t>
      </w:r>
    </w:p>
    <w:p>
      <w:pPr>
        <w:spacing w:after="0" w:line="98" w:lineRule="exact"/>
        <w:rPr>
          <w:sz w:val="20"/>
          <w:szCs w:val="20"/>
          <w:color w:val="auto"/>
        </w:rPr>
      </w:pPr>
    </w:p>
    <w:p>
      <w:pPr>
        <w:ind w:left="540" w:right="40" w:hanging="539"/>
        <w:spacing w:after="0" w:line="275" w:lineRule="auto"/>
        <w:tabs>
          <w:tab w:leader="none" w:pos="5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u w:val="single" w:color="auto"/>
          <w:color w:val="auto"/>
        </w:rPr>
        <w:t>Tenant Delay</w:t>
      </w:r>
      <w:r>
        <w:rPr>
          <w:rFonts w:ascii="Arial" w:cs="Arial" w:eastAsia="Arial" w:hAnsi="Arial"/>
          <w:sz w:val="17"/>
          <w:szCs w:val="17"/>
          <w:color w:val="auto"/>
        </w:rPr>
        <w:t>. A “</w:t>
      </w:r>
      <w:r>
        <w:rPr>
          <w:rFonts w:ascii="Arial" w:cs="Arial" w:eastAsia="Arial" w:hAnsi="Arial"/>
          <w:sz w:val="17"/>
          <w:szCs w:val="17"/>
          <w:u w:val="single" w:color="auto"/>
          <w:color w:val="auto"/>
        </w:rPr>
        <w:t>Tenant Delay</w:t>
      </w:r>
      <w:r>
        <w:rPr>
          <w:rFonts w:ascii="Arial" w:cs="Arial" w:eastAsia="Arial" w:hAnsi="Arial"/>
          <w:sz w:val="17"/>
          <w:szCs w:val="17"/>
          <w:color w:val="auto"/>
        </w:rPr>
        <w:t>” shall be defined as any act or omission by Tenant or Tenant’s agents, employees, contractors, servants,</w:t>
      </w:r>
      <w:r>
        <w:rPr>
          <w:rFonts w:ascii="Arial" w:cs="Arial" w:eastAsia="Arial" w:hAnsi="Arial"/>
          <w:sz w:val="17"/>
          <w:szCs w:val="17"/>
          <w:u w:val="single" w:color="auto"/>
          <w:color w:val="auto"/>
        </w:rPr>
        <w:t xml:space="preserve"> </w:t>
      </w:r>
      <w:r>
        <w:rPr>
          <w:rFonts w:ascii="Arial" w:cs="Arial" w:eastAsia="Arial" w:hAnsi="Arial"/>
          <w:sz w:val="17"/>
          <w:szCs w:val="17"/>
          <w:color w:val="auto"/>
        </w:rPr>
        <w:t>licensees and invitees (“</w:t>
      </w:r>
      <w:r>
        <w:rPr>
          <w:rFonts w:ascii="Arial" w:cs="Arial" w:eastAsia="Arial" w:hAnsi="Arial"/>
          <w:sz w:val="17"/>
          <w:szCs w:val="17"/>
          <w:u w:val="single" w:color="auto"/>
          <w:color w:val="auto"/>
        </w:rPr>
        <w:t>Tenant’s Agents</w:t>
      </w:r>
      <w:r>
        <w:rPr>
          <w:rFonts w:ascii="Arial" w:cs="Arial" w:eastAsia="Arial" w:hAnsi="Arial"/>
          <w:sz w:val="17"/>
          <w:szCs w:val="17"/>
          <w:color w:val="auto"/>
        </w:rPr>
        <w:t>”) which causes an actual delay in the performance of Landlord’s 9</w:t>
      </w:r>
      <w:r>
        <w:rPr>
          <w:rFonts w:ascii="Arial" w:cs="Arial" w:eastAsia="Arial" w:hAnsi="Arial"/>
          <w:sz w:val="14"/>
          <w:szCs w:val="14"/>
          <w:color w:val="auto"/>
        </w:rPr>
        <w:t>th</w:t>
      </w:r>
      <w:r>
        <w:rPr>
          <w:rFonts w:ascii="Arial" w:cs="Arial" w:eastAsia="Arial" w:hAnsi="Arial"/>
          <w:sz w:val="17"/>
          <w:szCs w:val="17"/>
          <w:color w:val="auto"/>
        </w:rPr>
        <w:t xml:space="preserve"> Floor Premises Work (including, without limitation, Tenant’s failure to comply with any of the delivery dates or approval dates required relative to the design, planning and selection of finishes for Landlord’s 9</w:t>
      </w:r>
      <w:r>
        <w:rPr>
          <w:rFonts w:ascii="Arial" w:cs="Arial" w:eastAsia="Arial" w:hAnsi="Arial"/>
          <w:sz w:val="14"/>
          <w:szCs w:val="14"/>
          <w:color w:val="auto"/>
        </w:rPr>
        <w:t>th</w:t>
      </w:r>
      <w:r>
        <w:rPr>
          <w:rFonts w:ascii="Arial" w:cs="Arial" w:eastAsia="Arial" w:hAnsi="Arial"/>
          <w:sz w:val="17"/>
          <w:szCs w:val="17"/>
          <w:color w:val="auto"/>
        </w:rPr>
        <w:t xml:space="preserve"> Floor Premises Work). Notwithstanding the foregoing, no event shall be deemed to be a Tenant Delay unless and until Landlord has given Tenant written notice (the “</w:t>
      </w:r>
      <w:r>
        <w:rPr>
          <w:rFonts w:ascii="Arial" w:cs="Arial" w:eastAsia="Arial" w:hAnsi="Arial"/>
          <w:sz w:val="17"/>
          <w:szCs w:val="17"/>
          <w:u w:val="single" w:color="auto"/>
          <w:color w:val="auto"/>
        </w:rPr>
        <w:t>Tenant</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60" w:top="273" w:right="459" w:bottom="1440" w:gutter="0" w:footer="0" w:header="0"/>
        </w:sectPr>
      </w:pPr>
    </w:p>
    <w:bookmarkStart w:id="562" w:name="page563"/>
    <w:bookmarkEnd w:id="562"/>
    <w:p>
      <w:pPr>
        <w:ind w:left="984" w:right="80"/>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Delay Notice</w:t>
      </w:r>
      <w:r>
        <w:rPr>
          <w:rFonts w:ascii="Arial" w:cs="Arial" w:eastAsia="Arial" w:hAnsi="Arial"/>
          <w:sz w:val="18"/>
          <w:szCs w:val="18"/>
          <w:color w:val="auto"/>
        </w:rPr>
        <w:t>”) advising Tenant: (a) that a Tenant Delay is occurring, (b) of the basis on which Landlord has determined that a Tenant Delay is occurring, and ( c) the actions which Landlord believes that Tenant must take to eliminate such Tenant Delay and Tenant has failed to correct the Tenant Delay specified in the Tenant Delay Notice within forty-eight (48) hours following receipt of the Tenant Delay Notice. No period of time prior to the expiration of the cure period shall be included in the period of time charged to Tenant pursuant to such Tenant Delay Notice.</w:t>
      </w:r>
    </w:p>
    <w:p>
      <w:pPr>
        <w:spacing w:after="0" w:line="93" w:lineRule="exact"/>
        <w:rPr>
          <w:sz w:val="20"/>
          <w:szCs w:val="20"/>
          <w:color w:val="auto"/>
        </w:rPr>
      </w:pPr>
    </w:p>
    <w:p>
      <w:pPr>
        <w:ind w:left="964" w:hanging="539"/>
        <w:spacing w:after="0" w:line="296" w:lineRule="auto"/>
        <w:tabs>
          <w:tab w:leader="none" w:pos="944"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Consequences of Tenant Delay</w:t>
      </w:r>
      <w:r>
        <w:rPr>
          <w:rFonts w:ascii="Arial" w:cs="Arial" w:eastAsia="Arial" w:hAnsi="Arial"/>
          <w:sz w:val="16"/>
          <w:szCs w:val="16"/>
          <w:color w:val="auto"/>
        </w:rPr>
        <w:t>. Notwithstanding anything contained herein or elsewhere in this First Amendment to the contrary, if there is</w:t>
      </w:r>
      <w:r>
        <w:rPr>
          <w:rFonts w:ascii="Arial" w:cs="Arial" w:eastAsia="Arial" w:hAnsi="Arial"/>
          <w:sz w:val="16"/>
          <w:szCs w:val="16"/>
          <w:u w:val="single" w:color="auto"/>
          <w:color w:val="auto"/>
        </w:rPr>
        <w:t xml:space="preserve"> </w:t>
      </w:r>
      <w:r>
        <w:rPr>
          <w:rFonts w:ascii="Arial" w:cs="Arial" w:eastAsia="Arial" w:hAnsi="Arial"/>
          <w:sz w:val="16"/>
          <w:szCs w:val="16"/>
          <w:color w:val="auto"/>
        </w:rPr>
        <w:t>any increase in Landlord’s cost for Landlord’s 9</w:t>
      </w:r>
      <w:r>
        <w:rPr>
          <w:rFonts w:ascii="Arial" w:cs="Arial" w:eastAsia="Arial" w:hAnsi="Arial"/>
          <w:sz w:val="13"/>
          <w:szCs w:val="13"/>
          <w:color w:val="auto"/>
        </w:rPr>
        <w:t>th</w:t>
      </w:r>
      <w:r>
        <w:rPr>
          <w:rFonts w:ascii="Arial" w:cs="Arial" w:eastAsia="Arial" w:hAnsi="Arial"/>
          <w:sz w:val="16"/>
          <w:szCs w:val="16"/>
          <w:color w:val="auto"/>
        </w:rPr>
        <w:t xml:space="preserve"> Floor Premises Work solely as a result of a Tenant Delay or if Landlord is delayed in substantial completion of Landlord’s 9</w:t>
      </w:r>
      <w:r>
        <w:rPr>
          <w:rFonts w:ascii="Arial" w:cs="Arial" w:eastAsia="Arial" w:hAnsi="Arial"/>
          <w:sz w:val="13"/>
          <w:szCs w:val="13"/>
          <w:color w:val="auto"/>
        </w:rPr>
        <w:t>th</w:t>
      </w:r>
      <w:r>
        <w:rPr>
          <w:rFonts w:ascii="Arial" w:cs="Arial" w:eastAsia="Arial" w:hAnsi="Arial"/>
          <w:sz w:val="16"/>
          <w:szCs w:val="16"/>
          <w:color w:val="auto"/>
        </w:rPr>
        <w:t xml:space="preserve"> Floor Premises Work solely as a result of a Tenant Delay, then (a) Tenant shall be responsible for the increase in Landlord’s cost for Landlord’s 91 Floor Premises Work, and (b) the 9</w:t>
      </w:r>
      <w:r>
        <w:rPr>
          <w:rFonts w:ascii="Arial" w:cs="Arial" w:eastAsia="Arial" w:hAnsi="Arial"/>
          <w:sz w:val="13"/>
          <w:szCs w:val="13"/>
          <w:color w:val="auto"/>
        </w:rPr>
        <w:t>th</w:t>
      </w:r>
      <w:r>
        <w:rPr>
          <w:rFonts w:ascii="Arial" w:cs="Arial" w:eastAsia="Arial" w:hAnsi="Arial"/>
          <w:sz w:val="16"/>
          <w:szCs w:val="16"/>
          <w:color w:val="auto"/>
        </w:rPr>
        <w:t xml:space="preserve"> Floor Premises Commencement Date shall be deemed to be the date on which Landlord’s 9</w:t>
      </w:r>
      <w:r>
        <w:rPr>
          <w:rFonts w:ascii="Arial" w:cs="Arial" w:eastAsia="Arial" w:hAnsi="Arial"/>
          <w:sz w:val="13"/>
          <w:szCs w:val="13"/>
          <w:color w:val="auto"/>
        </w:rPr>
        <w:t>th</w:t>
      </w:r>
      <w:r>
        <w:rPr>
          <w:rFonts w:ascii="Arial" w:cs="Arial" w:eastAsia="Arial" w:hAnsi="Arial"/>
          <w:sz w:val="16"/>
          <w:szCs w:val="16"/>
          <w:color w:val="auto"/>
        </w:rPr>
        <w:t xml:space="preserve"> Floor Premises Work would have been Substantially Complete but for the Tenant Delay.</w:t>
      </w:r>
    </w:p>
    <w:p>
      <w:pPr>
        <w:spacing w:after="0" w:line="67" w:lineRule="exact"/>
        <w:rPr>
          <w:sz w:val="20"/>
          <w:szCs w:val="20"/>
          <w:color w:val="auto"/>
        </w:rPr>
      </w:pPr>
    </w:p>
    <w:p>
      <w:pPr>
        <w:ind w:left="964" w:right="20" w:hanging="539"/>
        <w:spacing w:after="0" w:line="296" w:lineRule="auto"/>
        <w:tabs>
          <w:tab w:leader="none" w:pos="944"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Punchlist Items</w:t>
      </w:r>
      <w:r>
        <w:rPr>
          <w:rFonts w:ascii="Arial" w:cs="Arial" w:eastAsia="Arial" w:hAnsi="Arial"/>
          <w:sz w:val="16"/>
          <w:szCs w:val="16"/>
          <w:color w:val="auto"/>
        </w:rPr>
        <w:t>. Promptly following delivery of the 9</w:t>
      </w:r>
      <w:r>
        <w:rPr>
          <w:rFonts w:ascii="Arial" w:cs="Arial" w:eastAsia="Arial" w:hAnsi="Arial"/>
          <w:sz w:val="13"/>
          <w:szCs w:val="13"/>
          <w:color w:val="auto"/>
        </w:rPr>
        <w:t>th</w:t>
      </w:r>
      <w:r>
        <w:rPr>
          <w:rFonts w:ascii="Arial" w:cs="Arial" w:eastAsia="Arial" w:hAnsi="Arial"/>
          <w:sz w:val="16"/>
          <w:szCs w:val="16"/>
          <w:u w:val="single" w:color="auto"/>
          <w:color w:val="auto"/>
        </w:rPr>
        <w:t xml:space="preserve"> </w:t>
      </w:r>
      <w:r>
        <w:rPr>
          <w:rFonts w:ascii="Arial" w:cs="Arial" w:eastAsia="Arial" w:hAnsi="Arial"/>
          <w:sz w:val="16"/>
          <w:szCs w:val="16"/>
          <w:color w:val="auto"/>
        </w:rPr>
        <w:t>Floor Premises to Tenant with Landlord’s 9</w:t>
      </w:r>
      <w:r>
        <w:rPr>
          <w:rFonts w:ascii="Arial" w:cs="Arial" w:eastAsia="Arial" w:hAnsi="Arial"/>
          <w:sz w:val="13"/>
          <w:szCs w:val="13"/>
          <w:color w:val="auto"/>
        </w:rPr>
        <w:t>th</w:t>
      </w:r>
      <w:r>
        <w:rPr>
          <w:rFonts w:ascii="Arial" w:cs="Arial" w:eastAsia="Arial" w:hAnsi="Arial"/>
          <w:sz w:val="16"/>
          <w:szCs w:val="16"/>
          <w:u w:val="single" w:color="auto"/>
          <w:color w:val="auto"/>
        </w:rPr>
        <w:t xml:space="preserve"> </w:t>
      </w:r>
      <w:r>
        <w:rPr>
          <w:rFonts w:ascii="Arial" w:cs="Arial" w:eastAsia="Arial" w:hAnsi="Arial"/>
          <w:sz w:val="16"/>
          <w:szCs w:val="16"/>
          <w:color w:val="auto"/>
        </w:rPr>
        <w:t>Floor Premises Work with respect</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thereto Substantially Complete, Landlord, Tenant and their respective construction representatives shall inspect the 9</w:t>
      </w:r>
      <w:r>
        <w:rPr>
          <w:rFonts w:ascii="Arial" w:cs="Arial" w:eastAsia="Arial" w:hAnsi="Arial"/>
          <w:sz w:val="13"/>
          <w:szCs w:val="13"/>
          <w:color w:val="auto"/>
        </w:rPr>
        <w:t>th</w:t>
      </w:r>
      <w:r>
        <w:rPr>
          <w:rFonts w:ascii="Arial" w:cs="Arial" w:eastAsia="Arial" w:hAnsi="Arial"/>
          <w:sz w:val="16"/>
          <w:szCs w:val="16"/>
          <w:color w:val="auto"/>
        </w:rPr>
        <w:t xml:space="preserve"> Floor Premises and prepare a list (the “</w:t>
      </w:r>
      <w:r>
        <w:rPr>
          <w:rFonts w:ascii="Arial" w:cs="Arial" w:eastAsia="Arial" w:hAnsi="Arial"/>
          <w:sz w:val="16"/>
          <w:szCs w:val="16"/>
          <w:u w:val="single" w:color="auto"/>
          <w:color w:val="auto"/>
        </w:rPr>
        <w:t>Punchlist</w:t>
      </w:r>
      <w:r>
        <w:rPr>
          <w:rFonts w:ascii="Arial" w:cs="Arial" w:eastAsia="Arial" w:hAnsi="Arial"/>
          <w:sz w:val="16"/>
          <w:szCs w:val="16"/>
          <w:color w:val="auto"/>
        </w:rPr>
        <w:t>”) of outstanding items which need to be completed to make Landlord’s 9</w:t>
      </w:r>
      <w:r>
        <w:rPr>
          <w:rFonts w:ascii="Arial" w:cs="Arial" w:eastAsia="Arial" w:hAnsi="Arial"/>
          <w:sz w:val="13"/>
          <w:szCs w:val="13"/>
          <w:color w:val="auto"/>
        </w:rPr>
        <w:t>th</w:t>
      </w:r>
      <w:r>
        <w:rPr>
          <w:rFonts w:ascii="Arial" w:cs="Arial" w:eastAsia="Arial" w:hAnsi="Arial"/>
          <w:sz w:val="16"/>
          <w:szCs w:val="16"/>
          <w:color w:val="auto"/>
        </w:rPr>
        <w:t xml:space="preserve"> Floor Premises Work comply with the Work Letter (the “</w:t>
      </w:r>
      <w:r>
        <w:rPr>
          <w:rFonts w:ascii="Arial" w:cs="Arial" w:eastAsia="Arial" w:hAnsi="Arial"/>
          <w:sz w:val="16"/>
          <w:szCs w:val="16"/>
          <w:u w:val="single" w:color="auto"/>
          <w:color w:val="auto"/>
        </w:rPr>
        <w:t>Punchlist Items</w:t>
      </w:r>
      <w:r>
        <w:rPr>
          <w:rFonts w:ascii="Arial" w:cs="Arial" w:eastAsia="Arial" w:hAnsi="Arial"/>
          <w:sz w:val="16"/>
          <w:szCs w:val="16"/>
          <w:color w:val="auto"/>
        </w:rPr>
        <w:t>”). Subject to delays due to events of Force Majeure, Extra Work, or Tenant Delay, Landlord shall use commercially reasonable efforts to complete all Punchlist Items within sixty (60) days of the date of the Punchlist.</w:t>
      </w:r>
    </w:p>
    <w:p>
      <w:pPr>
        <w:spacing w:after="0" w:line="67" w:lineRule="exact"/>
        <w:rPr>
          <w:sz w:val="20"/>
          <w:szCs w:val="20"/>
          <w:color w:val="auto"/>
        </w:rPr>
      </w:pPr>
    </w:p>
    <w:p>
      <w:pPr>
        <w:ind w:left="424" w:right="340" w:hanging="424"/>
        <w:spacing w:after="0" w:line="259" w:lineRule="auto"/>
        <w:tabs>
          <w:tab w:leader="none" w:pos="424"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Notices Relating to Landlord’s 9</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 Work and Tenant’s Work</w:t>
      </w:r>
      <w:r>
        <w:rPr>
          <w:rFonts w:ascii="Arial" w:cs="Arial" w:eastAsia="Arial" w:hAnsi="Arial"/>
          <w:sz w:val="18"/>
          <w:szCs w:val="18"/>
          <w:color w:val="auto"/>
        </w:rPr>
        <w:t xml:space="preserve">. Notwithstanding the notice provisions contained in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(Notices) of the Lease, Landlord and Tenant acknowledge and agree that any written notices and/or approvals or disapprovals relating to Landlord’s 9</w:t>
      </w:r>
      <w:r>
        <w:rPr>
          <w:rFonts w:ascii="Arial" w:cs="Arial" w:eastAsia="Arial" w:hAnsi="Arial"/>
          <w:sz w:val="15"/>
          <w:szCs w:val="15"/>
          <w:color w:val="auto"/>
        </w:rPr>
        <w:t>th</w:t>
      </w:r>
      <w:r>
        <w:rPr>
          <w:rFonts w:ascii="Arial" w:cs="Arial" w:eastAsia="Arial" w:hAnsi="Arial"/>
          <w:sz w:val="18"/>
          <w:szCs w:val="18"/>
          <w:color w:val="auto"/>
        </w:rPr>
        <w:t xml:space="preserve"> Floor Premises Work or Tenant’s Work (including any Tenant Delay Notice from Landlord to Tenant), may be sent via email as follows:</w:t>
      </w:r>
    </w:p>
    <w:p>
      <w:pPr>
        <w:spacing w:after="0" w:line="78"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 xml:space="preserve">If to Landlord, then to Landlord’s construction representative: Kevin Kiley, </w:t>
      </w:r>
      <w:r>
        <w:rPr>
          <w:rFonts w:ascii="Arial" w:cs="Arial" w:eastAsia="Arial" w:hAnsi="Arial"/>
          <w:sz w:val="18"/>
          <w:szCs w:val="18"/>
          <w:u w:val="single" w:color="auto"/>
          <w:color w:val="auto"/>
        </w:rPr>
        <w:t>kkiley@synergy-inv.com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 xml:space="preserve">If to Tenant, then to Tenant’s construction representative: Michael Ellis, </w:t>
      </w:r>
      <w:r>
        <w:rPr>
          <w:rFonts w:ascii="Arial" w:cs="Arial" w:eastAsia="Arial" w:hAnsi="Arial"/>
          <w:sz w:val="18"/>
          <w:szCs w:val="18"/>
          <w:u w:val="single" w:color="auto"/>
          <w:color w:val="auto"/>
        </w:rPr>
        <w:t>mellis@flywire.com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4" w:right="340" w:hanging="424"/>
        <w:spacing w:after="0" w:line="263" w:lineRule="auto"/>
        <w:tabs>
          <w:tab w:leader="none" w:pos="424"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Base Rent for 9</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w:t>
      </w:r>
      <w:r>
        <w:rPr>
          <w:rFonts w:ascii="Arial" w:cs="Arial" w:eastAsia="Arial" w:hAnsi="Arial"/>
          <w:sz w:val="18"/>
          <w:szCs w:val="18"/>
          <w:color w:val="auto"/>
        </w:rPr>
        <w:t>. Starting on the later of (a) September 1, 2016 or (b) the 9</w:t>
      </w:r>
      <w:r>
        <w:rPr>
          <w:rFonts w:ascii="Arial" w:cs="Arial" w:eastAsia="Arial" w:hAnsi="Arial"/>
          <w:sz w:val="15"/>
          <w:szCs w:val="15"/>
          <w:color w:val="auto"/>
        </w:rPr>
        <w:t>th</w:t>
      </w:r>
      <w:r>
        <w:rPr>
          <w:rFonts w:ascii="Arial" w:cs="Arial" w:eastAsia="Arial" w:hAnsi="Arial"/>
          <w:sz w:val="18"/>
          <w:szCs w:val="18"/>
          <w:color w:val="auto"/>
        </w:rPr>
        <w:t xml:space="preserve"> Floor Premises Commencement Date (such later date, the “</w:t>
      </w:r>
      <w:r>
        <w:rPr>
          <w:rFonts w:ascii="Arial" w:cs="Arial" w:eastAsia="Arial" w:hAnsi="Arial"/>
          <w:sz w:val="18"/>
          <w:szCs w:val="18"/>
          <w:u w:val="single" w:color="auto"/>
          <w:color w:val="auto"/>
        </w:rPr>
        <w:t>9</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 Rent Commencement Date</w:t>
      </w:r>
      <w:r>
        <w:rPr>
          <w:rFonts w:ascii="Arial" w:cs="Arial" w:eastAsia="Arial" w:hAnsi="Arial"/>
          <w:sz w:val="18"/>
          <w:szCs w:val="18"/>
          <w:color w:val="auto"/>
        </w:rPr>
        <w:t>”) and ending on the Expiration Date, Tenant shall pay Base Rent for the 9</w:t>
      </w:r>
      <w:r>
        <w:rPr>
          <w:rFonts w:ascii="Arial" w:cs="Arial" w:eastAsia="Arial" w:hAnsi="Arial"/>
          <w:sz w:val="15"/>
          <w:szCs w:val="15"/>
          <w:color w:val="auto"/>
        </w:rPr>
        <w:t>th</w:t>
      </w:r>
      <w:r>
        <w:rPr>
          <w:rFonts w:ascii="Arial" w:cs="Arial" w:eastAsia="Arial" w:hAnsi="Arial"/>
          <w:sz w:val="18"/>
          <w:szCs w:val="18"/>
          <w:color w:val="auto"/>
        </w:rPr>
        <w:t xml:space="preserve"> Floor Premises as set forth in the table below and otherwise in accordance with the terms of the Lease.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3" w:right="459" w:bottom="1440" w:gutter="0" w:footer="0" w:header="0"/>
        </w:sectPr>
      </w:pPr>
    </w:p>
    <w:bookmarkStart w:id="563" w:name="page564"/>
    <w:bookmarkEnd w:id="563"/>
    <w:tbl>
      <w:tblPr>
        <w:tblLayout w:type="fixed"/>
        <w:tblInd w:w="884"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color w:val="auto"/>
                <w:w w:val="88"/>
              </w:rPr>
              <w:t>Period</w:t>
            </w:r>
          </w:p>
        </w:tc>
        <w:tc>
          <w:tcPr>
            <w:tcW w:w="448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33"/>
              <w:spacing w:after="0"/>
              <w:rPr>
                <w:sz w:val="20"/>
                <w:szCs w:val="20"/>
                <w:color w:val="auto"/>
              </w:rPr>
            </w:pPr>
            <w:r>
              <w:rPr>
                <w:rFonts w:ascii="Arial" w:cs="Arial" w:eastAsia="Arial" w:hAnsi="Arial"/>
                <w:sz w:val="14"/>
                <w:szCs w:val="14"/>
                <w:color w:val="auto"/>
                <w:w w:val="92"/>
              </w:rPr>
              <w:t>Base Annual Rent</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0" w:type="dxa"/>
            <w:vAlign w:val="bottom"/>
            <w:tcBorders>
              <w:bottom w:val="single" w:sz="8" w:color="auto"/>
            </w:tcBorders>
            <w:vMerge w:val="continue"/>
          </w:tcPr>
          <w:p>
            <w:pPr>
              <w:spacing w:after="0"/>
              <w:rPr>
                <w:sz w:val="15"/>
                <w:szCs w:val="15"/>
                <w:color w:val="auto"/>
              </w:rPr>
            </w:pPr>
          </w:p>
        </w:tc>
        <w:tc>
          <w:tcPr>
            <w:tcW w:w="4480" w:type="dxa"/>
            <w:vAlign w:val="bottom"/>
            <w:vMerge w:val="continue"/>
          </w:tcPr>
          <w:p>
            <w:pPr>
              <w:spacing w:after="0"/>
              <w:rPr>
                <w:sz w:val="15"/>
                <w:szCs w:val="15"/>
                <w:color w:val="auto"/>
              </w:rPr>
            </w:pPr>
          </w:p>
        </w:tc>
        <w:tc>
          <w:tcPr>
            <w:tcW w:w="1640" w:type="dxa"/>
            <w:vAlign w:val="bottom"/>
            <w:gridSpan w:val="3"/>
          </w:tcPr>
          <w:p>
            <w:pPr>
              <w:ind w:left="360"/>
              <w:spacing w:after="0" w:line="154" w:lineRule="exact"/>
              <w:rPr>
                <w:sz w:val="20"/>
                <w:szCs w:val="20"/>
                <w:color w:val="auto"/>
              </w:rPr>
            </w:pPr>
            <w:r>
              <w:rPr>
                <w:rFonts w:ascii="Arial" w:cs="Arial" w:eastAsia="Arial" w:hAnsi="Arial"/>
                <w:sz w:val="14"/>
                <w:szCs w:val="14"/>
                <w:color w:val="auto"/>
                <w:w w:val="91"/>
              </w:rPr>
              <w:t>(Based on 12 months)</w:t>
            </w:r>
          </w:p>
        </w:tc>
        <w:tc>
          <w:tcPr>
            <w:tcW w:w="1660" w:type="dxa"/>
            <w:vAlign w:val="bottom"/>
            <w:gridSpan w:val="3"/>
          </w:tcPr>
          <w:p>
            <w:pPr>
              <w:ind w:left="540"/>
              <w:spacing w:after="0" w:line="154" w:lineRule="exact"/>
              <w:rPr>
                <w:sz w:val="20"/>
                <w:szCs w:val="20"/>
                <w:color w:val="auto"/>
              </w:rPr>
            </w:pPr>
            <w:r>
              <w:rPr>
                <w:rFonts w:ascii="Arial" w:cs="Arial" w:eastAsia="Arial" w:hAnsi="Arial"/>
                <w:sz w:val="14"/>
                <w:szCs w:val="14"/>
                <w:color w:val="auto"/>
                <w:w w:val="92"/>
              </w:rPr>
              <w:t>Base Monthly Rent</w:t>
            </w:r>
          </w:p>
        </w:tc>
        <w:tc>
          <w:tcPr>
            <w:tcW w:w="540" w:type="dxa"/>
            <w:vAlign w:val="bottom"/>
          </w:tcPr>
          <w:p>
            <w:pPr>
              <w:spacing w:after="0"/>
              <w:rPr>
                <w:sz w:val="15"/>
                <w:szCs w:val="15"/>
                <w:color w:val="auto"/>
              </w:rPr>
            </w:pPr>
          </w:p>
        </w:tc>
        <w:tc>
          <w:tcPr>
            <w:tcW w:w="560" w:type="dxa"/>
            <w:vAlign w:val="bottom"/>
            <w:gridSpan w:val="2"/>
          </w:tcPr>
          <w:p>
            <w:pPr>
              <w:spacing w:after="0" w:line="154" w:lineRule="exact"/>
              <w:rPr>
                <w:sz w:val="20"/>
                <w:szCs w:val="20"/>
                <w:color w:val="auto"/>
              </w:rPr>
            </w:pPr>
            <w:r>
              <w:rPr>
                <w:rFonts w:ascii="Arial" w:cs="Arial" w:eastAsia="Arial" w:hAnsi="Arial"/>
                <w:sz w:val="14"/>
                <w:szCs w:val="14"/>
                <w:color w:val="auto"/>
              </w:rPr>
              <w:t>Per RSF</w:t>
            </w:r>
          </w:p>
        </w:tc>
        <w:tc>
          <w:tcPr>
            <w:tcW w:w="0" w:type="dxa"/>
            <w:vAlign w:val="bottom"/>
          </w:tcPr>
          <w:p>
            <w:pPr>
              <w:spacing w:after="0"/>
              <w:rPr>
                <w:sz w:val="1"/>
                <w:szCs w:val="1"/>
                <w:color w:val="auto"/>
              </w:rPr>
            </w:pPr>
          </w:p>
        </w:tc>
      </w:tr>
      <w:tr>
        <w:trPr>
          <w:trHeight w:val="175"/>
        </w:trPr>
        <w:tc>
          <w:tcPr>
            <w:tcW w:w="48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9</w:t>
            </w:r>
            <w:r>
              <w:rPr>
                <w:rFonts w:ascii="Arial" w:cs="Arial" w:eastAsia="Arial" w:hAnsi="Arial"/>
                <w:sz w:val="15"/>
                <w:szCs w:val="15"/>
                <w:color w:val="auto"/>
                <w:w w:val="95"/>
              </w:rPr>
              <w:t>th</w:t>
            </w:r>
            <w:r>
              <w:rPr>
                <w:rFonts w:ascii="Arial" w:cs="Arial" w:eastAsia="Arial" w:hAnsi="Arial"/>
                <w:sz w:val="18"/>
                <w:szCs w:val="18"/>
                <w:color w:val="auto"/>
                <w:w w:val="95"/>
              </w:rPr>
              <w:t>Floor Premises Rent Commencement Date – September 30,</w:t>
            </w:r>
          </w:p>
        </w:tc>
        <w:tc>
          <w:tcPr>
            <w:tcW w:w="3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240,812.00</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20,067.67</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7"/>
              </w:rPr>
              <w:t>$44.00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October 1, 2016 – September 30, 2017</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246,285.00</w:t>
            </w: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20,523.75</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w w:val="87"/>
              </w:rPr>
              <w:t>$45.00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2017 – September 30, 2018</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251,758.00</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20,979.83</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7"/>
              </w:rPr>
              <w:t>$46.00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October 1, 2018 – September 30, 2019</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257,231.00</w:t>
            </w: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21,435.92</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w w:val="87"/>
              </w:rPr>
              <w:t>$47.00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2019 – September 30, 2020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262,704.00</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21,892.00</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7"/>
              </w:rPr>
              <w:t>$48.00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October 1, 2020 – September 30, 2021</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268,177.00</w:t>
            </w: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22,348.08</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w w:val="87"/>
              </w:rPr>
              <w:t>$49.00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20" w:hanging="424"/>
        <w:spacing w:after="0" w:line="263" w:lineRule="auto"/>
        <w:tabs>
          <w:tab w:leader="none" w:pos="424"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Additional Rent – Tenant’s Share of Taxes for 9</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w:t>
      </w:r>
      <w:r>
        <w:rPr>
          <w:rFonts w:ascii="Arial" w:cs="Arial" w:eastAsia="Arial" w:hAnsi="Arial"/>
          <w:sz w:val="18"/>
          <w:szCs w:val="18"/>
          <w:color w:val="auto"/>
        </w:rPr>
        <w:t>. Starting on the 9</w:t>
      </w:r>
      <w:r>
        <w:rPr>
          <w:rFonts w:ascii="Arial" w:cs="Arial" w:eastAsia="Arial" w:hAnsi="Arial"/>
          <w:sz w:val="15"/>
          <w:szCs w:val="15"/>
          <w:color w:val="auto"/>
        </w:rPr>
        <w:t>th</w:t>
      </w:r>
      <w:r>
        <w:rPr>
          <w:rFonts w:ascii="Arial" w:cs="Arial" w:eastAsia="Arial" w:hAnsi="Arial"/>
          <w:sz w:val="18"/>
          <w:szCs w:val="18"/>
          <w:color w:val="auto"/>
        </w:rPr>
        <w:t xml:space="preserve"> Floor Premises Rent Commencement Date and ending on the Expiration Date, with respect to the 9</w:t>
      </w:r>
      <w:r>
        <w:rPr>
          <w:rFonts w:ascii="Arial" w:cs="Arial" w:eastAsia="Arial" w:hAnsi="Arial"/>
          <w:sz w:val="15"/>
          <w:szCs w:val="15"/>
          <w:color w:val="auto"/>
        </w:rPr>
        <w:t>th</w:t>
      </w:r>
      <w:r>
        <w:rPr>
          <w:rFonts w:ascii="Arial" w:cs="Arial" w:eastAsia="Arial" w:hAnsi="Arial"/>
          <w:sz w:val="18"/>
          <w:szCs w:val="18"/>
          <w:color w:val="auto"/>
        </w:rPr>
        <w:t xml:space="preserve"> Floor Premises only, Tenant shall pay 8.25% of the amount by which Taxes for the applicable fiscal year exceed Taxes for fiscal year 2017 (i.e., July 1, 2016 – June 30, 2017).</w:t>
      </w:r>
    </w:p>
    <w:p>
      <w:pPr>
        <w:spacing w:after="0" w:line="89" w:lineRule="exact"/>
        <w:rPr>
          <w:rFonts w:ascii="Arial" w:cs="Arial" w:eastAsia="Arial" w:hAnsi="Arial"/>
          <w:sz w:val="18"/>
          <w:szCs w:val="18"/>
          <w:color w:val="auto"/>
        </w:rPr>
      </w:pPr>
    </w:p>
    <w:p>
      <w:pPr>
        <w:ind w:left="424" w:right="20" w:hanging="424"/>
        <w:spacing w:after="0" w:line="257" w:lineRule="auto"/>
        <w:tabs>
          <w:tab w:leader="none" w:pos="424"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Additional Rent – Tenant’s Share of Operating Expenses for 9</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w:t>
      </w:r>
      <w:r>
        <w:rPr>
          <w:rFonts w:ascii="Arial" w:cs="Arial" w:eastAsia="Arial" w:hAnsi="Arial"/>
          <w:sz w:val="18"/>
          <w:szCs w:val="18"/>
          <w:color w:val="auto"/>
        </w:rPr>
        <w:t>. Starting on the 9</w:t>
      </w:r>
      <w:r>
        <w:rPr>
          <w:rFonts w:ascii="Arial" w:cs="Arial" w:eastAsia="Arial" w:hAnsi="Arial"/>
          <w:sz w:val="15"/>
          <w:szCs w:val="15"/>
          <w:color w:val="auto"/>
        </w:rPr>
        <w:t>th</w:t>
      </w:r>
      <w:r>
        <w:rPr>
          <w:rFonts w:ascii="Arial" w:cs="Arial" w:eastAsia="Arial" w:hAnsi="Arial"/>
          <w:sz w:val="18"/>
          <w:szCs w:val="18"/>
          <w:color w:val="auto"/>
        </w:rPr>
        <w:t xml:space="preserve"> Floor Premises Rent Commencement Date and ending on the Expiration Date, with respect to the 9</w:t>
      </w:r>
      <w:r>
        <w:rPr>
          <w:rFonts w:ascii="Arial" w:cs="Arial" w:eastAsia="Arial" w:hAnsi="Arial"/>
          <w:sz w:val="15"/>
          <w:szCs w:val="15"/>
          <w:color w:val="auto"/>
        </w:rPr>
        <w:t>th</w:t>
      </w:r>
      <w:r>
        <w:rPr>
          <w:rFonts w:ascii="Arial" w:cs="Arial" w:eastAsia="Arial" w:hAnsi="Arial"/>
          <w:sz w:val="18"/>
          <w:szCs w:val="18"/>
          <w:color w:val="auto"/>
        </w:rPr>
        <w:t xml:space="preserve"> Floor Premises only, Tenant shall pay 8.25% of the amount by which Operating Expenses for the applicable calendar year exceed Operating Expenses for calendar year 2016 (i.e., January 1, 2016 – December 31, 2016). The parties agree that the definition of “Base Expenses” set forth in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of the Lease shall be applied to the calculation of Operating Expenses for calendar year 2016 with respect to the 9</w:t>
      </w:r>
      <w:r>
        <w:rPr>
          <w:rFonts w:ascii="Arial" w:cs="Arial" w:eastAsia="Arial" w:hAnsi="Arial"/>
          <w:sz w:val="15"/>
          <w:szCs w:val="15"/>
          <w:color w:val="auto"/>
        </w:rPr>
        <w:t>th</w:t>
      </w:r>
      <w:r>
        <w:rPr>
          <w:rFonts w:ascii="Arial" w:cs="Arial" w:eastAsia="Arial" w:hAnsi="Arial"/>
          <w:sz w:val="18"/>
          <w:szCs w:val="18"/>
          <w:color w:val="auto"/>
        </w:rPr>
        <w:t xml:space="preserve"> Floor Premises.</w:t>
      </w:r>
    </w:p>
    <w:p>
      <w:pPr>
        <w:spacing w:after="0" w:line="93" w:lineRule="exact"/>
        <w:rPr>
          <w:rFonts w:ascii="Arial" w:cs="Arial" w:eastAsia="Arial" w:hAnsi="Arial"/>
          <w:sz w:val="18"/>
          <w:szCs w:val="18"/>
          <w:color w:val="auto"/>
        </w:rPr>
      </w:pPr>
    </w:p>
    <w:p>
      <w:pPr>
        <w:ind w:left="424" w:hanging="424"/>
        <w:spacing w:after="0" w:line="257" w:lineRule="auto"/>
        <w:tabs>
          <w:tab w:leader="none" w:pos="424"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Electricity for 9</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w:t>
      </w:r>
      <w:r>
        <w:rPr>
          <w:rFonts w:ascii="Arial" w:cs="Arial" w:eastAsia="Arial" w:hAnsi="Arial"/>
          <w:sz w:val="18"/>
          <w:szCs w:val="18"/>
          <w:color w:val="auto"/>
        </w:rPr>
        <w:t>. Starting on the 9</w:t>
      </w:r>
      <w:r>
        <w:rPr>
          <w:rFonts w:ascii="Arial" w:cs="Arial" w:eastAsia="Arial" w:hAnsi="Arial"/>
          <w:sz w:val="15"/>
          <w:szCs w:val="15"/>
          <w:color w:val="auto"/>
        </w:rPr>
        <w:t>th</w:t>
      </w:r>
      <w:r>
        <w:rPr>
          <w:rFonts w:ascii="Arial" w:cs="Arial" w:eastAsia="Arial" w:hAnsi="Arial"/>
          <w:sz w:val="18"/>
          <w:szCs w:val="18"/>
          <w:color w:val="auto"/>
        </w:rPr>
        <w:t xml:space="preserve"> Floor Premises Commencement Date and ending on the Expiration Date, Tenant shall pay for all electricity used by Tenant in the 9</w:t>
      </w:r>
      <w:r>
        <w:rPr>
          <w:rFonts w:ascii="Arial" w:cs="Arial" w:eastAsia="Arial" w:hAnsi="Arial"/>
          <w:sz w:val="15"/>
          <w:szCs w:val="15"/>
          <w:color w:val="auto"/>
        </w:rPr>
        <w:t>th</w:t>
      </w:r>
      <w:r>
        <w:rPr>
          <w:rFonts w:ascii="Arial" w:cs="Arial" w:eastAsia="Arial" w:hAnsi="Arial"/>
          <w:sz w:val="18"/>
          <w:szCs w:val="18"/>
          <w:color w:val="auto"/>
        </w:rPr>
        <w:t xml:space="preserve"> Floor Premises based on the utility service provider’s reading of one or more direct meters, and payable by Tenant to the utility service provider upon demand. Tenant’s use of electrical services shall not exceed in voltage, rated capacity, or overall load that which is standard for the Building. Landlord, at any time during the Term of the Lease, shall have the right (a) to sub-meter or check meter electricity for the 9</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57" w:right="459" w:bottom="1440" w:gutter="0" w:footer="0" w:header="0"/>
        </w:sectPr>
      </w:pPr>
    </w:p>
    <w:bookmarkStart w:id="564" w:name="page565"/>
    <w:bookmarkEnd w:id="564"/>
    <w:p>
      <w:pPr>
        <w:ind w:left="424"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Premises, in which case electricity shall be paid by Tenant to Landlord as Additional Rent, or (b) to measure electrical usage by survey or any other method that Landlord, in its reasonable judgment, deems appropriate.</w:t>
      </w:r>
    </w:p>
    <w:p>
      <w:pPr>
        <w:spacing w:after="0" w:line="76" w:lineRule="exact"/>
        <w:rPr>
          <w:sz w:val="20"/>
          <w:szCs w:val="20"/>
          <w:color w:val="auto"/>
        </w:rPr>
      </w:pPr>
    </w:p>
    <w:p>
      <w:pPr>
        <w:ind w:left="424" w:right="60" w:hanging="424"/>
        <w:spacing w:after="0" w:line="263" w:lineRule="auto"/>
        <w:tabs>
          <w:tab w:leader="none" w:pos="424"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t>Base Rent for 10</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w:t>
      </w:r>
      <w:r>
        <w:rPr>
          <w:rFonts w:ascii="Arial" w:cs="Arial" w:eastAsia="Arial" w:hAnsi="Arial"/>
          <w:sz w:val="18"/>
          <w:szCs w:val="18"/>
          <w:color w:val="auto"/>
        </w:rPr>
        <w:t>. Notwithstanding anything in the Lease to the contrary, starting on October 1, 2020 and ending on the Expiration Date, Tenant shall pay Base Rent for the 10</w:t>
      </w:r>
      <w:r>
        <w:rPr>
          <w:rFonts w:ascii="Arial" w:cs="Arial" w:eastAsia="Arial" w:hAnsi="Arial"/>
          <w:sz w:val="15"/>
          <w:szCs w:val="15"/>
          <w:color w:val="auto"/>
        </w:rPr>
        <w:t>th</w:t>
      </w:r>
      <w:r>
        <w:rPr>
          <w:rFonts w:ascii="Arial" w:cs="Arial" w:eastAsia="Arial" w:hAnsi="Arial"/>
          <w:sz w:val="18"/>
          <w:szCs w:val="18"/>
          <w:color w:val="auto"/>
        </w:rPr>
        <w:t xml:space="preserve"> Floor Premises as set forth in the table below and otherwise in accordance with the terms of the Lease.</w:t>
      </w:r>
    </w:p>
    <w:p>
      <w:pPr>
        <w:spacing w:after="0" w:line="194"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color w:val="auto"/>
                <w:w w:val="88"/>
              </w:rPr>
              <w:t>Period</w:t>
            </w:r>
          </w:p>
        </w:tc>
        <w:tc>
          <w:tcPr>
            <w:tcW w:w="3620" w:type="dxa"/>
            <w:vAlign w:val="bottom"/>
            <w:vMerge w:val="restart"/>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39"/>
              <w:spacing w:after="0"/>
              <w:rPr>
                <w:sz w:val="20"/>
                <w:szCs w:val="20"/>
                <w:color w:val="auto"/>
              </w:rPr>
            </w:pPr>
            <w:r>
              <w:rPr>
                <w:rFonts w:ascii="Arial" w:cs="Arial" w:eastAsia="Arial" w:hAnsi="Arial"/>
                <w:sz w:val="14"/>
                <w:szCs w:val="14"/>
                <w:color w:val="auto"/>
                <w:w w:val="92"/>
              </w:rPr>
              <w:t>Base Annual Rent</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2500" w:type="dxa"/>
            <w:vAlign w:val="bottom"/>
            <w:gridSpan w:val="3"/>
          </w:tcPr>
          <w:p>
            <w:pPr>
              <w:jc w:val="right"/>
              <w:spacing w:after="0" w:line="154" w:lineRule="exact"/>
              <w:rPr>
                <w:sz w:val="20"/>
                <w:szCs w:val="20"/>
                <w:color w:val="auto"/>
              </w:rPr>
            </w:pPr>
            <w:r>
              <w:rPr>
                <w:rFonts w:ascii="Arial" w:cs="Arial" w:eastAsia="Arial" w:hAnsi="Arial"/>
                <w:sz w:val="14"/>
                <w:szCs w:val="14"/>
                <w:color w:val="auto"/>
              </w:rPr>
              <w:t>(Based on 12 months)</w:t>
            </w:r>
          </w:p>
        </w:tc>
        <w:tc>
          <w:tcPr>
            <w:tcW w:w="1660" w:type="dxa"/>
            <w:vAlign w:val="bottom"/>
            <w:gridSpan w:val="3"/>
          </w:tcPr>
          <w:p>
            <w:pPr>
              <w:ind w:left="540"/>
              <w:spacing w:after="0" w:line="154" w:lineRule="exact"/>
              <w:rPr>
                <w:sz w:val="20"/>
                <w:szCs w:val="20"/>
                <w:color w:val="auto"/>
              </w:rPr>
            </w:pPr>
            <w:r>
              <w:rPr>
                <w:rFonts w:ascii="Arial" w:cs="Arial" w:eastAsia="Arial" w:hAnsi="Arial"/>
                <w:sz w:val="14"/>
                <w:szCs w:val="14"/>
                <w:color w:val="auto"/>
                <w:w w:val="92"/>
              </w:rPr>
              <w:t>Base Monthly Rent</w:t>
            </w:r>
          </w:p>
        </w:tc>
        <w:tc>
          <w:tcPr>
            <w:tcW w:w="540" w:type="dxa"/>
            <w:vAlign w:val="bottom"/>
          </w:tcPr>
          <w:p>
            <w:pPr>
              <w:spacing w:after="0"/>
              <w:rPr>
                <w:sz w:val="15"/>
                <w:szCs w:val="15"/>
                <w:color w:val="auto"/>
              </w:rPr>
            </w:pPr>
          </w:p>
        </w:tc>
        <w:tc>
          <w:tcPr>
            <w:tcW w:w="560" w:type="dxa"/>
            <w:vAlign w:val="bottom"/>
            <w:gridSpan w:val="2"/>
          </w:tcPr>
          <w:p>
            <w:pPr>
              <w:spacing w:after="0" w:line="154" w:lineRule="exact"/>
              <w:rPr>
                <w:sz w:val="20"/>
                <w:szCs w:val="20"/>
                <w:color w:val="auto"/>
              </w:rPr>
            </w:pPr>
            <w:r>
              <w:rPr>
                <w:rFonts w:ascii="Arial" w:cs="Arial" w:eastAsia="Arial" w:hAnsi="Arial"/>
                <w:sz w:val="14"/>
                <w:szCs w:val="14"/>
                <w:color w:val="auto"/>
              </w:rPr>
              <w:t>Per RSF</w:t>
            </w: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October 1, 2020 – September 30, 2021</w:t>
            </w:r>
          </w:p>
        </w:tc>
        <w:tc>
          <w:tcPr>
            <w:tcW w:w="1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268,177.00</w:t>
            </w:r>
          </w:p>
        </w:tc>
        <w:tc>
          <w:tcPr>
            <w:tcW w:w="5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22,348.08</w:t>
            </w: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$49.00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4" w:right="180" w:hanging="424"/>
        <w:spacing w:after="0" w:line="263" w:lineRule="auto"/>
        <w:tabs>
          <w:tab w:leader="none" w:pos="424"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Additional Rent – Tenant’s Share of Taxes for 10</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w:t>
      </w:r>
      <w:r>
        <w:rPr>
          <w:rFonts w:ascii="Arial" w:cs="Arial" w:eastAsia="Arial" w:hAnsi="Arial"/>
          <w:sz w:val="18"/>
          <w:szCs w:val="18"/>
          <w:color w:val="auto"/>
        </w:rPr>
        <w:t>. Notwithstanding anything in the Lease to the contrary, starting on October 1, 2020 and ending on the Expiration Date, Tenant shall continue to pay Tenant’s Share of Taxes for the 10</w:t>
      </w:r>
      <w:r>
        <w:rPr>
          <w:rFonts w:ascii="Arial" w:cs="Arial" w:eastAsia="Arial" w:hAnsi="Arial"/>
          <w:sz w:val="15"/>
          <w:szCs w:val="15"/>
          <w:color w:val="auto"/>
        </w:rPr>
        <w:t>th</w:t>
      </w:r>
      <w:r>
        <w:rPr>
          <w:rFonts w:ascii="Arial" w:cs="Arial" w:eastAsia="Arial" w:hAnsi="Arial"/>
          <w:sz w:val="18"/>
          <w:szCs w:val="18"/>
          <w:color w:val="auto"/>
        </w:rPr>
        <w:t xml:space="preserve"> Floor Premises in accordance with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(Basic Data) and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(Base Rent and Additional Rent) of the Lease.</w:t>
      </w:r>
    </w:p>
    <w:p>
      <w:pPr>
        <w:spacing w:after="0" w:line="89" w:lineRule="exact"/>
        <w:rPr>
          <w:rFonts w:ascii="Arial" w:cs="Arial" w:eastAsia="Arial" w:hAnsi="Arial"/>
          <w:sz w:val="18"/>
          <w:szCs w:val="18"/>
          <w:color w:val="auto"/>
        </w:rPr>
      </w:pPr>
    </w:p>
    <w:p>
      <w:pPr>
        <w:ind w:left="424" w:right="180" w:hanging="424"/>
        <w:spacing w:after="0" w:line="286" w:lineRule="auto"/>
        <w:tabs>
          <w:tab w:leader="none" w:pos="424" w:val="left"/>
        </w:tabs>
        <w:numPr>
          <w:ilvl w:val="0"/>
          <w:numId w:val="417"/>
        </w:numPr>
        <w:rPr>
          <w:rFonts w:ascii="Arial" w:cs="Arial" w:eastAsia="Arial" w:hAnsi="Arial"/>
          <w:sz w:val="17"/>
          <w:szCs w:val="17"/>
          <w:color w:val="auto"/>
        </w:rPr>
      </w:pPr>
      <w:r>
        <w:rPr>
          <w:rFonts w:ascii="Arial" w:cs="Arial" w:eastAsia="Arial" w:hAnsi="Arial"/>
          <w:sz w:val="17"/>
          <w:szCs w:val="17"/>
          <w:u w:val="single" w:color="auto"/>
          <w:color w:val="auto"/>
        </w:rPr>
        <w:t>Additional Rent – Tenant’s Share of Operating Expenses for 10</w:t>
      </w:r>
      <w:r>
        <w:rPr>
          <w:rFonts w:ascii="Arial" w:cs="Arial" w:eastAsia="Arial" w:hAnsi="Arial"/>
          <w:sz w:val="14"/>
          <w:szCs w:val="14"/>
          <w:u w:val="single" w:color="auto"/>
          <w:color w:val="auto"/>
        </w:rPr>
        <w:t>th</w:t>
      </w:r>
      <w:r>
        <w:rPr>
          <w:rFonts w:ascii="Arial" w:cs="Arial" w:eastAsia="Arial" w:hAnsi="Arial"/>
          <w:sz w:val="17"/>
          <w:szCs w:val="17"/>
          <w:color w:val="auto"/>
        </w:rPr>
        <w:t xml:space="preserve"> </w:t>
      </w:r>
      <w:r>
        <w:rPr>
          <w:rFonts w:ascii="Arial" w:cs="Arial" w:eastAsia="Arial" w:hAnsi="Arial"/>
          <w:sz w:val="17"/>
          <w:szCs w:val="17"/>
          <w:u w:val="single" w:color="auto"/>
          <w:color w:val="auto"/>
        </w:rPr>
        <w:t>Floor Premises</w:t>
      </w:r>
      <w:r>
        <w:rPr>
          <w:rFonts w:ascii="Arial" w:cs="Arial" w:eastAsia="Arial" w:hAnsi="Arial"/>
          <w:sz w:val="17"/>
          <w:szCs w:val="17"/>
          <w:color w:val="auto"/>
        </w:rPr>
        <w:t>. Notwithstanding anything in the Lease to the contrary, starting on October 1, 2020 and ending on the Expiration Date, Tenant shall continue to pay Tenant’s Share of Operating Expenses for the 10</w:t>
      </w:r>
      <w:r>
        <w:rPr>
          <w:rFonts w:ascii="Arial" w:cs="Arial" w:eastAsia="Arial" w:hAnsi="Arial"/>
          <w:sz w:val="14"/>
          <w:szCs w:val="14"/>
          <w:color w:val="auto"/>
        </w:rPr>
        <w:t>th</w:t>
      </w:r>
      <w:r>
        <w:rPr>
          <w:rFonts w:ascii="Arial" w:cs="Arial" w:eastAsia="Arial" w:hAnsi="Arial"/>
          <w:sz w:val="17"/>
          <w:szCs w:val="17"/>
          <w:color w:val="auto"/>
        </w:rPr>
        <w:t xml:space="preserve"> Floor Premises in accordance with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(Basic Data) and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(Base Rent and Additional Rent) of the Lease.</w:t>
      </w:r>
    </w:p>
    <w:p>
      <w:pPr>
        <w:spacing w:after="0" w:line="70" w:lineRule="exact"/>
        <w:rPr>
          <w:rFonts w:ascii="Arial" w:cs="Arial" w:eastAsia="Arial" w:hAnsi="Arial"/>
          <w:sz w:val="17"/>
          <w:szCs w:val="17"/>
          <w:color w:val="auto"/>
        </w:rPr>
      </w:pPr>
    </w:p>
    <w:p>
      <w:pPr>
        <w:ind w:left="424" w:right="380" w:hanging="424"/>
        <w:spacing w:after="0" w:line="342" w:lineRule="auto"/>
        <w:tabs>
          <w:tab w:leader="none" w:pos="424" w:val="left"/>
        </w:tabs>
        <w:numPr>
          <w:ilvl w:val="0"/>
          <w:numId w:val="417"/>
        </w:numPr>
        <w:rPr>
          <w:rFonts w:ascii="Arial" w:cs="Arial" w:eastAsia="Arial" w:hAnsi="Arial"/>
          <w:sz w:val="16"/>
          <w:szCs w:val="16"/>
          <w:color w:val="auto"/>
        </w:rPr>
      </w:pPr>
      <w:r>
        <w:rPr>
          <w:rFonts w:ascii="Arial" w:cs="Arial" w:eastAsia="Arial" w:hAnsi="Arial"/>
          <w:sz w:val="16"/>
          <w:szCs w:val="16"/>
          <w:u w:val="single" w:color="auto"/>
          <w:color w:val="auto"/>
        </w:rPr>
        <w:t>Electricity for 10</w:t>
      </w:r>
      <w:r>
        <w:rPr>
          <w:rFonts w:ascii="Arial" w:cs="Arial" w:eastAsia="Arial" w:hAnsi="Arial"/>
          <w:sz w:val="13"/>
          <w:szCs w:val="13"/>
          <w:u w:val="single" w:color="auto"/>
          <w:color w:val="auto"/>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Floor Premises</w:t>
      </w:r>
      <w:r>
        <w:rPr>
          <w:rFonts w:ascii="Arial" w:cs="Arial" w:eastAsia="Arial" w:hAnsi="Arial"/>
          <w:sz w:val="16"/>
          <w:szCs w:val="16"/>
          <w:color w:val="auto"/>
        </w:rPr>
        <w:t>. Notwithstanding anything in the Lease to the contrary, starting on October 1, 2020 and ending on the Expiration Date, Tenant shall continue to pay for electricity for the 10</w:t>
      </w:r>
      <w:r>
        <w:rPr>
          <w:rFonts w:ascii="Arial" w:cs="Arial" w:eastAsia="Arial" w:hAnsi="Arial"/>
          <w:sz w:val="13"/>
          <w:szCs w:val="13"/>
          <w:color w:val="auto"/>
        </w:rPr>
        <w:t>th</w:t>
      </w:r>
      <w:r>
        <w:rPr>
          <w:rFonts w:ascii="Arial" w:cs="Arial" w:eastAsia="Arial" w:hAnsi="Arial"/>
          <w:sz w:val="16"/>
          <w:szCs w:val="16"/>
          <w:color w:val="auto"/>
        </w:rPr>
        <w:t xml:space="preserve"> Floor Premises in accordance with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(Utilities) of the Lease.</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40" w:hanging="540"/>
        <w:spacing w:after="0" w:line="257" w:lineRule="auto"/>
        <w:rPr>
          <w:rFonts w:ascii="Arial" w:cs="Arial" w:eastAsia="Arial" w:hAnsi="Arial"/>
          <w:sz w:val="18"/>
          <w:szCs w:val="18"/>
          <w:color w:val="auto"/>
        </w:rPr>
      </w:pPr>
      <w:r>
        <w:rPr>
          <w:rFonts w:ascii="Arial" w:cs="Arial" w:eastAsia="Arial" w:hAnsi="Arial"/>
          <w:sz w:val="18"/>
          <w:szCs w:val="18"/>
          <w:color w:val="auto"/>
        </w:rPr>
        <w:t>13.1 The parties hereto acknowledge and agree that Landlord is currently holding $56,098.26 as the Security Deposit under the Lease. Simultaneously with Tenant’s execution of this First Amendment, Tenant shall remit to Landlord, by check or wire transfer of immediately available funds, $43,901.74 (the “</w:t>
      </w:r>
      <w:r>
        <w:rPr>
          <w:rFonts w:ascii="Arial" w:cs="Arial" w:eastAsia="Arial" w:hAnsi="Arial"/>
          <w:sz w:val="18"/>
          <w:szCs w:val="18"/>
          <w:u w:val="single" w:color="auto"/>
          <w:color w:val="auto"/>
        </w:rPr>
        <w:t>Additional Security Deposit</w:t>
      </w:r>
      <w:r>
        <w:rPr>
          <w:rFonts w:ascii="Arial" w:cs="Arial" w:eastAsia="Arial" w:hAnsi="Arial"/>
          <w:sz w:val="18"/>
          <w:szCs w:val="18"/>
          <w:color w:val="auto"/>
        </w:rPr>
        <w:t>”) to be held as additional security for Tenant’s performance of its obligations set forth in the Lease; it being agreed that upon Landlord’s receipt of the Additional Security Deposit, the total amount of the Security Deposit held by Landlord shall be $100,000.00.</w:t>
      </w:r>
    </w:p>
    <w:p>
      <w:pPr>
        <w:spacing w:after="0" w:line="93" w:lineRule="exact"/>
        <w:rPr>
          <w:rFonts w:ascii="Arial" w:cs="Arial" w:eastAsia="Arial" w:hAnsi="Arial"/>
          <w:sz w:val="18"/>
          <w:szCs w:val="18"/>
          <w:color w:val="auto"/>
        </w:rPr>
      </w:pPr>
    </w:p>
    <w:p>
      <w:pPr>
        <w:ind w:left="964" w:hanging="5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Section 26.2</w:t>
      </w:r>
      <w:r>
        <w:rPr>
          <w:rFonts w:ascii="Arial" w:cs="Arial" w:eastAsia="Arial" w:hAnsi="Arial"/>
          <w:sz w:val="18"/>
          <w:szCs w:val="18"/>
          <w:color w:val="auto"/>
        </w:rPr>
        <w:t xml:space="preserve"> of the Lease is hereby deleted in its entirety. The terms and conditions relating to the reduction (if any) of the Security Deposit shall be controlled by this </w:t>
      </w:r>
      <w:r>
        <w:rPr>
          <w:rFonts w:ascii="Arial" w:cs="Arial" w:eastAsia="Arial" w:hAnsi="Arial"/>
          <w:sz w:val="18"/>
          <w:szCs w:val="18"/>
          <w:u w:val="single" w:color="auto"/>
          <w:color w:val="auto"/>
        </w:rPr>
        <w:t>Section 13.2</w:t>
      </w:r>
      <w:r>
        <w:rPr>
          <w:rFonts w:ascii="Arial" w:cs="Arial" w:eastAsia="Arial" w:hAnsi="Arial"/>
          <w:sz w:val="18"/>
          <w:szCs w:val="18"/>
          <w:color w:val="auto"/>
        </w:rPr>
        <w:t>. Subject to the terms and conditions contained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3" w:right="459" w:bottom="1440" w:gutter="0" w:footer="0" w:header="0"/>
        </w:sectPr>
      </w:pPr>
    </w:p>
    <w:bookmarkStart w:id="565" w:name="page566"/>
    <w:bookmarkEnd w:id="565"/>
    <w:p>
      <w:pPr>
        <w:ind w:left="98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herein, provided that Tenant shall not be in an Event of Default beyond any applicable notice and grace period on the Reduction Date (as hereinafter defined), the Security Deposit shall be decreased to $60,000.00 (the “</w:t>
      </w:r>
      <w:r>
        <w:rPr>
          <w:rFonts w:ascii="Arial" w:cs="Arial" w:eastAsia="Arial" w:hAnsi="Arial"/>
          <w:sz w:val="17"/>
          <w:szCs w:val="17"/>
          <w:u w:val="single" w:color="auto"/>
          <w:color w:val="auto"/>
        </w:rPr>
        <w:t>Reduced Amount</w:t>
      </w:r>
      <w:r>
        <w:rPr>
          <w:rFonts w:ascii="Arial" w:cs="Arial" w:eastAsia="Arial" w:hAnsi="Arial"/>
          <w:sz w:val="17"/>
          <w:szCs w:val="17"/>
          <w:color w:val="auto"/>
        </w:rPr>
        <w:t>”) after the twenty-four (24) month anniversary of the 9</w:t>
      </w:r>
      <w:r>
        <w:rPr>
          <w:rFonts w:ascii="Arial" w:cs="Arial" w:eastAsia="Arial" w:hAnsi="Arial"/>
          <w:sz w:val="14"/>
          <w:szCs w:val="14"/>
          <w:color w:val="auto"/>
        </w:rPr>
        <w:t>th</w:t>
      </w:r>
      <w:r>
        <w:rPr>
          <w:rFonts w:ascii="Arial" w:cs="Arial" w:eastAsia="Arial" w:hAnsi="Arial"/>
          <w:sz w:val="17"/>
          <w:szCs w:val="17"/>
          <w:color w:val="auto"/>
        </w:rPr>
        <w:t xml:space="preserve"> Floor Premises Rent Commencement Date (the “</w:t>
      </w:r>
      <w:r>
        <w:rPr>
          <w:rFonts w:ascii="Arial" w:cs="Arial" w:eastAsia="Arial" w:hAnsi="Arial"/>
          <w:sz w:val="17"/>
          <w:szCs w:val="17"/>
          <w:u w:val="single" w:color="auto"/>
          <w:color w:val="auto"/>
        </w:rPr>
        <w:t>Reduction Date</w:t>
      </w:r>
      <w:r>
        <w:rPr>
          <w:rFonts w:ascii="Arial" w:cs="Arial" w:eastAsia="Arial" w:hAnsi="Arial"/>
          <w:sz w:val="17"/>
          <w:szCs w:val="17"/>
          <w:color w:val="auto"/>
        </w:rPr>
        <w:t>”). Landlord shall promptly following the Reduction Date, and Tenant’s written request therefor, refund to Tenant the amount necessary to reduce the Security Deposit to the Reduced Amount. Should Tenant be in an Event of Default beyond any applicable notice and grace period on the Reduction Date, the Security Deposit then in effect shall remain in place (without reduction) for the balance of the Term of the Lease.</w:t>
      </w:r>
    </w:p>
    <w:p>
      <w:pPr>
        <w:spacing w:after="0" w:line="83" w:lineRule="exact"/>
        <w:rPr>
          <w:sz w:val="20"/>
          <w:szCs w:val="20"/>
          <w:color w:val="auto"/>
        </w:rPr>
      </w:pPr>
    </w:p>
    <w:p>
      <w:pPr>
        <w:ind w:left="424" w:right="160" w:hanging="424"/>
        <w:spacing w:after="0" w:line="275" w:lineRule="auto"/>
        <w:tabs>
          <w:tab w:leader="none" w:pos="424" w:val="left"/>
        </w:tabs>
        <w:numPr>
          <w:ilvl w:val="0"/>
          <w:numId w:val="418"/>
        </w:numPr>
        <w:rPr>
          <w:rFonts w:ascii="Arial" w:cs="Arial" w:eastAsia="Arial" w:hAnsi="Arial"/>
          <w:sz w:val="17"/>
          <w:szCs w:val="17"/>
          <w:color w:val="auto"/>
        </w:rPr>
      </w:pPr>
      <w:r>
        <w:rPr>
          <w:rFonts w:ascii="Arial" w:cs="Arial" w:eastAsia="Arial" w:hAnsi="Arial"/>
          <w:sz w:val="17"/>
          <w:szCs w:val="17"/>
          <w:u w:val="single" w:color="auto"/>
          <w:color w:val="auto"/>
        </w:rPr>
        <w:t>Signage</w:t>
      </w:r>
      <w:r>
        <w:rPr>
          <w:rFonts w:ascii="Arial" w:cs="Arial" w:eastAsia="Arial" w:hAnsi="Arial"/>
          <w:sz w:val="17"/>
          <w:szCs w:val="17"/>
          <w:color w:val="auto"/>
        </w:rPr>
        <w:t>. On or before the 9</w:t>
      </w:r>
      <w:r>
        <w:rPr>
          <w:rFonts w:ascii="Arial" w:cs="Arial" w:eastAsia="Arial" w:hAnsi="Arial"/>
          <w:sz w:val="14"/>
          <w:szCs w:val="14"/>
          <w:color w:val="auto"/>
        </w:rPr>
        <w:t>th</w:t>
      </w:r>
      <w:r>
        <w:rPr>
          <w:rFonts w:ascii="Arial" w:cs="Arial" w:eastAsia="Arial" w:hAnsi="Arial"/>
          <w:sz w:val="17"/>
          <w:szCs w:val="17"/>
          <w:color w:val="auto"/>
        </w:rPr>
        <w:t xml:space="preserve"> Floor Premises Commencement Date, Landlord shall (a) update the alphabetical directory board or other directory device listing all tenants in the Building, located in the lobby of the Building, to reflect Tenant’s location on both the 9</w:t>
      </w:r>
      <w:r>
        <w:rPr>
          <w:rFonts w:ascii="Arial" w:cs="Arial" w:eastAsia="Arial" w:hAnsi="Arial"/>
          <w:sz w:val="14"/>
          <w:szCs w:val="14"/>
          <w:color w:val="auto"/>
        </w:rPr>
        <w:t>th</w:t>
      </w:r>
      <w:r>
        <w:rPr>
          <w:rFonts w:ascii="Arial" w:cs="Arial" w:eastAsia="Arial" w:hAnsi="Arial"/>
          <w:sz w:val="17"/>
          <w:szCs w:val="17"/>
          <w:color w:val="auto"/>
        </w:rPr>
        <w:t xml:space="preserve"> and 10</w:t>
      </w:r>
      <w:r>
        <w:rPr>
          <w:rFonts w:ascii="Arial" w:cs="Arial" w:eastAsia="Arial" w:hAnsi="Arial"/>
          <w:sz w:val="14"/>
          <w:szCs w:val="14"/>
          <w:color w:val="auto"/>
        </w:rPr>
        <w:t>th</w:t>
      </w:r>
      <w:r>
        <w:rPr>
          <w:rFonts w:ascii="Arial" w:cs="Arial" w:eastAsia="Arial" w:hAnsi="Arial"/>
          <w:sz w:val="17"/>
          <w:szCs w:val="17"/>
          <w:color w:val="auto"/>
        </w:rPr>
        <w:t xml:space="preserve"> floors of the Building, and (b) install Tenant’s name in the 9</w:t>
      </w:r>
      <w:r>
        <w:rPr>
          <w:rFonts w:ascii="Arial" w:cs="Arial" w:eastAsia="Arial" w:hAnsi="Arial"/>
          <w:sz w:val="14"/>
          <w:szCs w:val="14"/>
          <w:color w:val="auto"/>
        </w:rPr>
        <w:t>th</w:t>
      </w:r>
      <w:r>
        <w:rPr>
          <w:rFonts w:ascii="Arial" w:cs="Arial" w:eastAsia="Arial" w:hAnsi="Arial"/>
          <w:sz w:val="17"/>
          <w:szCs w:val="17"/>
          <w:color w:val="auto"/>
        </w:rPr>
        <w:t xml:space="preserve"> floor elevator lobby as required by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(Signs, Window Treatments, and Advertising) of the Lease. Tenant shall, likewise, have the right to install its signage at the entrance to the 9</w:t>
      </w:r>
      <w:r>
        <w:rPr>
          <w:rFonts w:ascii="Arial" w:cs="Arial" w:eastAsia="Arial" w:hAnsi="Arial"/>
          <w:sz w:val="14"/>
          <w:szCs w:val="14"/>
          <w:color w:val="auto"/>
        </w:rPr>
        <w:t>th</w:t>
      </w:r>
      <w:r>
        <w:rPr>
          <w:rFonts w:ascii="Arial" w:cs="Arial" w:eastAsia="Arial" w:hAnsi="Arial"/>
          <w:sz w:val="17"/>
          <w:szCs w:val="17"/>
          <w:color w:val="auto"/>
        </w:rPr>
        <w:t xml:space="preserve"> Floor Premises as set forth in said </w:t>
      </w:r>
      <w:r>
        <w:rPr>
          <w:rFonts w:ascii="Arial" w:cs="Arial" w:eastAsia="Arial" w:hAnsi="Arial"/>
          <w:sz w:val="17"/>
          <w:szCs w:val="17"/>
          <w:u w:val="single" w:color="auto"/>
          <w:color w:val="auto"/>
        </w:rPr>
        <w:t>Section 19</w:t>
      </w:r>
      <w:r>
        <w:rPr>
          <w:rFonts w:ascii="Arial" w:cs="Arial" w:eastAsia="Arial" w:hAnsi="Arial"/>
          <w:sz w:val="17"/>
          <w:szCs w:val="17"/>
          <w:color w:val="auto"/>
        </w:rPr>
        <w:t>, subject to Landlord’s prior written consent not to be unreasonably withheld, conditioned or delayed.</w:t>
      </w:r>
    </w:p>
    <w:p>
      <w:pPr>
        <w:spacing w:after="0" w:line="81" w:lineRule="exact"/>
        <w:rPr>
          <w:rFonts w:ascii="Arial" w:cs="Arial" w:eastAsia="Arial" w:hAnsi="Arial"/>
          <w:sz w:val="17"/>
          <w:szCs w:val="17"/>
          <w:color w:val="auto"/>
        </w:rPr>
      </w:pPr>
    </w:p>
    <w:p>
      <w:pPr>
        <w:ind w:left="424" w:right="20" w:hanging="424"/>
        <w:spacing w:after="0" w:line="296" w:lineRule="auto"/>
        <w:tabs>
          <w:tab w:leader="none" w:pos="424" w:val="left"/>
        </w:tabs>
        <w:numPr>
          <w:ilvl w:val="0"/>
          <w:numId w:val="418"/>
        </w:numPr>
        <w:rPr>
          <w:rFonts w:ascii="Arial" w:cs="Arial" w:eastAsia="Arial" w:hAnsi="Arial"/>
          <w:sz w:val="16"/>
          <w:szCs w:val="16"/>
          <w:color w:val="auto"/>
        </w:rPr>
      </w:pPr>
      <w:r>
        <w:rPr>
          <w:rFonts w:ascii="Arial" w:cs="Arial" w:eastAsia="Arial" w:hAnsi="Arial"/>
          <w:sz w:val="16"/>
          <w:szCs w:val="16"/>
          <w:u w:val="single" w:color="auto"/>
          <w:color w:val="auto"/>
        </w:rPr>
        <w:t>No Options</w:t>
      </w:r>
      <w:r>
        <w:rPr>
          <w:rFonts w:ascii="Arial" w:cs="Arial" w:eastAsia="Arial" w:hAnsi="Arial"/>
          <w:sz w:val="16"/>
          <w:szCs w:val="16"/>
          <w:color w:val="auto"/>
        </w:rPr>
        <w:t xml:space="preserve">. Tenant acknowledges and agrees that, except for (a) the Extension Option referenced in </w:t>
      </w:r>
      <w:r>
        <w:rPr>
          <w:rFonts w:ascii="Arial" w:cs="Arial" w:eastAsia="Arial" w:hAnsi="Arial"/>
          <w:sz w:val="16"/>
          <w:szCs w:val="16"/>
          <w:u w:val="single" w:color="auto"/>
          <w:color w:val="auto"/>
        </w:rPr>
        <w:t>Section 50</w:t>
      </w:r>
      <w:r>
        <w:rPr>
          <w:rFonts w:ascii="Arial" w:cs="Arial" w:eastAsia="Arial" w:hAnsi="Arial"/>
          <w:sz w:val="16"/>
          <w:szCs w:val="16"/>
          <w:color w:val="auto"/>
        </w:rPr>
        <w:t xml:space="preserve"> (Extension Option) of the Lease (which shall apply with respect to the entire Premises), and (b) the Right of First Offer referenced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(Right of First Offer) of the Lease, Tenant has no (i) options or rights to extend the Term of the Lease, (ii) options, rights of first offer, rights of first refusal, or other rights to expand the rentable square feet comprising the Premises or lease any other space in the Building, or (iii) options to terminate the Lease ( except in connection with a casualty as set forth in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of the Lease) or contract the rentable square feet comprising the Premises.</w:t>
      </w:r>
    </w:p>
    <w:p>
      <w:pPr>
        <w:spacing w:after="0" w:line="66" w:lineRule="exact"/>
        <w:rPr>
          <w:rFonts w:ascii="Arial" w:cs="Arial" w:eastAsia="Arial" w:hAnsi="Arial"/>
          <w:sz w:val="16"/>
          <w:szCs w:val="16"/>
          <w:color w:val="auto"/>
        </w:rPr>
      </w:pPr>
    </w:p>
    <w:p>
      <w:pPr>
        <w:ind w:left="424" w:right="100" w:hanging="424"/>
        <w:spacing w:after="0" w:line="272" w:lineRule="auto"/>
        <w:tabs>
          <w:tab w:leader="none" w:pos="424" w:val="left"/>
        </w:tabs>
        <w:numPr>
          <w:ilvl w:val="0"/>
          <w:numId w:val="418"/>
        </w:numPr>
        <w:rPr>
          <w:rFonts w:ascii="Arial" w:cs="Arial" w:eastAsia="Arial" w:hAnsi="Arial"/>
          <w:sz w:val="17"/>
          <w:szCs w:val="17"/>
          <w:color w:val="auto"/>
        </w:rPr>
      </w:pPr>
      <w:r>
        <w:rPr>
          <w:rFonts w:ascii="Arial" w:cs="Arial" w:eastAsia="Arial" w:hAnsi="Arial"/>
          <w:sz w:val="17"/>
          <w:szCs w:val="17"/>
          <w:u w:val="single" w:color="auto"/>
          <w:color w:val="auto"/>
        </w:rPr>
        <w:t>No-Brokers</w:t>
      </w:r>
      <w:r>
        <w:rPr>
          <w:rFonts w:ascii="Arial" w:cs="Arial" w:eastAsia="Arial" w:hAnsi="Arial"/>
          <w:sz w:val="17"/>
          <w:szCs w:val="17"/>
          <w:color w:val="auto"/>
        </w:rPr>
        <w:t xml:space="preserve">. Except for Newmark Grubb Knight Frank (representing Landlord exclusively) and Transwestern RBJ (representing Tenant exclusively), each party represents and warrants to the other that they have not made any agreement or taken any action which may cause anyone to become entitled to a commission as a result of the transactions contemplated by this First Amendment, and each will indemnify and defend the other from any and all claims, actual or threatened, for compensation by any such third person by reason of such party’s breach of their representation or warranty contained in this First Amendment. Landlord will pay any commission due to the broker(s) hereunder pursuant to its separate agreement with the broker(s) hereunder subject to execution and delivery of this First Amendment by Landlord and Tenant. The provisions of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shall survive the expiration or earlier termination of the Lease.</w:t>
      </w:r>
    </w:p>
    <w:p>
      <w:pPr>
        <w:spacing w:after="0" w:line="82" w:lineRule="exact"/>
        <w:rPr>
          <w:rFonts w:ascii="Arial" w:cs="Arial" w:eastAsia="Arial" w:hAnsi="Arial"/>
          <w:sz w:val="17"/>
          <w:szCs w:val="17"/>
          <w:color w:val="auto"/>
        </w:rPr>
      </w:pPr>
    </w:p>
    <w:p>
      <w:pPr>
        <w:ind w:left="424" w:right="20" w:hanging="424"/>
        <w:spacing w:after="0" w:line="259" w:lineRule="auto"/>
        <w:tabs>
          <w:tab w:leader="none" w:pos="424"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No Claims</w:t>
      </w:r>
      <w:r>
        <w:rPr>
          <w:rFonts w:ascii="Arial" w:cs="Arial" w:eastAsia="Arial" w:hAnsi="Arial"/>
          <w:sz w:val="18"/>
          <w:szCs w:val="18"/>
          <w:color w:val="auto"/>
        </w:rPr>
        <w:t>. In consideration of the foregoing, Tenant acknowledges that, as of the date hereof, to the best of Tenant’s knowledge, Tenant has no claims, defenses, rights of set-off or counterclaims against Landlord with respect to the Lease or the Premises, including, but not limited to, claims related to Landlord’s payment of any allowance or contribution with regard to the Premises, and has no knowledge of any default by Landlord under the Lease.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3" w:right="459" w:bottom="1440" w:gutter="0" w:footer="0" w:header="0"/>
        </w:sectPr>
      </w:pPr>
    </w:p>
    <w:bookmarkStart w:id="566" w:name="page567"/>
    <w:bookmarkEnd w:id="566"/>
    <w:p>
      <w:pPr>
        <w:ind w:left="424" w:right="260" w:hanging="424"/>
        <w:spacing w:after="0" w:line="286" w:lineRule="auto"/>
        <w:tabs>
          <w:tab w:leader="none" w:pos="424" w:val="left"/>
        </w:tabs>
        <w:numPr>
          <w:ilvl w:val="0"/>
          <w:numId w:val="41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Authority</w:t>
      </w:r>
      <w:r>
        <w:rPr>
          <w:rFonts w:ascii="Arial" w:cs="Arial" w:eastAsia="Arial" w:hAnsi="Arial"/>
          <w:sz w:val="17"/>
          <w:szCs w:val="17"/>
          <w:color w:val="auto"/>
        </w:rPr>
        <w:t>. Tenant represents, warrants and covenants to Landlord that (a) Tenant is duly formed, has legal existence, is in good standing, and is qualified to do business in the state in which the Building is located, (b) Tenant has full right, power and authority to enter into this First Amendment, and ( c) the person or persons executing this First Amendment on behalf of Tenant are duly authorized to do so.</w:t>
      </w:r>
    </w:p>
    <w:p>
      <w:pPr>
        <w:spacing w:after="0" w:line="70" w:lineRule="exact"/>
        <w:rPr>
          <w:rFonts w:ascii="Arial" w:cs="Arial" w:eastAsia="Arial" w:hAnsi="Arial"/>
          <w:sz w:val="17"/>
          <w:szCs w:val="17"/>
          <w:color w:val="auto"/>
        </w:rPr>
      </w:pPr>
    </w:p>
    <w:p>
      <w:pPr>
        <w:ind w:left="424" w:right="40" w:hanging="424"/>
        <w:spacing w:after="0" w:line="263" w:lineRule="auto"/>
        <w:tabs>
          <w:tab w:leader="none" w:pos="424"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References; Ratification</w:t>
      </w:r>
      <w:r>
        <w:rPr>
          <w:rFonts w:ascii="Arial" w:cs="Arial" w:eastAsia="Arial" w:hAnsi="Arial"/>
          <w:sz w:val="18"/>
          <w:szCs w:val="18"/>
          <w:color w:val="auto"/>
        </w:rPr>
        <w:t>. The Lease shall be modified such that each reference to the Lease contained therein shall be deemed to refer to the Lease as amended by this First Amendment. Except as specifically modified or amended herein, the Lease remains unchanged and in full force and effect and is hereby ratified and confirmed in every respect.</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In the event of a conflict between this First Amendment and the Lease, this First Amendment shall control.</w:t>
      </w:r>
    </w:p>
    <w:p>
      <w:pPr>
        <w:spacing w:after="0" w:line="130"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in this First Amendment but not defined in this First Amendment have the meanings ascribed to them in the Lease.</w:t>
      </w:r>
    </w:p>
    <w:p>
      <w:pPr>
        <w:spacing w:after="0" w:line="75" w:lineRule="exact"/>
        <w:rPr>
          <w:rFonts w:ascii="Arial" w:cs="Arial" w:eastAsia="Arial" w:hAnsi="Arial"/>
          <w:sz w:val="18"/>
          <w:szCs w:val="18"/>
          <w:color w:val="auto"/>
        </w:rPr>
      </w:pPr>
    </w:p>
    <w:p>
      <w:pPr>
        <w:ind w:left="424" w:right="20" w:hanging="424"/>
        <w:spacing w:after="0" w:line="275" w:lineRule="auto"/>
        <w:tabs>
          <w:tab w:leader="none" w:pos="424" w:val="left"/>
        </w:tabs>
        <w:numPr>
          <w:ilvl w:val="0"/>
          <w:numId w:val="419"/>
        </w:numPr>
        <w:rPr>
          <w:rFonts w:ascii="Arial" w:cs="Arial" w:eastAsia="Arial" w:hAnsi="Arial"/>
          <w:sz w:val="17"/>
          <w:szCs w:val="17"/>
          <w:color w:val="auto"/>
        </w:rPr>
      </w:pPr>
      <w:r>
        <w:rPr>
          <w:rFonts w:ascii="Arial" w:cs="Arial" w:eastAsia="Arial" w:hAnsi="Arial"/>
          <w:sz w:val="17"/>
          <w:szCs w:val="17"/>
          <w:u w:val="single" w:color="auto"/>
          <w:color w:val="auto"/>
        </w:rPr>
        <w:t>When Binding: Counterparts</w:t>
      </w:r>
      <w:r>
        <w:rPr>
          <w:rFonts w:ascii="Arial" w:cs="Arial" w:eastAsia="Arial" w:hAnsi="Arial"/>
          <w:sz w:val="17"/>
          <w:szCs w:val="17"/>
          <w:color w:val="auto"/>
        </w:rPr>
        <w:t>. This First Amendment shall be binding upon the parties hereto only upon valid execution and delivery hereof by both Landlord and Tenant. Upon execution and delivery hereof by Landlord and Tenant, the agreements of the parties hereto shall be binding upon and inure to the benefit of their respective successors and assigns. This First Amendment may be signed in counterpart originals, which taken together shall constitute one and the same instrument. Delivery of a copy of a signed counterpart original transmitted by facsimile or as a PDF or similar attachment to an email shall constitute a good and valid execution and delivery of this First Amendment.</w:t>
      </w:r>
    </w:p>
    <w:p>
      <w:pPr>
        <w:spacing w:after="0" w:line="81" w:lineRule="exact"/>
        <w:rPr>
          <w:rFonts w:ascii="Arial" w:cs="Arial" w:eastAsia="Arial" w:hAnsi="Arial"/>
          <w:sz w:val="17"/>
          <w:szCs w:val="17"/>
          <w:color w:val="auto"/>
        </w:rPr>
      </w:pPr>
    </w:p>
    <w:p>
      <w:pPr>
        <w:ind w:left="424" w:right="320" w:hanging="424"/>
        <w:spacing w:after="0" w:line="277" w:lineRule="auto"/>
        <w:tabs>
          <w:tab w:leader="none" w:pos="424"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Additional terms to this First Amendment, if any, are set forth in the attached Exhibits, which are incorporated herein by reference as follows:</w:t>
      </w:r>
    </w:p>
    <w:p>
      <w:pPr>
        <w:spacing w:after="0" w:line="62" w:lineRule="exact"/>
        <w:rPr>
          <w:rFonts w:ascii="Arial" w:cs="Arial" w:eastAsia="Arial" w:hAnsi="Arial"/>
          <w:sz w:val="18"/>
          <w:szCs w:val="18"/>
          <w:color w:val="auto"/>
        </w:rPr>
      </w:pPr>
    </w:p>
    <w:p>
      <w:pPr>
        <w:ind w:left="444" w:right="7780"/>
        <w:spacing w:after="0" w:line="258" w:lineRule="auto"/>
        <w:rPr>
          <w:rFonts w:ascii="Arial" w:cs="Arial" w:eastAsia="Arial" w:hAnsi="Arial"/>
          <w:sz w:val="18"/>
          <w:szCs w:val="18"/>
          <w:color w:val="auto"/>
        </w:rPr>
      </w:pPr>
      <w:r>
        <w:rPr>
          <w:rFonts w:ascii="Arial" w:cs="Arial" w:eastAsia="Arial" w:hAnsi="Arial"/>
          <w:sz w:val="18"/>
          <w:szCs w:val="18"/>
          <w:color w:val="auto"/>
        </w:rPr>
        <w:t>Exhibit A – Plan of 9</w:t>
      </w:r>
      <w:r>
        <w:rPr>
          <w:rFonts w:ascii="Arial" w:cs="Arial" w:eastAsia="Arial" w:hAnsi="Arial"/>
          <w:sz w:val="15"/>
          <w:szCs w:val="15"/>
          <w:color w:val="auto"/>
        </w:rPr>
        <w:t>th</w:t>
      </w:r>
      <w:r>
        <w:rPr>
          <w:rFonts w:ascii="Arial" w:cs="Arial" w:eastAsia="Arial" w:hAnsi="Arial"/>
          <w:sz w:val="18"/>
          <w:szCs w:val="18"/>
          <w:color w:val="auto"/>
        </w:rPr>
        <w:t xml:space="preserve"> Floor Premises Exhibit B – Work Letter</w:t>
      </w:r>
    </w:p>
    <w:p>
      <w:pPr>
        <w:spacing w:after="0" w:line="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Exhibit C – Concept Plan</w:t>
      </w:r>
    </w:p>
    <w:p>
      <w:pPr>
        <w:spacing w:after="0" w:line="200" w:lineRule="exact"/>
        <w:rPr>
          <w:sz w:val="20"/>
          <w:szCs w:val="20"/>
          <w:color w:val="auto"/>
        </w:rPr>
      </w:pPr>
    </w:p>
    <w:p>
      <w:pPr>
        <w:spacing w:after="0" w:line="22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[END OF TEXT; SIGNATURES FOLLOW ON NEXT PAGE.]</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3" w:right="459" w:bottom="1440" w:gutter="0" w:footer="0" w:header="0"/>
        </w:sectPr>
      </w:pPr>
    </w:p>
    <w:bookmarkStart w:id="567" w:name="page568"/>
    <w:bookmarkEnd w:id="56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Landlord and Tenant have caused this First Amendment to be executed as of the date set forth above.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NS 141 TREMONT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limited 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Synergy Financial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Massachusetts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Manager and Authorized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David Greaney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David Greaney, Manager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Hereunto duly authorized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PEERTRANSFER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7520" w:type="dxa"/>
            <w:vAlign w:val="bottom"/>
            <w:gridSpan w:val="2"/>
          </w:tcPr>
          <w:p>
            <w:pPr>
              <w:spacing w:after="0"/>
              <w:rPr>
                <w:sz w:val="20"/>
                <w:szCs w:val="20"/>
                <w:color w:val="auto"/>
              </w:rPr>
            </w:pPr>
            <w:r>
              <w:rPr>
                <w:rFonts w:ascii="Arial" w:cs="Arial" w:eastAsia="Arial" w:hAnsi="Arial"/>
                <w:sz w:val="18"/>
                <w:szCs w:val="18"/>
                <w:color w:val="auto"/>
              </w:rPr>
              <w:t>/s/ Peter Butterfield</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Peter Butterfield</w:t>
            </w:r>
          </w:p>
        </w:tc>
        <w:tc>
          <w:tcPr>
            <w:tcW w:w="3740" w:type="dxa"/>
            <w:vAlign w:val="bottom"/>
          </w:tcPr>
          <w:p>
            <w:pPr>
              <w:spacing w:after="0"/>
              <w:rPr>
                <w:sz w:val="19"/>
                <w:szCs w:val="19"/>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7520" w:type="dxa"/>
            <w:vAlign w:val="bottom"/>
            <w:gridSpan w:val="2"/>
          </w:tcPr>
          <w:p>
            <w:pPr>
              <w:spacing w:after="0"/>
              <w:rPr>
                <w:sz w:val="20"/>
                <w:szCs w:val="20"/>
                <w:color w:val="auto"/>
              </w:rPr>
            </w:pPr>
            <w:r>
              <w:rPr>
                <w:rFonts w:ascii="Arial" w:cs="Arial" w:eastAsia="Arial" w:hAnsi="Arial"/>
                <w:sz w:val="18"/>
                <w:szCs w:val="18"/>
                <w:color w:val="auto"/>
              </w:rPr>
              <w:t>General Counsel &amp; Chief Compliance Officer</w:t>
            </w:r>
          </w:p>
        </w:tc>
      </w:tr>
      <w:tr>
        <w:trPr>
          <w:trHeight w:val="230"/>
        </w:trPr>
        <w:tc>
          <w:tcPr>
            <w:tcW w:w="620" w:type="dxa"/>
            <w:vAlign w:val="bottom"/>
          </w:tcPr>
          <w:p>
            <w:pPr>
              <w:spacing w:after="0"/>
              <w:rPr>
                <w:sz w:val="20"/>
                <w:szCs w:val="20"/>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Hereunto duly authorized</w:t>
            </w:r>
          </w:p>
        </w:tc>
      </w:tr>
      <w:tr>
        <w:trPr>
          <w:trHeight w:val="648"/>
        </w:trPr>
        <w:tc>
          <w:tcPr>
            <w:tcW w:w="620" w:type="dxa"/>
            <w:vAlign w:val="bottom"/>
          </w:tcPr>
          <w:p>
            <w:pPr>
              <w:spacing w:after="0"/>
              <w:rPr>
                <w:sz w:val="24"/>
                <w:szCs w:val="24"/>
                <w:color w:val="auto"/>
              </w:rPr>
            </w:pPr>
          </w:p>
        </w:tc>
        <w:tc>
          <w:tcPr>
            <w:tcW w:w="7520" w:type="dxa"/>
            <w:vAlign w:val="bottom"/>
            <w:gridSpan w:val="2"/>
          </w:tcPr>
          <w:p>
            <w:pPr>
              <w:ind w:left="2260"/>
              <w:spacing w:after="0"/>
              <w:rPr>
                <w:sz w:val="20"/>
                <w:szCs w:val="20"/>
                <w:color w:val="auto"/>
              </w:rPr>
            </w:pPr>
            <w:r>
              <w:rPr>
                <w:rFonts w:ascii="Arial" w:cs="Arial" w:eastAsia="Arial" w:hAnsi="Arial"/>
                <w:sz w:val="18"/>
                <w:szCs w:val="18"/>
                <w:b w:val="1"/>
                <w:bCs w:val="1"/>
                <w:color w:val="auto"/>
                <w:w w:val="99"/>
              </w:rPr>
              <w:t>[COUNTERPART SIGNATURE PAGE TO FIRST AMENDMENT]</w:t>
            </w:r>
          </w:p>
        </w:tc>
      </w:tr>
      <w:tr>
        <w:trPr>
          <w:trHeight w:val="365"/>
        </w:trPr>
        <w:tc>
          <w:tcPr>
            <w:tcW w:w="620" w:type="dxa"/>
            <w:vAlign w:val="bottom"/>
          </w:tcPr>
          <w:p>
            <w:pPr>
              <w:spacing w:after="0"/>
              <w:rPr>
                <w:sz w:val="24"/>
                <w:szCs w:val="24"/>
                <w:color w:val="auto"/>
              </w:rPr>
            </w:pPr>
          </w:p>
        </w:tc>
        <w:tc>
          <w:tcPr>
            <w:tcW w:w="7520" w:type="dxa"/>
            <w:vAlign w:val="bottom"/>
            <w:gridSpan w:val="2"/>
          </w:tcPr>
          <w:p>
            <w:pPr>
              <w:ind w:left="480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0019"/>
          </w:cols>
          <w:pgMar w:left="440" w:top="273" w:right="1440" w:bottom="1440" w:gutter="0" w:footer="0" w:header="0"/>
        </w:sectPr>
      </w:pPr>
    </w:p>
    <w:bookmarkStart w:id="568" w:name="page569"/>
    <w:bookmarkEnd w:id="56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PLAN OF 9</w:t>
      </w:r>
      <w:r>
        <w:rPr>
          <w:rFonts w:ascii="Arial" w:cs="Arial" w:eastAsia="Arial" w:hAnsi="Arial"/>
          <w:sz w:val="14"/>
          <w:szCs w:val="14"/>
          <w:b w:val="1"/>
          <w:bCs w:val="1"/>
          <w:u w:val="single" w:color="auto"/>
          <w:color w:val="auto"/>
        </w:rPr>
        <w:t>TH</w:t>
      </w:r>
      <w:r>
        <w:rPr>
          <w:rFonts w:ascii="Arial" w:cs="Arial" w:eastAsia="Arial" w:hAnsi="Arial"/>
          <w:sz w:val="17"/>
          <w:szCs w:val="17"/>
          <w:b w:val="1"/>
          <w:bCs w:val="1"/>
          <w:u w:val="single" w:color="auto"/>
          <w:color w:val="auto"/>
        </w:rPr>
        <w:t xml:space="preserve"> FLOOR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24765</wp:posOffset>
            </wp:positionV>
            <wp:extent cx="4963160" cy="271716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496316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019"/>
          </w:cols>
          <w:pgMar w:left="1440" w:top="269" w:right="1440" w:bottom="1440" w:gutter="0" w:footer="0" w:header="0"/>
        </w:sectPr>
      </w:pPr>
    </w:p>
    <w:bookmarkStart w:id="569" w:name="page570"/>
    <w:bookmarkEnd w:id="569"/>
    <w:p>
      <w:pPr>
        <w:jc w:val="center"/>
        <w:ind w:right="-5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Landlord shall perform the work shown on the Concept Plan, which work shall include the following items to the extent not already shown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Concept Plan:</w:t>
      </w:r>
    </w:p>
    <w:p>
      <w:pPr>
        <w:spacing w:after="0" w:line="116" w:lineRule="exact"/>
        <w:rPr>
          <w:sz w:val="20"/>
          <w:szCs w:val="20"/>
          <w:color w:val="auto"/>
        </w:rPr>
      </w:pPr>
    </w:p>
    <w:p>
      <w:pPr>
        <w:ind w:left="5420" w:right="4660" w:hanging="4992"/>
        <w:spacing w:after="0" w:line="535" w:lineRule="auto"/>
        <w:tabs>
          <w:tab w:leader="none" w:pos="974" w:val="left"/>
        </w:tabs>
        <w:numPr>
          <w:ilvl w:val="0"/>
          <w:numId w:val="420"/>
        </w:numPr>
        <w:rPr>
          <w:rFonts w:ascii="Arial" w:cs="Arial" w:eastAsia="Arial" w:hAnsi="Arial"/>
          <w:sz w:val="16"/>
          <w:szCs w:val="16"/>
          <w:color w:val="auto"/>
        </w:rPr>
      </w:pPr>
      <w:r>
        <w:rPr>
          <w:rFonts w:ascii="Arial" w:cs="Arial" w:eastAsia="Arial" w:hAnsi="Arial"/>
          <w:sz w:val="16"/>
          <w:szCs w:val="16"/>
          <w:color w:val="auto"/>
        </w:rPr>
        <w:t>Cap the existing internal staircase located in the 9</w:t>
      </w:r>
      <w:r>
        <w:rPr>
          <w:rFonts w:ascii="Arial" w:cs="Arial" w:eastAsia="Arial" w:hAnsi="Arial"/>
          <w:sz w:val="13"/>
          <w:szCs w:val="13"/>
          <w:color w:val="auto"/>
        </w:rPr>
        <w:t>th</w:t>
      </w:r>
      <w:r>
        <w:rPr>
          <w:rFonts w:ascii="Arial" w:cs="Arial" w:eastAsia="Arial" w:hAnsi="Arial"/>
          <w:sz w:val="16"/>
          <w:szCs w:val="16"/>
          <w:color w:val="auto"/>
        </w:rPr>
        <w:t xml:space="preserve"> Floor Premises. 12</w:t>
      </w:r>
    </w:p>
    <w:p>
      <w:pPr>
        <w:sectPr>
          <w:pgSz w:w="11900" w:h="16838" w:orient="portrait"/>
          <w:cols w:equalWidth="0" w:num="1">
            <w:col w:w="10500"/>
          </w:cols>
          <w:pgMar w:left="440" w:top="269" w:right="959" w:bottom="1440" w:gutter="0" w:footer="0" w:header="0"/>
        </w:sectPr>
      </w:pPr>
    </w:p>
    <w:bookmarkStart w:id="570" w:name="page571"/>
    <w:bookmarkEnd w:id="57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CONCEPT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24765</wp:posOffset>
            </wp:positionV>
            <wp:extent cx="5477510" cy="398653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5477510" cy="3986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019"/>
          </w:cols>
          <w:pgMar w:left="1440" w:top="269" w:right="1440" w:bottom="1440" w:gutter="0" w:footer="0" w:header="0"/>
        </w:sectPr>
      </w:pPr>
    </w:p>
    <w:bookmarkStart w:id="571" w:name="page572"/>
    <w:bookmarkEnd w:id="571"/>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COMMENCEMENT DATE CERTIFICATE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-10160</wp:posOffset>
            </wp:positionV>
            <wp:extent cx="14287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1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peerTransfer Corporation</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141 Tremont Street, 10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Boston, MA 02110</w:t>
      </w:r>
    </w:p>
    <w:p>
      <w:pPr>
        <w:spacing w:after="0" w:line="116" w:lineRule="exact"/>
        <w:rPr>
          <w:sz w:val="20"/>
          <w:szCs w:val="20"/>
          <w:color w:val="auto"/>
        </w:rPr>
      </w:pPr>
    </w:p>
    <w:p>
      <w:pPr>
        <w:ind w:left="424" w:right="60" w:hanging="419"/>
        <w:spacing w:after="0" w:line="311" w:lineRule="auto"/>
        <w:tabs>
          <w:tab w:leader="none" w:pos="404" w:val="left"/>
        </w:tabs>
        <w:rPr>
          <w:sz w:val="20"/>
          <w:szCs w:val="20"/>
          <w:color w:val="auto"/>
        </w:rPr>
      </w:pPr>
      <w:r>
        <w:rPr>
          <w:rFonts w:ascii="Arial" w:cs="Arial" w:eastAsia="Arial" w:hAnsi="Arial"/>
          <w:sz w:val="16"/>
          <w:szCs w:val="16"/>
          <w:color w:val="auto"/>
        </w:rPr>
        <w:t>RE:</w:t>
        <w:tab/>
        <w:t>Lease Agreement by and between NS 141 Tremont LLC, a Massachusetts limited liability company (“</w:t>
      </w:r>
      <w:r>
        <w:rPr>
          <w:rFonts w:ascii="Arial" w:cs="Arial" w:eastAsia="Arial" w:hAnsi="Arial"/>
          <w:sz w:val="16"/>
          <w:szCs w:val="16"/>
          <w:u w:val="single" w:color="auto"/>
          <w:color w:val="auto"/>
        </w:rPr>
        <w:t>Landlord</w:t>
      </w:r>
      <w:r>
        <w:rPr>
          <w:rFonts w:ascii="Arial" w:cs="Arial" w:eastAsia="Arial" w:hAnsi="Arial"/>
          <w:sz w:val="16"/>
          <w:szCs w:val="16"/>
          <w:color w:val="auto"/>
        </w:rPr>
        <w:t>”) and peerTransfer Corporation, a Delaware corporation (“</w:t>
      </w:r>
      <w:r>
        <w:rPr>
          <w:rFonts w:ascii="Arial" w:cs="Arial" w:eastAsia="Arial" w:hAnsi="Arial"/>
          <w:sz w:val="16"/>
          <w:szCs w:val="16"/>
          <w:u w:val="single" w:color="auto"/>
          <w:color w:val="auto"/>
        </w:rPr>
        <w:t>Tenant</w:t>
      </w:r>
      <w:r>
        <w:rPr>
          <w:rFonts w:ascii="Arial" w:cs="Arial" w:eastAsia="Arial" w:hAnsi="Arial"/>
          <w:sz w:val="16"/>
          <w:szCs w:val="16"/>
          <w:color w:val="auto"/>
        </w:rPr>
        <w:t>”) dated April 8, 2015 (the “</w:t>
      </w:r>
      <w:r>
        <w:rPr>
          <w:rFonts w:ascii="Arial" w:cs="Arial" w:eastAsia="Arial" w:hAnsi="Arial"/>
          <w:sz w:val="16"/>
          <w:szCs w:val="16"/>
          <w:u w:val="single" w:color="auto"/>
          <w:color w:val="auto"/>
        </w:rPr>
        <w:t>Lease</w:t>
      </w:r>
      <w:r>
        <w:rPr>
          <w:rFonts w:ascii="Arial" w:cs="Arial" w:eastAsia="Arial" w:hAnsi="Arial"/>
          <w:sz w:val="16"/>
          <w:szCs w:val="16"/>
          <w:color w:val="auto"/>
        </w:rPr>
        <w:t>”) for the premises (the “</w:t>
      </w:r>
      <w:r>
        <w:rPr>
          <w:rFonts w:ascii="Arial" w:cs="Arial" w:eastAsia="Arial" w:hAnsi="Arial"/>
          <w:sz w:val="16"/>
          <w:szCs w:val="16"/>
          <w:u w:val="single" w:color="auto"/>
          <w:color w:val="auto"/>
        </w:rPr>
        <w:t>Premises</w:t>
      </w:r>
      <w:r>
        <w:rPr>
          <w:rFonts w:ascii="Arial" w:cs="Arial" w:eastAsia="Arial" w:hAnsi="Arial"/>
          <w:sz w:val="16"/>
          <w:szCs w:val="16"/>
          <w:color w:val="auto"/>
        </w:rPr>
        <w:t>”) measuring approximately 5,473 rentable square feet located on the tenth (10</w:t>
      </w:r>
      <w:r>
        <w:rPr>
          <w:rFonts w:ascii="Arial" w:cs="Arial" w:eastAsia="Arial" w:hAnsi="Arial"/>
          <w:sz w:val="13"/>
          <w:szCs w:val="13"/>
          <w:color w:val="auto"/>
        </w:rPr>
        <w:t>th</w:t>
      </w:r>
      <w:r>
        <w:rPr>
          <w:rFonts w:ascii="Arial" w:cs="Arial" w:eastAsia="Arial" w:hAnsi="Arial"/>
          <w:sz w:val="16"/>
          <w:szCs w:val="16"/>
          <w:color w:val="auto"/>
        </w:rPr>
        <w:t>) floor of the building known and numbered as 141 Tremont Street, Boston, MA (the “</w:t>
      </w:r>
      <w:r>
        <w:rPr>
          <w:rFonts w:ascii="Arial" w:cs="Arial" w:eastAsia="Arial" w:hAnsi="Arial"/>
          <w:sz w:val="16"/>
          <w:szCs w:val="16"/>
          <w:u w:val="single" w:color="auto"/>
          <w:color w:val="auto"/>
        </w:rPr>
        <w:t>Building</w:t>
      </w:r>
      <w:r>
        <w:rPr>
          <w:rFonts w:ascii="Arial" w:cs="Arial" w:eastAsia="Arial" w:hAnsi="Arial"/>
          <w:sz w:val="16"/>
          <w:szCs w:val="16"/>
          <w:color w:val="auto"/>
        </w:rPr>
        <w:t>”)</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peerTransfer:</w:t>
      </w:r>
    </w:p>
    <w:p>
      <w:pPr>
        <w:spacing w:after="0" w:line="225"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 xml:space="preserve">This letter shall constitute the Commencement Date Certificate referenced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the above-referenced Lease. Unless otherwise defined herein, all capitalized terms shall have the same meaning ascribed to them in the Lease.</w:t>
      </w:r>
    </w:p>
    <w:p>
      <w:pPr>
        <w:spacing w:after="0" w:line="76" w:lineRule="exact"/>
        <w:rPr>
          <w:sz w:val="20"/>
          <w:szCs w:val="20"/>
          <w:color w:val="auto"/>
        </w:rPr>
      </w:pPr>
    </w:p>
    <w:p>
      <w:pPr>
        <w:ind w:left="424" w:hanging="424"/>
        <w:spacing w:after="0"/>
        <w:tabs>
          <w:tab w:leader="none" w:pos="42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Possession has been delivered to and accepted by Tenant.</w:t>
      </w:r>
    </w:p>
    <w:p>
      <w:pPr>
        <w:spacing w:after="0" w:line="130" w:lineRule="exact"/>
        <w:rPr>
          <w:rFonts w:ascii="Arial" w:cs="Arial" w:eastAsia="Arial" w:hAnsi="Arial"/>
          <w:sz w:val="18"/>
          <w:szCs w:val="18"/>
          <w:color w:val="auto"/>
        </w:rPr>
      </w:pPr>
    </w:p>
    <w:p>
      <w:pPr>
        <w:ind w:left="424" w:right="160" w:hanging="424"/>
        <w:spacing w:after="0" w:line="263" w:lineRule="auto"/>
        <w:tabs>
          <w:tab w:leader="none" w:pos="42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All obligations, if any, of Landlord under the terms of the Lease with respect to improvements or repairs to the Premises have been Substantially Completed, and all allowances, reimbursements or other obligations of Landlord for the payment of monies to or for the benefit of Tenant have been fully paid in accordance with the terms of the Lease.</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Commencement Date is July 15, 2015.</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Expiration Date is September 30, 2020.</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Payment of Base Rent as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the Lease shall commence in full force and effect as of September 15, 2015.</w:t>
      </w:r>
    </w:p>
    <w:p>
      <w:pPr>
        <w:spacing w:after="0" w:line="130"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Payment of (a) Tenant’s Share of Tax Increases as set forth in </w:t>
      </w:r>
      <w:r>
        <w:rPr>
          <w:rFonts w:ascii="Arial" w:cs="Arial" w:eastAsia="Arial" w:hAnsi="Arial"/>
          <w:sz w:val="18"/>
          <w:szCs w:val="18"/>
          <w:u w:val="single" w:color="auto"/>
          <w:color w:val="auto"/>
        </w:rPr>
        <w:t>Sections 1 and 6</w:t>
      </w:r>
      <w:r>
        <w:rPr>
          <w:rFonts w:ascii="Arial" w:cs="Arial" w:eastAsia="Arial" w:hAnsi="Arial"/>
          <w:sz w:val="18"/>
          <w:szCs w:val="18"/>
          <w:color w:val="auto"/>
        </w:rPr>
        <w:t xml:space="preserve"> of the Lease shall commence in full force and effect as of July 15, 2015 and (b) Tenant’s Share of Operating Expense Increases as set forth in </w:t>
      </w:r>
      <w:r>
        <w:rPr>
          <w:rFonts w:ascii="Arial" w:cs="Arial" w:eastAsia="Arial" w:hAnsi="Arial"/>
          <w:sz w:val="18"/>
          <w:szCs w:val="18"/>
          <w:u w:val="single" w:color="auto"/>
          <w:color w:val="auto"/>
        </w:rPr>
        <w:t>Sections 1 and 6</w:t>
      </w:r>
      <w:r>
        <w:rPr>
          <w:rFonts w:ascii="Arial" w:cs="Arial" w:eastAsia="Arial" w:hAnsi="Arial"/>
          <w:sz w:val="18"/>
          <w:szCs w:val="18"/>
          <w:color w:val="auto"/>
        </w:rPr>
        <w:t xml:space="preserve"> of the Lease shall commence in full force and effect as of July 15, 2015.</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Tenant has not prepaid rent.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Tenant has deposited security in the amount of $56,098.26.</w:t>
      </w:r>
    </w:p>
    <w:p>
      <w:pPr>
        <w:spacing w:after="0" w:line="130" w:lineRule="exact"/>
        <w:rPr>
          <w:rFonts w:ascii="Arial" w:cs="Arial" w:eastAsia="Arial" w:hAnsi="Arial"/>
          <w:sz w:val="18"/>
          <w:szCs w:val="18"/>
          <w:color w:val="auto"/>
        </w:rPr>
      </w:pPr>
    </w:p>
    <w:p>
      <w:pPr>
        <w:ind w:left="424" w:right="140" w:hanging="424"/>
        <w:spacing w:after="0" w:line="263" w:lineRule="auto"/>
        <w:tabs>
          <w:tab w:leader="none" w:pos="42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Please sign this Commencement Date Certificate and return it to Landlord. Tenant’s failure to return this Commencement Date Certificate within the ten (10) days after receipt hereof shall be deemed to be Tenant’s acceptance of this Commencement Date Certificate, including without limitation the Commencement Date and the Expiration Date contained herein.</w:t>
      </w:r>
    </w:p>
    <w:p>
      <w:pPr>
        <w:sectPr>
          <w:pgSz w:w="11900" w:h="16838" w:orient="portrait"/>
          <w:cols w:equalWidth="0" w:num="1">
            <w:col w:w="11004"/>
          </w:cols>
          <w:pgMar w:left="436" w:top="269" w:right="459" w:bottom="1440" w:gutter="0" w:footer="0" w:header="0"/>
        </w:sectPr>
      </w:pPr>
    </w:p>
    <w:bookmarkStart w:id="572" w:name="page573"/>
    <w:bookmarkEnd w:id="57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LANDLORD</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NS 141 TREMONT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limited liability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Synergy Financial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Massachusetts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Manager and Authorized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David Greaney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David Greaney, Manager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Hereunto duly authorized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PEERTRANSFER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Butterfield</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Peter Butterfield</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General Counsel &amp; Chief Compliance Officer</w:t>
            </w:r>
          </w:p>
        </w:tc>
      </w:tr>
      <w:tr>
        <w:trPr>
          <w:trHeight w:val="230"/>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Hereunto duly authorized</w:t>
            </w:r>
          </w:p>
        </w:tc>
      </w:tr>
    </w:tbl>
    <w:p>
      <w:pPr>
        <w:spacing w:after="0" w:line="200" w:lineRule="exact"/>
        <w:rPr>
          <w:sz w:val="20"/>
          <w:szCs w:val="20"/>
          <w:color w:val="auto"/>
        </w:rPr>
      </w:pPr>
    </w:p>
    <w:p>
      <w:pPr>
        <w:spacing w:after="0" w:line="214" w:lineRule="exact"/>
        <w:rPr>
          <w:sz w:val="20"/>
          <w:szCs w:val="20"/>
          <w:color w:val="auto"/>
        </w:rPr>
      </w:pPr>
    </w:p>
    <w:p>
      <w:pPr>
        <w:jc w:val="right"/>
        <w:ind w:right="2959"/>
        <w:spacing w:after="0"/>
        <w:rPr>
          <w:sz w:val="20"/>
          <w:szCs w:val="20"/>
          <w:color w:val="auto"/>
        </w:rPr>
      </w:pPr>
      <w:r>
        <w:rPr>
          <w:rFonts w:ascii="Arial" w:cs="Arial" w:eastAsia="Arial" w:hAnsi="Arial"/>
          <w:sz w:val="18"/>
          <w:szCs w:val="18"/>
          <w:b w:val="1"/>
          <w:bCs w:val="1"/>
          <w:color w:val="auto"/>
        </w:rPr>
        <w:t>[COUNTERPART SIGNATURE PAGE]</w:t>
      </w:r>
    </w:p>
    <w:p>
      <w:pPr>
        <w:sectPr>
          <w:pgSz w:w="11900" w:h="16838" w:orient="portrait"/>
          <w:cols w:equalWidth="0" w:num="1">
            <w:col w:w="10019"/>
          </w:cols>
          <w:pgMar w:left="440" w:top="269" w:right="1440" w:bottom="1440" w:gutter="0" w:footer="0" w:header="0"/>
        </w:sectPr>
      </w:pPr>
    </w:p>
    <w:bookmarkStart w:id="573" w:name="page574"/>
    <w:bookmarkEnd w:id="573"/>
    <w:tbl>
      <w:tblPr>
        <w:tblLayout w:type="fixed"/>
        <w:tblInd w:w="214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314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OFFICE</w:t>
            </w:r>
          </w:p>
        </w:tc>
      </w:tr>
      <w:tr>
        <w:trPr>
          <w:trHeight w:val="230"/>
        </w:trPr>
        <w:tc>
          <w:tcPr>
            <w:tcW w:w="1980" w:type="dxa"/>
            <w:vAlign w:val="bottom"/>
          </w:tcPr>
          <w:p>
            <w:pPr>
              <w:spacing w:after="0"/>
              <w:rPr>
                <w:sz w:val="20"/>
                <w:szCs w:val="20"/>
                <w:color w:val="auto"/>
              </w:rPr>
            </w:pPr>
          </w:p>
        </w:tc>
        <w:tc>
          <w:tcPr>
            <w:tcW w:w="314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LEASE AGREEMENT</w:t>
            </w:r>
          </w:p>
        </w:tc>
      </w:tr>
      <w:tr>
        <w:trPr>
          <w:trHeight w:val="567"/>
        </w:trPr>
        <w:tc>
          <w:tcPr>
            <w:tcW w:w="1980" w:type="dxa"/>
            <w:vAlign w:val="bottom"/>
          </w:tcPr>
          <w:p>
            <w:pPr>
              <w:spacing w:after="0"/>
              <w:rPr>
                <w:sz w:val="20"/>
                <w:szCs w:val="20"/>
                <w:color w:val="auto"/>
              </w:rPr>
            </w:pPr>
            <w:r>
              <w:rPr>
                <w:rFonts w:ascii="Arial" w:cs="Arial" w:eastAsia="Arial" w:hAnsi="Arial"/>
                <w:sz w:val="18"/>
                <w:szCs w:val="18"/>
                <w:color w:val="auto"/>
              </w:rPr>
              <w:t>LANDLORD:</w:t>
            </w:r>
          </w:p>
        </w:tc>
        <w:tc>
          <w:tcPr>
            <w:tcW w:w="3140" w:type="dxa"/>
            <w:vAlign w:val="bottom"/>
            <w:gridSpan w:val="2"/>
          </w:tcPr>
          <w:p>
            <w:pPr>
              <w:ind w:left="80"/>
              <w:spacing w:after="0"/>
              <w:rPr>
                <w:sz w:val="20"/>
                <w:szCs w:val="20"/>
                <w:color w:val="auto"/>
              </w:rPr>
            </w:pPr>
            <w:r>
              <w:rPr>
                <w:rFonts w:ascii="Arial" w:cs="Arial" w:eastAsia="Arial" w:hAnsi="Arial"/>
                <w:sz w:val="18"/>
                <w:szCs w:val="18"/>
                <w:color w:val="auto"/>
              </w:rPr>
              <w:t>NS 141 TREMONT LLC</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TENANT:</w:t>
            </w:r>
          </w:p>
        </w:tc>
        <w:tc>
          <w:tcPr>
            <w:tcW w:w="3140" w:type="dxa"/>
            <w:vAlign w:val="bottom"/>
            <w:gridSpan w:val="2"/>
          </w:tcPr>
          <w:p>
            <w:pPr>
              <w:ind w:left="80"/>
              <w:spacing w:after="0"/>
              <w:rPr>
                <w:sz w:val="20"/>
                <w:szCs w:val="20"/>
                <w:color w:val="auto"/>
              </w:rPr>
            </w:pPr>
            <w:r>
              <w:rPr>
                <w:rFonts w:ascii="Arial" w:cs="Arial" w:eastAsia="Arial" w:hAnsi="Arial"/>
                <w:sz w:val="18"/>
                <w:szCs w:val="18"/>
                <w:color w:val="auto"/>
              </w:rPr>
              <w:t>PEERTRANSFER CORPORATION</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BUILDING ADDRESS:</w:t>
            </w:r>
          </w:p>
        </w:tc>
        <w:tc>
          <w:tcPr>
            <w:tcW w:w="3140" w:type="dxa"/>
            <w:vAlign w:val="bottom"/>
            <w:gridSpan w:val="2"/>
          </w:tcPr>
          <w:p>
            <w:pPr>
              <w:ind w:left="80"/>
              <w:spacing w:after="0"/>
              <w:rPr>
                <w:sz w:val="20"/>
                <w:szCs w:val="20"/>
                <w:color w:val="auto"/>
              </w:rPr>
            </w:pPr>
            <w:r>
              <w:rPr>
                <w:rFonts w:ascii="Arial" w:cs="Arial" w:eastAsia="Arial" w:hAnsi="Arial"/>
                <w:sz w:val="18"/>
                <w:szCs w:val="18"/>
                <w:color w:val="auto"/>
                <w:w w:val="94"/>
              </w:rPr>
              <w:t>141 TREMONT STREET, BOSTON, MA</w:t>
            </w:r>
          </w:p>
        </w:tc>
      </w:tr>
      <w:tr>
        <w:trPr>
          <w:trHeight w:val="392"/>
        </w:trPr>
        <w:tc>
          <w:tcPr>
            <w:tcW w:w="1980" w:type="dxa"/>
            <w:vAlign w:val="bottom"/>
          </w:tcPr>
          <w:p>
            <w:pPr>
              <w:spacing w:after="0"/>
              <w:rPr>
                <w:sz w:val="24"/>
                <w:szCs w:val="24"/>
                <w:color w:val="auto"/>
              </w:rPr>
            </w:pPr>
          </w:p>
        </w:tc>
        <w:tc>
          <w:tcPr>
            <w:tcW w:w="314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SUBMISSION – NOT AN OPTION</w:t>
            </w:r>
          </w:p>
        </w:tc>
      </w:tr>
      <w:tr>
        <w:trPr>
          <w:trHeight w:val="20"/>
        </w:trPr>
        <w:tc>
          <w:tcPr>
            <w:tcW w:w="198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spacing w:after="0" w:line="257" w:lineRule="auto"/>
        <w:rPr>
          <w:sz w:val="20"/>
          <w:szCs w:val="20"/>
          <w:color w:val="auto"/>
        </w:rPr>
      </w:pPr>
      <w:r>
        <w:rPr>
          <w:rFonts w:ascii="Arial" w:cs="Arial" w:eastAsia="Arial" w:hAnsi="Arial"/>
          <w:sz w:val="18"/>
          <w:szCs w:val="18"/>
          <w:color w:val="auto"/>
        </w:rPr>
        <w:t>THE SUBMISSION OF THIS LEASE FOR EXAMINATION AND NEGOTIATION DOES NOT CONSTITUTE AN OFFER TO LEASE, A RESERVATION OF THE PREMISES, OR AN OPTION FOR LEASE OF THE PREMISES. THE SUBMISSION OF THIS LEASE FOR EXAMINATION AND NEGOTIATION SHALL VEST NO RIGHTS IN ANY PARTY. THIS LEASE SHALL BECOME EFFECTIVE ONLY UPON EXECUTION AND DELIVERY THEREOF BY LANDLORD AND TENANT, REGARDLESS OF ANY WRITTEN OR VERBAL REPRESENTATION OF ANY AGENT, MANAGER, OR EMPLOYEE OF LANDLORD TO THE CONTRARY.</w:t>
      </w:r>
    </w:p>
    <w:p>
      <w:pPr>
        <w:sectPr>
          <w:pgSz w:w="11900" w:h="16838" w:orient="portrait"/>
          <w:cols w:equalWidth="0" w:num="1">
            <w:col w:w="10900"/>
          </w:cols>
          <w:pgMar w:left="500" w:top="273" w:right="499" w:bottom="1440" w:gutter="0" w:footer="0" w:header="0"/>
        </w:sectPr>
      </w:pPr>
    </w:p>
    <w:bookmarkStart w:id="574" w:name="page575"/>
    <w:bookmarkEnd w:id="574"/>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OFFICE LEASE AGREEMENT (this “</w:t>
      </w:r>
      <w:r>
        <w:rPr>
          <w:rFonts w:ascii="Arial" w:cs="Arial" w:eastAsia="Arial" w:hAnsi="Arial"/>
          <w:sz w:val="18"/>
          <w:szCs w:val="18"/>
          <w:u w:val="single" w:color="auto"/>
          <w:color w:val="auto"/>
        </w:rPr>
        <w:t>Lease</w:t>
      </w:r>
      <w:r>
        <w:rPr>
          <w:rFonts w:ascii="Arial" w:cs="Arial" w:eastAsia="Arial" w:hAnsi="Arial"/>
          <w:sz w:val="18"/>
          <w:szCs w:val="18"/>
          <w:color w:val="auto"/>
        </w:rPr>
        <w:t>”) is entered into by and between Landlord and Tenant as of the Effective Date. The parties to this instrument hereby agree as follows: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 BASIC DATA</w:t>
      </w:r>
      <w:r>
        <w:rPr>
          <w:rFonts w:ascii="Arial" w:cs="Arial" w:eastAsia="Arial" w:hAnsi="Arial"/>
          <w:sz w:val="18"/>
          <w:szCs w:val="18"/>
          <w:color w:val="auto"/>
        </w:rPr>
        <w:t>.</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further supplemented in the balance of this Lease and its Exhibits, this Basic Data sets forth the basic terms of this Lease and, where appropriate, constitutes definitions of certain terms used in this Lease.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Effective Date:</w:t>
            </w: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rPr>
              <w:t>April 8</w:t>
            </w:r>
            <w:r>
              <w:rPr>
                <w:rFonts w:ascii="Arial" w:cs="Arial" w:eastAsia="Arial" w:hAnsi="Arial"/>
                <w:sz w:val="15"/>
                <w:szCs w:val="15"/>
                <w:color w:val="auto"/>
              </w:rPr>
              <w:t>th</w:t>
            </w:r>
            <w:r>
              <w:rPr>
                <w:rFonts w:ascii="Arial" w:cs="Arial" w:eastAsia="Arial" w:hAnsi="Arial"/>
                <w:sz w:val="18"/>
                <w:szCs w:val="18"/>
                <w:color w:val="auto"/>
              </w:rPr>
              <w:t>, 2015</w:t>
            </w:r>
          </w:p>
        </w:tc>
      </w:tr>
      <w:tr>
        <w:trPr>
          <w:trHeight w:val="310"/>
        </w:trPr>
        <w:tc>
          <w:tcPr>
            <w:tcW w:w="3300" w:type="dxa"/>
            <w:vAlign w:val="bottom"/>
          </w:tcPr>
          <w:p>
            <w:pPr>
              <w:spacing w:after="0"/>
              <w:rPr>
                <w:sz w:val="20"/>
                <w:szCs w:val="20"/>
                <w:color w:val="auto"/>
              </w:rPr>
            </w:pPr>
            <w:r>
              <w:rPr>
                <w:rFonts w:ascii="Arial" w:cs="Arial" w:eastAsia="Arial" w:hAnsi="Arial"/>
                <w:sz w:val="18"/>
                <w:szCs w:val="18"/>
                <w:color w:val="auto"/>
              </w:rPr>
              <w:t>Landlord:</w:t>
            </w: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rPr>
              <w:t>NS 141 Tremont LLC,</w:t>
            </w:r>
          </w:p>
        </w:tc>
      </w:tr>
      <w:tr>
        <w:trPr>
          <w:trHeight w:val="230"/>
        </w:trPr>
        <w:tc>
          <w:tcPr>
            <w:tcW w:w="3300" w:type="dxa"/>
            <w:vAlign w:val="bottom"/>
          </w:tcPr>
          <w:p>
            <w:pPr>
              <w:spacing w:after="0"/>
              <w:rPr>
                <w:sz w:val="20"/>
                <w:szCs w:val="20"/>
                <w:color w:val="auto"/>
              </w:rPr>
            </w:pP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rPr>
              <w:t>a Massachusetts limited liability company</w:t>
            </w:r>
          </w:p>
        </w:tc>
      </w:tr>
      <w:tr>
        <w:trPr>
          <w:trHeight w:val="310"/>
        </w:trPr>
        <w:tc>
          <w:tcPr>
            <w:tcW w:w="3300" w:type="dxa"/>
            <w:vAlign w:val="bottom"/>
          </w:tcPr>
          <w:p>
            <w:pPr>
              <w:spacing w:after="0"/>
              <w:rPr>
                <w:sz w:val="20"/>
                <w:szCs w:val="20"/>
                <w:color w:val="auto"/>
              </w:rPr>
            </w:pPr>
            <w:r>
              <w:rPr>
                <w:rFonts w:ascii="Arial" w:cs="Arial" w:eastAsia="Arial" w:hAnsi="Arial"/>
                <w:sz w:val="18"/>
                <w:szCs w:val="18"/>
                <w:color w:val="auto"/>
              </w:rPr>
              <w:t>Present Mailing Address of Landlord:</w:t>
            </w: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rPr>
              <w:t>c/o Synergy Investments</w:t>
            </w:r>
          </w:p>
        </w:tc>
      </w:tr>
      <w:tr>
        <w:trPr>
          <w:trHeight w:val="216"/>
        </w:trPr>
        <w:tc>
          <w:tcPr>
            <w:tcW w:w="3300" w:type="dxa"/>
            <w:vAlign w:val="bottom"/>
          </w:tcPr>
          <w:p>
            <w:pPr>
              <w:spacing w:after="0"/>
              <w:rPr>
                <w:sz w:val="18"/>
                <w:szCs w:val="18"/>
                <w:color w:val="auto"/>
              </w:rPr>
            </w:pP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rPr>
              <w:t>100 Franklin Street, Suite 200</w:t>
            </w:r>
          </w:p>
        </w:tc>
      </w:tr>
      <w:tr>
        <w:trPr>
          <w:trHeight w:val="230"/>
        </w:trPr>
        <w:tc>
          <w:tcPr>
            <w:tcW w:w="3300" w:type="dxa"/>
            <w:vAlign w:val="bottom"/>
          </w:tcPr>
          <w:p>
            <w:pPr>
              <w:spacing w:after="0"/>
              <w:rPr>
                <w:sz w:val="20"/>
                <w:szCs w:val="20"/>
                <w:color w:val="auto"/>
              </w:rPr>
            </w:pP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rPr>
              <w:t>Boston, MA 02110</w:t>
            </w: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Tenant:</w:t>
            </w: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rPr>
              <w:t>peerTransfer Corporation</w:t>
            </w:r>
          </w:p>
        </w:tc>
      </w:tr>
      <w:tr>
        <w:trPr>
          <w:trHeight w:val="230"/>
        </w:trPr>
        <w:tc>
          <w:tcPr>
            <w:tcW w:w="3300" w:type="dxa"/>
            <w:vAlign w:val="bottom"/>
          </w:tcPr>
          <w:p>
            <w:pPr>
              <w:spacing w:after="0"/>
              <w:rPr>
                <w:sz w:val="20"/>
                <w:szCs w:val="20"/>
                <w:color w:val="auto"/>
              </w:rPr>
            </w:pP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rPr>
              <w:t>a Delaware corporation</w:t>
            </w:r>
          </w:p>
        </w:tc>
      </w:tr>
      <w:tr>
        <w:trPr>
          <w:trHeight w:val="310"/>
        </w:trPr>
        <w:tc>
          <w:tcPr>
            <w:tcW w:w="3300" w:type="dxa"/>
            <w:vAlign w:val="bottom"/>
          </w:tcPr>
          <w:p>
            <w:pPr>
              <w:spacing w:after="0"/>
              <w:rPr>
                <w:sz w:val="20"/>
                <w:szCs w:val="20"/>
                <w:color w:val="auto"/>
              </w:rPr>
            </w:pPr>
            <w:r>
              <w:rPr>
                <w:rFonts w:ascii="Arial" w:cs="Arial" w:eastAsia="Arial" w:hAnsi="Arial"/>
                <w:sz w:val="18"/>
                <w:szCs w:val="18"/>
                <w:color w:val="auto"/>
              </w:rPr>
              <w:t>Present Mailing Address of Tenant:</w:t>
            </w: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rPr>
              <w:t>295 Devonshire Street</w:t>
            </w:r>
          </w:p>
        </w:tc>
      </w:tr>
      <w:tr>
        <w:trPr>
          <w:trHeight w:val="216"/>
        </w:trPr>
        <w:tc>
          <w:tcPr>
            <w:tcW w:w="3300" w:type="dxa"/>
            <w:vAlign w:val="bottom"/>
          </w:tcPr>
          <w:p>
            <w:pPr>
              <w:spacing w:after="0"/>
              <w:rPr>
                <w:sz w:val="18"/>
                <w:szCs w:val="18"/>
                <w:color w:val="auto"/>
              </w:rPr>
            </w:pP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30"/>
        </w:trPr>
        <w:tc>
          <w:tcPr>
            <w:tcW w:w="3300" w:type="dxa"/>
            <w:vAlign w:val="bottom"/>
          </w:tcPr>
          <w:p>
            <w:pPr>
              <w:spacing w:after="0"/>
              <w:rPr>
                <w:sz w:val="20"/>
                <w:szCs w:val="20"/>
                <w:color w:val="auto"/>
              </w:rPr>
            </w:pP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rPr>
              <w:t>Boston, MA 02110</w:t>
            </w:r>
          </w:p>
        </w:tc>
      </w:tr>
      <w:tr>
        <w:trPr>
          <w:trHeight w:val="338"/>
        </w:trPr>
        <w:tc>
          <w:tcPr>
            <w:tcW w:w="3300" w:type="dxa"/>
            <w:vAlign w:val="bottom"/>
          </w:tcPr>
          <w:p>
            <w:pPr>
              <w:spacing w:after="0"/>
              <w:rPr>
                <w:sz w:val="20"/>
                <w:szCs w:val="20"/>
                <w:color w:val="auto"/>
              </w:rPr>
            </w:pPr>
            <w:r>
              <w:rPr>
                <w:rFonts w:ascii="Arial" w:cs="Arial" w:eastAsia="Arial" w:hAnsi="Arial"/>
                <w:sz w:val="18"/>
                <w:szCs w:val="18"/>
                <w:color w:val="auto"/>
              </w:rPr>
              <w:t>Building:</w:t>
            </w: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rPr>
              <w:t>The building located at 141 Tremont Street, Boston, MA.</w:t>
            </w:r>
          </w:p>
        </w:tc>
      </w:tr>
      <w:tr>
        <w:trPr>
          <w:trHeight w:val="283"/>
        </w:trPr>
        <w:tc>
          <w:tcPr>
            <w:tcW w:w="3300" w:type="dxa"/>
            <w:vAlign w:val="bottom"/>
          </w:tcPr>
          <w:p>
            <w:pPr>
              <w:spacing w:after="0"/>
              <w:rPr>
                <w:sz w:val="20"/>
                <w:szCs w:val="20"/>
                <w:color w:val="auto"/>
              </w:rPr>
            </w:pPr>
            <w:r>
              <w:rPr>
                <w:rFonts w:ascii="Arial" w:cs="Arial" w:eastAsia="Arial" w:hAnsi="Arial"/>
                <w:sz w:val="18"/>
                <w:szCs w:val="18"/>
                <w:color w:val="auto"/>
              </w:rPr>
              <w:t>Land:</w:t>
            </w: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w w:val="93"/>
              </w:rPr>
              <w:t>The parcel of land on which the Building is located is described on Exhibit A (Legal Description)</w:t>
            </w:r>
          </w:p>
        </w:tc>
      </w:tr>
      <w:tr>
        <w:trPr>
          <w:trHeight w:val="237"/>
        </w:trPr>
        <w:tc>
          <w:tcPr>
            <w:tcW w:w="3300" w:type="dxa"/>
            <w:vAlign w:val="bottom"/>
          </w:tcPr>
          <w:p>
            <w:pPr>
              <w:spacing w:after="0"/>
              <w:rPr>
                <w:sz w:val="20"/>
                <w:szCs w:val="20"/>
                <w:color w:val="auto"/>
              </w:rPr>
            </w:pPr>
          </w:p>
        </w:tc>
        <w:tc>
          <w:tcPr>
            <w:tcW w:w="5420" w:type="dxa"/>
            <w:vAlign w:val="bottom"/>
            <w:gridSpan w:val="6"/>
          </w:tcPr>
          <w:p>
            <w:pPr>
              <w:ind w:left="560"/>
              <w:spacing w:after="0"/>
              <w:rPr>
                <w:sz w:val="20"/>
                <w:szCs w:val="20"/>
                <w:color w:val="auto"/>
              </w:rPr>
            </w:pPr>
            <w:r>
              <w:rPr>
                <w:rFonts w:ascii="Arial" w:cs="Arial" w:eastAsia="Arial" w:hAnsi="Arial"/>
                <w:sz w:val="18"/>
                <w:szCs w:val="18"/>
                <w:color w:val="auto"/>
              </w:rPr>
              <w:t>attached hereto and incorporated herein by reference.</w:t>
            </w:r>
          </w:p>
        </w:tc>
        <w:tc>
          <w:tcPr>
            <w:tcW w:w="700" w:type="dxa"/>
            <w:vAlign w:val="bottom"/>
            <w:tcBorders>
              <w:top w:val="single" w:sz="8" w:color="auto"/>
            </w:tcBorders>
            <w:gridSpan w:val="3"/>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top w:val="single" w:sz="8" w:color="auto"/>
            </w:tcBorders>
            <w:gridSpan w:val="3"/>
          </w:tcPr>
          <w:p>
            <w:pPr>
              <w:spacing w:after="0"/>
              <w:rPr>
                <w:sz w:val="20"/>
                <w:szCs w:val="20"/>
                <w:color w:val="auto"/>
              </w:rPr>
            </w:pPr>
          </w:p>
        </w:tc>
        <w:tc>
          <w:tcPr>
            <w:tcW w:w="180" w:type="dxa"/>
            <w:vAlign w:val="bottom"/>
          </w:tcPr>
          <w:p>
            <w:pPr>
              <w:spacing w:after="0"/>
              <w:rPr>
                <w:sz w:val="20"/>
                <w:szCs w:val="20"/>
                <w:color w:val="auto"/>
              </w:rPr>
            </w:pPr>
          </w:p>
        </w:tc>
      </w:tr>
      <w:tr>
        <w:trPr>
          <w:trHeight w:val="324"/>
        </w:trPr>
        <w:tc>
          <w:tcPr>
            <w:tcW w:w="3300" w:type="dxa"/>
            <w:vAlign w:val="bottom"/>
          </w:tcPr>
          <w:p>
            <w:pPr>
              <w:spacing w:after="0"/>
              <w:rPr>
                <w:sz w:val="20"/>
                <w:szCs w:val="20"/>
                <w:color w:val="auto"/>
              </w:rPr>
            </w:pPr>
            <w:r>
              <w:rPr>
                <w:rFonts w:ascii="Arial" w:cs="Arial" w:eastAsia="Arial" w:hAnsi="Arial"/>
                <w:sz w:val="18"/>
                <w:szCs w:val="18"/>
                <w:color w:val="auto"/>
              </w:rPr>
              <w:t>Property:</w:t>
            </w: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rPr>
              <w:t>The Building and the Land.</w:t>
            </w:r>
          </w:p>
        </w:tc>
      </w:tr>
      <w:tr>
        <w:trPr>
          <w:trHeight w:val="310"/>
        </w:trPr>
        <w:tc>
          <w:tcPr>
            <w:tcW w:w="3300" w:type="dxa"/>
            <w:vAlign w:val="bottom"/>
          </w:tcPr>
          <w:p>
            <w:pPr>
              <w:spacing w:after="0"/>
              <w:rPr>
                <w:sz w:val="20"/>
                <w:szCs w:val="20"/>
                <w:color w:val="auto"/>
              </w:rPr>
            </w:pPr>
            <w:r>
              <w:rPr>
                <w:rFonts w:ascii="Arial" w:cs="Arial" w:eastAsia="Arial" w:hAnsi="Arial"/>
                <w:sz w:val="18"/>
                <w:szCs w:val="18"/>
                <w:color w:val="auto"/>
              </w:rPr>
              <w:t>Premises:</w:t>
            </w: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w w:val="92"/>
              </w:rPr>
              <w:t>Approximately 5,473 rentable square feet on the tenth (10</w:t>
            </w:r>
            <w:r>
              <w:rPr>
                <w:rFonts w:ascii="Arial" w:cs="Arial" w:eastAsia="Arial" w:hAnsi="Arial"/>
                <w:sz w:val="15"/>
                <w:szCs w:val="15"/>
                <w:color w:val="auto"/>
                <w:w w:val="92"/>
              </w:rPr>
              <w:t>th</w:t>
            </w:r>
            <w:r>
              <w:rPr>
                <w:rFonts w:ascii="Arial" w:cs="Arial" w:eastAsia="Arial" w:hAnsi="Arial"/>
                <w:sz w:val="18"/>
                <w:szCs w:val="18"/>
                <w:color w:val="auto"/>
                <w:w w:val="92"/>
              </w:rPr>
              <w:t>) floor of the Building substantially as</w:t>
            </w:r>
          </w:p>
        </w:tc>
      </w:tr>
      <w:tr>
        <w:trPr>
          <w:trHeight w:val="190"/>
        </w:trPr>
        <w:tc>
          <w:tcPr>
            <w:tcW w:w="3300" w:type="dxa"/>
            <w:vAlign w:val="bottom"/>
          </w:tcPr>
          <w:p>
            <w:pPr>
              <w:spacing w:after="0"/>
              <w:rPr>
                <w:sz w:val="16"/>
                <w:szCs w:val="16"/>
                <w:color w:val="auto"/>
              </w:rPr>
            </w:pPr>
          </w:p>
        </w:tc>
        <w:tc>
          <w:tcPr>
            <w:tcW w:w="7700" w:type="dxa"/>
            <w:vAlign w:val="bottom"/>
            <w:gridSpan w:val="14"/>
          </w:tcPr>
          <w:p>
            <w:pPr>
              <w:ind w:left="560"/>
              <w:spacing w:after="0" w:line="190" w:lineRule="exact"/>
              <w:rPr>
                <w:sz w:val="20"/>
                <w:szCs w:val="20"/>
                <w:color w:val="auto"/>
              </w:rPr>
            </w:pPr>
            <w:r>
              <w:rPr>
                <w:rFonts w:ascii="Arial" w:cs="Arial" w:eastAsia="Arial" w:hAnsi="Arial"/>
                <w:sz w:val="18"/>
                <w:szCs w:val="18"/>
                <w:color w:val="auto"/>
                <w:w w:val="92"/>
              </w:rPr>
              <w:t>shown on Exhibit B (Plan of Premises) attached hereto and incorporated herein (the “Premises”).</w:t>
            </w:r>
          </w:p>
        </w:tc>
      </w:tr>
      <w:tr>
        <w:trPr>
          <w:trHeight w:val="20"/>
        </w:trPr>
        <w:tc>
          <w:tcPr>
            <w:tcW w:w="3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45"/>
        </w:trPr>
        <w:tc>
          <w:tcPr>
            <w:tcW w:w="3300" w:type="dxa"/>
            <w:vAlign w:val="bottom"/>
          </w:tcPr>
          <w:p>
            <w:pPr>
              <w:spacing w:after="0"/>
              <w:rPr>
                <w:sz w:val="20"/>
                <w:szCs w:val="20"/>
                <w:color w:val="auto"/>
              </w:rPr>
            </w:pPr>
            <w:r>
              <w:rPr>
                <w:rFonts w:ascii="Arial" w:cs="Arial" w:eastAsia="Arial" w:hAnsi="Arial"/>
                <w:sz w:val="18"/>
                <w:szCs w:val="18"/>
                <w:color w:val="auto"/>
              </w:rPr>
              <w:t>Permitted Use:</w:t>
            </w: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rPr>
              <w:t>General office use and for no other use or purpose.</w:t>
            </w:r>
          </w:p>
        </w:tc>
      </w:tr>
      <w:tr>
        <w:trPr>
          <w:trHeight w:val="310"/>
        </w:trPr>
        <w:tc>
          <w:tcPr>
            <w:tcW w:w="3300" w:type="dxa"/>
            <w:vAlign w:val="bottom"/>
          </w:tcPr>
          <w:p>
            <w:pPr>
              <w:spacing w:after="0"/>
              <w:rPr>
                <w:sz w:val="20"/>
                <w:szCs w:val="20"/>
                <w:color w:val="auto"/>
              </w:rPr>
            </w:pPr>
            <w:r>
              <w:rPr>
                <w:rFonts w:ascii="Arial" w:cs="Arial" w:eastAsia="Arial" w:hAnsi="Arial"/>
                <w:sz w:val="18"/>
                <w:szCs w:val="18"/>
                <w:color w:val="auto"/>
              </w:rPr>
              <w:t>Term:</w:t>
            </w: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w w:val="96"/>
              </w:rPr>
              <w:t>A period commencing on the later of (a) July 1, 2015 and (b) the date upon which Landlord’s</w:t>
            </w:r>
          </w:p>
        </w:tc>
      </w:tr>
      <w:tr>
        <w:trPr>
          <w:trHeight w:val="216"/>
        </w:trPr>
        <w:tc>
          <w:tcPr>
            <w:tcW w:w="3300" w:type="dxa"/>
            <w:vAlign w:val="bottom"/>
          </w:tcPr>
          <w:p>
            <w:pPr>
              <w:spacing w:after="0"/>
              <w:rPr>
                <w:sz w:val="18"/>
                <w:szCs w:val="18"/>
                <w:color w:val="auto"/>
              </w:rPr>
            </w:pP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rPr>
              <w:t>Work (as hereinafter defined) and the Additional Work Items (as hereinafter defined) are</w:t>
            </w:r>
          </w:p>
        </w:tc>
      </w:tr>
      <w:tr>
        <w:trPr>
          <w:trHeight w:val="190"/>
        </w:trPr>
        <w:tc>
          <w:tcPr>
            <w:tcW w:w="3300" w:type="dxa"/>
            <w:vAlign w:val="bottom"/>
          </w:tcPr>
          <w:p>
            <w:pPr>
              <w:spacing w:after="0"/>
              <w:rPr>
                <w:sz w:val="16"/>
                <w:szCs w:val="16"/>
                <w:color w:val="auto"/>
              </w:rPr>
            </w:pPr>
          </w:p>
        </w:tc>
        <w:tc>
          <w:tcPr>
            <w:tcW w:w="7700" w:type="dxa"/>
            <w:vAlign w:val="bottom"/>
            <w:gridSpan w:val="14"/>
          </w:tcPr>
          <w:p>
            <w:pPr>
              <w:ind w:left="560"/>
              <w:spacing w:after="0" w:line="190" w:lineRule="exact"/>
              <w:rPr>
                <w:sz w:val="20"/>
                <w:szCs w:val="20"/>
                <w:color w:val="auto"/>
              </w:rPr>
            </w:pPr>
            <w:r>
              <w:rPr>
                <w:rFonts w:ascii="Arial" w:cs="Arial" w:eastAsia="Arial" w:hAnsi="Arial"/>
                <w:sz w:val="18"/>
                <w:szCs w:val="18"/>
                <w:color w:val="auto"/>
              </w:rPr>
              <w:t>Substantially Complete (as hereinafter defined) (the “Commencement Date”) and ending</w:t>
            </w:r>
          </w:p>
        </w:tc>
      </w:tr>
      <w:tr>
        <w:trPr>
          <w:trHeight w:val="20"/>
        </w:trPr>
        <w:tc>
          <w:tcPr>
            <w:tcW w:w="3300" w:type="dxa"/>
            <w:vAlign w:val="bottom"/>
          </w:tcPr>
          <w:p>
            <w:pPr>
              <w:spacing w:after="0" w:line="20" w:lineRule="exact"/>
              <w:rPr>
                <w:sz w:val="1"/>
                <w:szCs w:val="1"/>
                <w:color w:val="auto"/>
              </w:rPr>
            </w:pPr>
          </w:p>
        </w:tc>
        <w:tc>
          <w:tcPr>
            <w:tcW w:w="4440" w:type="dxa"/>
            <w:vAlign w:val="bottom"/>
            <w:tcBorders>
              <w:right w:val="single" w:sz="8" w:color="auto"/>
            </w:tcBorders>
            <w:gridSpan w:val="5"/>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r>
      <w:tr>
        <w:trPr>
          <w:trHeight w:val="196"/>
        </w:trPr>
        <w:tc>
          <w:tcPr>
            <w:tcW w:w="3300" w:type="dxa"/>
            <w:vAlign w:val="bottom"/>
          </w:tcPr>
          <w:p>
            <w:pPr>
              <w:spacing w:after="0"/>
              <w:rPr>
                <w:sz w:val="17"/>
                <w:szCs w:val="17"/>
                <w:color w:val="auto"/>
              </w:rPr>
            </w:pPr>
          </w:p>
        </w:tc>
        <w:tc>
          <w:tcPr>
            <w:tcW w:w="7700" w:type="dxa"/>
            <w:vAlign w:val="bottom"/>
            <w:gridSpan w:val="14"/>
          </w:tcPr>
          <w:p>
            <w:pPr>
              <w:ind w:left="560"/>
              <w:spacing w:after="0" w:line="196" w:lineRule="exact"/>
              <w:rPr>
                <w:sz w:val="20"/>
                <w:szCs w:val="20"/>
                <w:color w:val="auto"/>
              </w:rPr>
            </w:pPr>
            <w:r>
              <w:rPr>
                <w:rFonts w:ascii="Arial" w:cs="Arial" w:eastAsia="Arial" w:hAnsi="Arial"/>
                <w:sz w:val="18"/>
                <w:szCs w:val="18"/>
                <w:color w:val="auto"/>
                <w:w w:val="98"/>
              </w:rPr>
              <w:t>approximately sixty-two (62) months thereafter (the “Expiration Date”), unless terminated or</w:t>
            </w:r>
          </w:p>
        </w:tc>
      </w:tr>
      <w:tr>
        <w:trPr>
          <w:trHeight w:val="237"/>
        </w:trPr>
        <w:tc>
          <w:tcPr>
            <w:tcW w:w="3300" w:type="dxa"/>
            <w:vAlign w:val="bottom"/>
          </w:tcPr>
          <w:p>
            <w:pPr>
              <w:spacing w:after="0"/>
              <w:rPr>
                <w:sz w:val="20"/>
                <w:szCs w:val="20"/>
                <w:color w:val="auto"/>
              </w:rPr>
            </w:pPr>
          </w:p>
        </w:tc>
        <w:tc>
          <w:tcPr>
            <w:tcW w:w="4440" w:type="dxa"/>
            <w:vAlign w:val="bottom"/>
            <w:gridSpan w:val="5"/>
          </w:tcPr>
          <w:p>
            <w:pPr>
              <w:ind w:left="560"/>
              <w:spacing w:after="0"/>
              <w:rPr>
                <w:sz w:val="20"/>
                <w:szCs w:val="20"/>
                <w:color w:val="auto"/>
              </w:rPr>
            </w:pPr>
            <w:r>
              <w:rPr>
                <w:rFonts w:ascii="Arial" w:cs="Arial" w:eastAsia="Arial" w:hAnsi="Arial"/>
                <w:sz w:val="18"/>
                <w:szCs w:val="18"/>
                <w:color w:val="auto"/>
              </w:rPr>
              <w:t>extended as provided herein.</w:t>
            </w:r>
          </w:p>
        </w:tc>
        <w:tc>
          <w:tcPr>
            <w:tcW w:w="1120" w:type="dxa"/>
            <w:vAlign w:val="bottom"/>
            <w:tcBorders>
              <w:top w:val="single" w:sz="8" w:color="auto"/>
            </w:tcBorders>
            <w:gridSpan w:val="2"/>
          </w:tcPr>
          <w:p>
            <w:pPr>
              <w:spacing w:after="0"/>
              <w:rPr>
                <w:sz w:val="20"/>
                <w:szCs w:val="20"/>
                <w:color w:val="auto"/>
              </w:rPr>
            </w:pPr>
          </w:p>
        </w:tc>
        <w:tc>
          <w:tcPr>
            <w:tcW w:w="2140" w:type="dxa"/>
            <w:vAlign w:val="bottom"/>
            <w:gridSpan w:val="7"/>
          </w:tcPr>
          <w:p>
            <w:pPr>
              <w:spacing w:after="0"/>
              <w:rPr>
                <w:sz w:val="20"/>
                <w:szCs w:val="20"/>
                <w:color w:val="auto"/>
              </w:rPr>
            </w:pPr>
          </w:p>
        </w:tc>
      </w:tr>
      <w:tr>
        <w:trPr>
          <w:trHeight w:val="310"/>
        </w:trPr>
        <w:tc>
          <w:tcPr>
            <w:tcW w:w="3300" w:type="dxa"/>
            <w:vAlign w:val="bottom"/>
          </w:tcPr>
          <w:p>
            <w:pPr>
              <w:spacing w:after="0"/>
              <w:rPr>
                <w:sz w:val="20"/>
                <w:szCs w:val="20"/>
                <w:color w:val="auto"/>
              </w:rPr>
            </w:pPr>
            <w:r>
              <w:rPr>
                <w:rFonts w:ascii="Arial" w:cs="Arial" w:eastAsia="Arial" w:hAnsi="Arial"/>
                <w:sz w:val="18"/>
                <w:szCs w:val="18"/>
                <w:color w:val="auto"/>
              </w:rPr>
              <w:t>Lease Year:</w:t>
            </w: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w w:val="95"/>
              </w:rPr>
              <w:t>With respect to the 1</w:t>
            </w:r>
            <w:r>
              <w:rPr>
                <w:rFonts w:ascii="Arial" w:cs="Arial" w:eastAsia="Arial" w:hAnsi="Arial"/>
                <w:sz w:val="15"/>
                <w:szCs w:val="15"/>
                <w:color w:val="auto"/>
                <w:w w:val="95"/>
              </w:rPr>
              <w:t>st</w:t>
            </w:r>
            <w:r>
              <w:rPr>
                <w:rFonts w:ascii="Arial" w:cs="Arial" w:eastAsia="Arial" w:hAnsi="Arial"/>
                <w:sz w:val="18"/>
                <w:szCs w:val="18"/>
                <w:color w:val="auto"/>
                <w:w w:val="95"/>
              </w:rPr>
              <w:t xml:space="preserve"> Lease Year, the period commencing on the Commencement Date, and</w:t>
            </w:r>
          </w:p>
        </w:tc>
      </w:tr>
      <w:tr>
        <w:trPr>
          <w:trHeight w:val="216"/>
        </w:trPr>
        <w:tc>
          <w:tcPr>
            <w:tcW w:w="3300" w:type="dxa"/>
            <w:vAlign w:val="bottom"/>
          </w:tcPr>
          <w:p>
            <w:pPr>
              <w:spacing w:after="0"/>
              <w:rPr>
                <w:sz w:val="18"/>
                <w:szCs w:val="18"/>
                <w:color w:val="auto"/>
              </w:rPr>
            </w:pP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w w:val="90"/>
              </w:rPr>
              <w:t>ending at midnight twelve (12) full calendar months after the end of the Rent Abatement Period (as</w:t>
            </w:r>
          </w:p>
        </w:tc>
      </w:tr>
      <w:tr>
        <w:trPr>
          <w:trHeight w:val="216"/>
        </w:trPr>
        <w:tc>
          <w:tcPr>
            <w:tcW w:w="3300" w:type="dxa"/>
            <w:vAlign w:val="bottom"/>
          </w:tcPr>
          <w:p>
            <w:pPr>
              <w:spacing w:after="0"/>
              <w:rPr>
                <w:sz w:val="18"/>
                <w:szCs w:val="18"/>
                <w:color w:val="auto"/>
              </w:rPr>
            </w:pP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w w:val="90"/>
              </w:rPr>
              <w:t>hereinafter defined); provided, however, that if the Rent Abatement Period does not end on the last</w:t>
            </w:r>
          </w:p>
        </w:tc>
      </w:tr>
      <w:tr>
        <w:trPr>
          <w:trHeight w:val="216"/>
        </w:trPr>
        <w:tc>
          <w:tcPr>
            <w:tcW w:w="3300" w:type="dxa"/>
            <w:vAlign w:val="bottom"/>
          </w:tcPr>
          <w:p>
            <w:pPr>
              <w:spacing w:after="0"/>
              <w:rPr>
                <w:sz w:val="18"/>
                <w:szCs w:val="18"/>
                <w:color w:val="auto"/>
              </w:rPr>
            </w:pP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w w:val="92"/>
              </w:rPr>
              <w:t>day of a calendar month, then the 1</w:t>
            </w:r>
            <w:r>
              <w:rPr>
                <w:rFonts w:ascii="Arial" w:cs="Arial" w:eastAsia="Arial" w:hAnsi="Arial"/>
                <w:sz w:val="15"/>
                <w:szCs w:val="15"/>
                <w:color w:val="auto"/>
                <w:w w:val="92"/>
              </w:rPr>
              <w:t>st</w:t>
            </w:r>
            <w:r>
              <w:rPr>
                <w:rFonts w:ascii="Arial" w:cs="Arial" w:eastAsia="Arial" w:hAnsi="Arial"/>
                <w:sz w:val="18"/>
                <w:szCs w:val="18"/>
                <w:color w:val="auto"/>
                <w:w w:val="92"/>
              </w:rPr>
              <w:t xml:space="preserve"> Lease Year and the Term shall be expanded to include the</w:t>
            </w:r>
          </w:p>
        </w:tc>
      </w:tr>
      <w:tr>
        <w:trPr>
          <w:trHeight w:val="216"/>
        </w:trPr>
        <w:tc>
          <w:tcPr>
            <w:tcW w:w="3300" w:type="dxa"/>
            <w:vAlign w:val="bottom"/>
          </w:tcPr>
          <w:p>
            <w:pPr>
              <w:spacing w:after="0"/>
              <w:rPr>
                <w:sz w:val="18"/>
                <w:szCs w:val="18"/>
                <w:color w:val="auto"/>
              </w:rPr>
            </w:pP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w w:val="96"/>
              </w:rPr>
              <w:t>partial month following the end of the Rent Abatement Period so that the 1</w:t>
            </w:r>
            <w:r>
              <w:rPr>
                <w:rFonts w:ascii="Arial" w:cs="Arial" w:eastAsia="Arial" w:hAnsi="Arial"/>
                <w:sz w:val="15"/>
                <w:szCs w:val="15"/>
                <w:color w:val="auto"/>
                <w:w w:val="96"/>
              </w:rPr>
              <w:t>st</w:t>
            </w:r>
            <w:r>
              <w:rPr>
                <w:rFonts w:ascii="Arial" w:cs="Arial" w:eastAsia="Arial" w:hAnsi="Arial"/>
                <w:sz w:val="18"/>
                <w:szCs w:val="18"/>
                <w:color w:val="auto"/>
                <w:w w:val="96"/>
              </w:rPr>
              <w:t xml:space="preserve"> Lease Year shall</w:t>
            </w:r>
          </w:p>
        </w:tc>
      </w:tr>
      <w:tr>
        <w:trPr>
          <w:trHeight w:val="216"/>
        </w:trPr>
        <w:tc>
          <w:tcPr>
            <w:tcW w:w="3300" w:type="dxa"/>
            <w:vAlign w:val="bottom"/>
          </w:tcPr>
          <w:p>
            <w:pPr>
              <w:spacing w:after="0"/>
              <w:rPr>
                <w:sz w:val="18"/>
                <w:szCs w:val="18"/>
                <w:color w:val="auto"/>
              </w:rPr>
            </w:pP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w w:val="94"/>
              </w:rPr>
              <w:t>expire on the last day of the twelfth (12</w:t>
            </w:r>
            <w:r>
              <w:rPr>
                <w:rFonts w:ascii="Arial" w:cs="Arial" w:eastAsia="Arial" w:hAnsi="Arial"/>
                <w:sz w:val="15"/>
                <w:szCs w:val="15"/>
                <w:color w:val="auto"/>
                <w:w w:val="94"/>
              </w:rPr>
              <w:t>th</w:t>
            </w:r>
            <w:r>
              <w:rPr>
                <w:rFonts w:ascii="Arial" w:cs="Arial" w:eastAsia="Arial" w:hAnsi="Arial"/>
                <w:sz w:val="18"/>
                <w:szCs w:val="18"/>
                <w:color w:val="auto"/>
                <w:w w:val="94"/>
              </w:rPr>
              <w:t xml:space="preserve"> ) full calendar month following the month in which the</w:t>
            </w:r>
          </w:p>
        </w:tc>
      </w:tr>
      <w:tr>
        <w:trPr>
          <w:trHeight w:val="216"/>
        </w:trPr>
        <w:tc>
          <w:tcPr>
            <w:tcW w:w="3300" w:type="dxa"/>
            <w:vAlign w:val="bottom"/>
          </w:tcPr>
          <w:p>
            <w:pPr>
              <w:spacing w:after="0"/>
              <w:rPr>
                <w:sz w:val="18"/>
                <w:szCs w:val="18"/>
                <w:color w:val="auto"/>
              </w:rPr>
            </w:pP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w w:val="95"/>
              </w:rPr>
              <w:t>Rent Abatement Period ends. With respect to the 2</w:t>
            </w:r>
            <w:r>
              <w:rPr>
                <w:rFonts w:ascii="Arial" w:cs="Arial" w:eastAsia="Arial" w:hAnsi="Arial"/>
                <w:sz w:val="15"/>
                <w:szCs w:val="15"/>
                <w:color w:val="auto"/>
                <w:w w:val="95"/>
              </w:rPr>
              <w:t>nd</w:t>
            </w:r>
            <w:r>
              <w:rPr>
                <w:rFonts w:ascii="Arial" w:cs="Arial" w:eastAsia="Arial" w:hAnsi="Arial"/>
                <w:sz w:val="18"/>
                <w:szCs w:val="18"/>
                <w:color w:val="auto"/>
                <w:w w:val="95"/>
              </w:rPr>
              <w:t xml:space="preserve"> and succeeding Lease Years, periods of</w:t>
            </w:r>
          </w:p>
        </w:tc>
      </w:tr>
      <w:tr>
        <w:trPr>
          <w:trHeight w:val="230"/>
        </w:trPr>
        <w:tc>
          <w:tcPr>
            <w:tcW w:w="3300" w:type="dxa"/>
            <w:vAlign w:val="bottom"/>
          </w:tcPr>
          <w:p>
            <w:pPr>
              <w:spacing w:after="0"/>
              <w:rPr>
                <w:sz w:val="20"/>
                <w:szCs w:val="20"/>
                <w:color w:val="auto"/>
              </w:rPr>
            </w:pPr>
          </w:p>
        </w:tc>
        <w:tc>
          <w:tcPr>
            <w:tcW w:w="7700" w:type="dxa"/>
            <w:vAlign w:val="bottom"/>
            <w:gridSpan w:val="14"/>
          </w:tcPr>
          <w:p>
            <w:pPr>
              <w:ind w:left="560"/>
              <w:spacing w:after="0"/>
              <w:rPr>
                <w:sz w:val="20"/>
                <w:szCs w:val="20"/>
                <w:color w:val="auto"/>
              </w:rPr>
            </w:pPr>
            <w:r>
              <w:rPr>
                <w:rFonts w:ascii="Arial" w:cs="Arial" w:eastAsia="Arial" w:hAnsi="Arial"/>
                <w:sz w:val="18"/>
                <w:szCs w:val="18"/>
                <w:color w:val="auto"/>
              </w:rPr>
              <w:t>twelve (12) full calendar months following the expiration of the 1</w:t>
            </w:r>
            <w:r>
              <w:rPr>
                <w:rFonts w:ascii="Arial" w:cs="Arial" w:eastAsia="Arial" w:hAnsi="Arial"/>
                <w:sz w:val="15"/>
                <w:szCs w:val="15"/>
                <w:color w:val="auto"/>
              </w:rPr>
              <w:t>st</w:t>
            </w:r>
            <w:r>
              <w:rPr>
                <w:rFonts w:ascii="Arial" w:cs="Arial" w:eastAsia="Arial" w:hAnsi="Arial"/>
                <w:sz w:val="18"/>
                <w:szCs w:val="18"/>
                <w:color w:val="auto"/>
              </w:rPr>
              <w:t xml:space="preserve"> Lease Year.</w:t>
            </w:r>
          </w:p>
        </w:tc>
      </w:tr>
      <w:tr>
        <w:trPr>
          <w:trHeight w:val="365"/>
        </w:trPr>
        <w:tc>
          <w:tcPr>
            <w:tcW w:w="3300" w:type="dxa"/>
            <w:vAlign w:val="bottom"/>
          </w:tcPr>
          <w:p>
            <w:pPr>
              <w:spacing w:after="0"/>
              <w:rPr>
                <w:sz w:val="24"/>
                <w:szCs w:val="24"/>
                <w:color w:val="auto"/>
              </w:rPr>
            </w:pPr>
          </w:p>
        </w:tc>
        <w:tc>
          <w:tcPr>
            <w:tcW w:w="3300" w:type="dxa"/>
            <w:vAlign w:val="bottom"/>
            <w:gridSpan w:val="4"/>
          </w:tcPr>
          <w:p>
            <w:pPr>
              <w:ind w:left="2060"/>
              <w:spacing w:after="0"/>
              <w:rPr>
                <w:sz w:val="20"/>
                <w:szCs w:val="20"/>
                <w:color w:val="auto"/>
              </w:rPr>
            </w:pPr>
            <w:r>
              <w:rPr>
                <w:rFonts w:ascii="Arial" w:cs="Arial" w:eastAsia="Arial" w:hAnsi="Arial"/>
                <w:sz w:val="18"/>
                <w:szCs w:val="18"/>
                <w:color w:val="auto"/>
              </w:rPr>
              <w:t>- 2 -</w:t>
            </w: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000"/>
          </w:cols>
          <w:pgMar w:left="440" w:top="273" w:right="459" w:bottom="1440" w:gutter="0" w:footer="0" w:header="0"/>
        </w:sectPr>
      </w:pPr>
    </w:p>
    <w:bookmarkStart w:id="575" w:name="page576"/>
    <w:bookmarkEnd w:id="5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w w:val="92"/>
              </w:rPr>
              <w:t>Base Rent:</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40" w:type="dxa"/>
            <w:vAlign w:val="bottom"/>
            <w:gridSpan w:val="4"/>
          </w:tcPr>
          <w:p>
            <w:pPr>
              <w:jc w:val="right"/>
              <w:ind w:right="133"/>
              <w:spacing w:after="0"/>
              <w:rPr>
                <w:sz w:val="20"/>
                <w:szCs w:val="20"/>
                <w:color w:val="auto"/>
              </w:rPr>
            </w:pPr>
            <w:r>
              <w:rPr>
                <w:rFonts w:ascii="Arial" w:cs="Arial" w:eastAsia="Arial" w:hAnsi="Arial"/>
                <w:sz w:val="18"/>
                <w:szCs w:val="18"/>
                <w:color w:val="auto"/>
              </w:rPr>
              <w:t>The Base Rent during the Term is as follows: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4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380" w:type="dxa"/>
            <w:vAlign w:val="bottom"/>
            <w:vMerge w:val="restart"/>
          </w:tcPr>
          <w:p>
            <w:pPr>
              <w:spacing w:after="0"/>
              <w:rPr>
                <w:sz w:val="20"/>
                <w:szCs w:val="20"/>
                <w:color w:val="auto"/>
              </w:rPr>
            </w:pPr>
            <w:r>
              <w:rPr>
                <w:rFonts w:ascii="Arial" w:cs="Arial" w:eastAsia="Arial" w:hAnsi="Arial"/>
                <w:sz w:val="14"/>
                <w:szCs w:val="14"/>
                <w:color w:val="auto"/>
                <w:w w:val="88"/>
              </w:rPr>
              <w:t>Period</w:t>
            </w:r>
          </w:p>
        </w:tc>
        <w:tc>
          <w:tcPr>
            <w:tcW w:w="340" w:type="dxa"/>
            <w:vAlign w:val="bottom"/>
            <w:vMerge w:val="restart"/>
          </w:tcPr>
          <w:p>
            <w:pPr>
              <w:spacing w:after="0"/>
              <w:rPr>
                <w:sz w:val="24"/>
                <w:szCs w:val="24"/>
                <w:color w:val="auto"/>
              </w:rPr>
            </w:pPr>
          </w:p>
        </w:tc>
        <w:tc>
          <w:tcPr>
            <w:tcW w:w="9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193"/>
              <w:spacing w:after="0"/>
              <w:rPr>
                <w:sz w:val="20"/>
                <w:szCs w:val="20"/>
                <w:color w:val="auto"/>
              </w:rPr>
            </w:pPr>
            <w:r>
              <w:rPr>
                <w:rFonts w:ascii="Arial" w:cs="Arial" w:eastAsia="Arial" w:hAnsi="Arial"/>
                <w:sz w:val="14"/>
                <w:szCs w:val="14"/>
                <w:color w:val="auto"/>
                <w:w w:val="93"/>
              </w:rPr>
              <w:t>Annual Rent</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gridSpan w:val="3"/>
          </w:tcPr>
          <w:p>
            <w:pPr>
              <w:jc w:val="center"/>
              <w:ind w:left="414"/>
              <w:spacing w:after="0"/>
              <w:rPr>
                <w:sz w:val="20"/>
                <w:szCs w:val="20"/>
                <w:color w:val="auto"/>
              </w:rPr>
            </w:pPr>
            <w:r>
              <w:rPr>
                <w:rFonts w:ascii="Arial" w:cs="Arial" w:eastAsia="Arial" w:hAnsi="Arial"/>
                <w:sz w:val="14"/>
                <w:szCs w:val="14"/>
                <w:color w:val="auto"/>
                <w:w w:val="89"/>
              </w:rPr>
              <w:t>Per Sq. Ft.</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60" w:type="dxa"/>
            <w:vAlign w:val="bottom"/>
            <w:gridSpan w:val="3"/>
          </w:tcPr>
          <w:p>
            <w:pPr>
              <w:jc w:val="right"/>
              <w:spacing w:after="0" w:line="154" w:lineRule="exact"/>
              <w:rPr>
                <w:sz w:val="20"/>
                <w:szCs w:val="20"/>
                <w:color w:val="auto"/>
              </w:rPr>
            </w:pPr>
            <w:r>
              <w:rPr>
                <w:rFonts w:ascii="Arial" w:cs="Arial" w:eastAsia="Arial" w:hAnsi="Arial"/>
                <w:sz w:val="14"/>
                <w:szCs w:val="14"/>
                <w:color w:val="auto"/>
              </w:rPr>
              <w:t>(Based on 12 months)</w:t>
            </w:r>
          </w:p>
        </w:tc>
        <w:tc>
          <w:tcPr>
            <w:tcW w:w="580" w:type="dxa"/>
            <w:vAlign w:val="bottom"/>
          </w:tcPr>
          <w:p>
            <w:pPr>
              <w:spacing w:after="0"/>
              <w:rPr>
                <w:sz w:val="15"/>
                <w:szCs w:val="15"/>
                <w:color w:val="auto"/>
              </w:rPr>
            </w:pPr>
          </w:p>
        </w:tc>
        <w:tc>
          <w:tcPr>
            <w:tcW w:w="960" w:type="dxa"/>
            <w:vAlign w:val="bottom"/>
          </w:tcPr>
          <w:p>
            <w:pPr>
              <w:jc w:val="right"/>
              <w:spacing w:after="0" w:line="154" w:lineRule="exact"/>
              <w:rPr>
                <w:sz w:val="20"/>
                <w:szCs w:val="20"/>
                <w:color w:val="auto"/>
              </w:rPr>
            </w:pPr>
            <w:r>
              <w:rPr>
                <w:rFonts w:ascii="Arial" w:cs="Arial" w:eastAsia="Arial" w:hAnsi="Arial"/>
                <w:sz w:val="14"/>
                <w:szCs w:val="14"/>
                <w:color w:val="auto"/>
              </w:rPr>
              <w:t>Monthly Rent</w:t>
            </w:r>
          </w:p>
        </w:tc>
        <w:tc>
          <w:tcPr>
            <w:tcW w:w="580" w:type="dxa"/>
            <w:vAlign w:val="bottom"/>
          </w:tcPr>
          <w:p>
            <w:pPr>
              <w:spacing w:after="0"/>
              <w:rPr>
                <w:sz w:val="15"/>
                <w:szCs w:val="15"/>
                <w:color w:val="auto"/>
              </w:rPr>
            </w:pPr>
          </w:p>
        </w:tc>
        <w:tc>
          <w:tcPr>
            <w:tcW w:w="680" w:type="dxa"/>
            <w:vAlign w:val="bottom"/>
            <w:gridSpan w:val="2"/>
          </w:tcPr>
          <w:p>
            <w:pPr>
              <w:jc w:val="center"/>
              <w:ind w:right="80"/>
              <w:spacing w:after="0" w:line="154" w:lineRule="exact"/>
              <w:rPr>
                <w:sz w:val="20"/>
                <w:szCs w:val="20"/>
                <w:color w:val="auto"/>
              </w:rPr>
            </w:pPr>
            <w:r>
              <w:rPr>
                <w:rFonts w:ascii="Arial" w:cs="Arial" w:eastAsia="Arial" w:hAnsi="Arial"/>
                <w:sz w:val="14"/>
                <w:szCs w:val="14"/>
                <w:color w:val="auto"/>
                <w:w w:val="94"/>
              </w:rPr>
              <w:t>Rent</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Commencement Date – Month 14 (1</w:t>
            </w:r>
            <w:r>
              <w:rPr>
                <w:rFonts w:ascii="Arial" w:cs="Arial" w:eastAsia="Arial" w:hAnsi="Arial"/>
                <w:sz w:val="15"/>
                <w:szCs w:val="15"/>
                <w:color w:val="auto"/>
              </w:rPr>
              <w:t>st</w:t>
            </w:r>
            <w:r>
              <w:rPr>
                <w:rFonts w:ascii="Arial" w:cs="Arial" w:eastAsia="Arial" w:hAnsi="Arial"/>
                <w:sz w:val="18"/>
                <w:szCs w:val="18"/>
                <w:color w:val="auto"/>
              </w:rPr>
              <w:t xml:space="preserve"> Lease Year)</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1"/>
              </w:rPr>
              <w:t>* $</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213,447.00</w:t>
            </w:r>
          </w:p>
        </w:tc>
        <w:tc>
          <w:tcPr>
            <w:tcW w:w="5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$17,787.25</w:t>
            </w:r>
          </w:p>
        </w:tc>
        <w:tc>
          <w:tcPr>
            <w:tcW w:w="5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*$ 39.00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Arial" w:cs="Arial" w:eastAsia="Arial" w:hAnsi="Arial"/>
                <w:sz w:val="18"/>
                <w:szCs w:val="18"/>
                <w:color w:val="auto"/>
                <w:w w:val="94"/>
              </w:rPr>
              <w:t>Month 15 – Month 26</w:t>
            </w:r>
          </w:p>
        </w:tc>
        <w:tc>
          <w:tcPr>
            <w:tcW w:w="2780" w:type="dxa"/>
            <w:vAlign w:val="bottom"/>
          </w:tcPr>
          <w:p>
            <w:pPr>
              <w:ind w:left="2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Lease Year)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218,920.00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$18,243.33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Month 27</w:t>
            </w:r>
          </w:p>
        </w:tc>
        <w:tc>
          <w:tcPr>
            <w:tcW w:w="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 Month 38</w:t>
            </w: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Lease Year)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224,393.00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$18,699.42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3"/>
              </w:rPr>
              <w:t>Month 39</w:t>
            </w:r>
          </w:p>
        </w:tc>
        <w:tc>
          <w:tcPr>
            <w:tcW w:w="900" w:type="dxa"/>
            <w:vAlign w:val="bottom"/>
          </w:tcPr>
          <w:p>
            <w:pPr>
              <w:ind w:left="40"/>
              <w:spacing w:after="0"/>
              <w:rPr>
                <w:sz w:val="20"/>
                <w:szCs w:val="20"/>
                <w:color w:val="auto"/>
              </w:rPr>
            </w:pPr>
            <w:r>
              <w:rPr>
                <w:rFonts w:ascii="Arial" w:cs="Arial" w:eastAsia="Arial" w:hAnsi="Arial"/>
                <w:sz w:val="18"/>
                <w:szCs w:val="18"/>
                <w:color w:val="auto"/>
                <w:w w:val="93"/>
              </w:rPr>
              <w:t>– Month 50</w:t>
            </w:r>
          </w:p>
        </w:tc>
        <w:tc>
          <w:tcPr>
            <w:tcW w:w="2780" w:type="dxa"/>
            <w:vAlign w:val="bottom"/>
          </w:tcPr>
          <w:p>
            <w:pPr>
              <w:ind w:left="2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Lease Year)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229,866.00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$19,155.50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$ 42.00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Month 51</w:t>
            </w:r>
          </w:p>
        </w:tc>
        <w:tc>
          <w:tcPr>
            <w:tcW w:w="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 Month 62</w:t>
            </w: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th</w:t>
            </w:r>
            <w:r>
              <w:rPr>
                <w:rFonts w:ascii="Arial" w:cs="Arial" w:eastAsia="Arial" w:hAnsi="Arial"/>
                <w:sz w:val="18"/>
                <w:szCs w:val="18"/>
                <w:color w:val="auto"/>
              </w:rPr>
              <w:t xml:space="preserve"> Lease Year)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235,339.00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$ 19,611.58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hanging="224"/>
        <w:spacing w:after="0" w:line="277" w:lineRule="auto"/>
        <w:tabs>
          <w:tab w:leader="none" w:pos="224" w:val="left"/>
        </w:tabs>
        <w:numPr>
          <w:ilvl w:val="0"/>
          <w:numId w:val="422"/>
        </w:numPr>
        <w:rPr>
          <w:rFonts w:ascii="Arial" w:cs="Arial" w:eastAsia="Arial" w:hAnsi="Arial"/>
          <w:sz w:val="18"/>
          <w:szCs w:val="18"/>
          <w:color w:val="auto"/>
        </w:rPr>
      </w:pPr>
      <w:r>
        <w:rPr>
          <w:rFonts w:ascii="Arial" w:cs="Arial" w:eastAsia="Arial" w:hAnsi="Arial"/>
          <w:sz w:val="18"/>
          <w:szCs w:val="18"/>
          <w:color w:val="auto"/>
        </w:rPr>
        <w:t xml:space="preserve">Notwithstanding the foregoing Base Rent schedule or any contrary provision of this Lease, but subject to the terms of </w:t>
      </w:r>
      <w:r>
        <w:rPr>
          <w:rFonts w:ascii="Arial" w:cs="Arial" w:eastAsia="Arial" w:hAnsi="Arial"/>
          <w:sz w:val="18"/>
          <w:szCs w:val="18"/>
          <w:u w:val="single" w:color="auto"/>
          <w:color w:val="auto"/>
        </w:rPr>
        <w:t>Section 6(a)</w:t>
      </w:r>
      <w:r>
        <w:rPr>
          <w:rFonts w:ascii="Arial" w:cs="Arial" w:eastAsia="Arial" w:hAnsi="Arial"/>
          <w:sz w:val="18"/>
          <w:szCs w:val="18"/>
          <w:color w:val="auto"/>
        </w:rPr>
        <w:t>. Tenant shall not be obligated to pay any Base Rent otherwise attributable to the Premises during the first two (2) months of the Term.</w:t>
      </w:r>
    </w:p>
    <w:p>
      <w:pPr>
        <w:spacing w:after="0" w:line="30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Base Tax Year:</w:t>
            </w:r>
          </w:p>
        </w:tc>
        <w:tc>
          <w:tcPr>
            <w:tcW w:w="1700" w:type="dxa"/>
            <w:vAlign w:val="bottom"/>
          </w:tcPr>
          <w:p>
            <w:pPr>
              <w:spacing w:after="0"/>
              <w:rPr>
                <w:sz w:val="20"/>
                <w:szCs w:val="20"/>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Fiscal Year 2016 (i.e., July 1, 2015 – June 30, 2016)</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w w:val="97"/>
              </w:rPr>
              <w:t>Tenant’s Share of Taxes:</w:t>
            </w:r>
          </w:p>
        </w:tc>
        <w:tc>
          <w:tcPr>
            <w:tcW w:w="1700" w:type="dxa"/>
            <w:vAlign w:val="bottom"/>
          </w:tcPr>
          <w:p>
            <w:pPr>
              <w:spacing w:after="0"/>
              <w:rPr>
                <w:sz w:val="24"/>
                <w:szCs w:val="24"/>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8.25% above Base Tax Year</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Base Expense Year:</w:t>
            </w:r>
          </w:p>
        </w:tc>
        <w:tc>
          <w:tcPr>
            <w:tcW w:w="1700" w:type="dxa"/>
            <w:vAlign w:val="bottom"/>
          </w:tcPr>
          <w:p>
            <w:pPr>
              <w:spacing w:after="0"/>
              <w:rPr>
                <w:sz w:val="24"/>
                <w:szCs w:val="24"/>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Calendar Year 2015 (i.e., January 1, 2015 – December 31, 2015)</w:t>
            </w:r>
          </w:p>
        </w:tc>
      </w:tr>
      <w:tr>
        <w:trPr>
          <w:trHeight w:val="324"/>
        </w:trPr>
        <w:tc>
          <w:tcPr>
            <w:tcW w:w="3680" w:type="dxa"/>
            <w:vAlign w:val="bottom"/>
            <w:gridSpan w:val="2"/>
          </w:tcPr>
          <w:p>
            <w:pPr>
              <w:spacing w:after="0"/>
              <w:rPr>
                <w:sz w:val="20"/>
                <w:szCs w:val="20"/>
                <w:color w:val="auto"/>
              </w:rPr>
            </w:pPr>
            <w:r>
              <w:rPr>
                <w:rFonts w:ascii="Arial" w:cs="Arial" w:eastAsia="Arial" w:hAnsi="Arial"/>
                <w:sz w:val="18"/>
                <w:szCs w:val="18"/>
                <w:color w:val="auto"/>
              </w:rPr>
              <w:t>Tenant’s Share of Operating Expenses:</w:t>
            </w:r>
          </w:p>
        </w:tc>
        <w:tc>
          <w:tcPr>
            <w:tcW w:w="6700" w:type="dxa"/>
            <w:vAlign w:val="bottom"/>
          </w:tcPr>
          <w:p>
            <w:pPr>
              <w:ind w:left="180"/>
              <w:spacing w:after="0"/>
              <w:rPr>
                <w:sz w:val="20"/>
                <w:szCs w:val="20"/>
                <w:color w:val="auto"/>
              </w:rPr>
            </w:pPr>
            <w:r>
              <w:rPr>
                <w:rFonts w:ascii="Arial" w:cs="Arial" w:eastAsia="Arial" w:hAnsi="Arial"/>
                <w:sz w:val="18"/>
                <w:szCs w:val="18"/>
                <w:color w:val="auto"/>
              </w:rPr>
              <w:t>8.25% above Base Expense Year</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Security Deposit:</w:t>
            </w:r>
          </w:p>
        </w:tc>
        <w:tc>
          <w:tcPr>
            <w:tcW w:w="1700" w:type="dxa"/>
            <w:vAlign w:val="bottom"/>
          </w:tcPr>
          <w:p>
            <w:pPr>
              <w:spacing w:after="0"/>
              <w:rPr>
                <w:sz w:val="24"/>
                <w:szCs w:val="24"/>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$56,098.26 (subject to Section 26.2)</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Guarantor:</w:t>
            </w:r>
          </w:p>
        </w:tc>
        <w:tc>
          <w:tcPr>
            <w:tcW w:w="1700" w:type="dxa"/>
            <w:vAlign w:val="bottom"/>
          </w:tcPr>
          <w:p>
            <w:pPr>
              <w:spacing w:after="0"/>
              <w:rPr>
                <w:sz w:val="24"/>
                <w:szCs w:val="24"/>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None</w:t>
            </w:r>
          </w:p>
        </w:tc>
      </w:tr>
      <w:tr>
        <w:trPr>
          <w:trHeight w:val="310"/>
        </w:trPr>
        <w:tc>
          <w:tcPr>
            <w:tcW w:w="1980" w:type="dxa"/>
            <w:vAlign w:val="bottom"/>
          </w:tcPr>
          <w:p>
            <w:pPr>
              <w:spacing w:after="0"/>
              <w:rPr>
                <w:sz w:val="20"/>
                <w:szCs w:val="20"/>
                <w:color w:val="auto"/>
              </w:rPr>
            </w:pPr>
            <w:r>
              <w:rPr>
                <w:rFonts w:ascii="Arial" w:cs="Arial" w:eastAsia="Arial" w:hAnsi="Arial"/>
                <w:sz w:val="18"/>
                <w:szCs w:val="18"/>
                <w:color w:val="auto"/>
              </w:rPr>
              <w:t>Broker(s):</w:t>
            </w:r>
          </w:p>
        </w:tc>
        <w:tc>
          <w:tcPr>
            <w:tcW w:w="1700" w:type="dxa"/>
            <w:vAlign w:val="bottom"/>
          </w:tcPr>
          <w:p>
            <w:pPr>
              <w:spacing w:after="0"/>
              <w:rPr>
                <w:sz w:val="24"/>
                <w:szCs w:val="24"/>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w w:val="91"/>
              </w:rPr>
              <w:t>Newmark Grubb Knight Frank (representing Landlord exclusively) and Transwestern RBJ</w:t>
            </w:r>
          </w:p>
        </w:tc>
      </w:tr>
      <w:tr>
        <w:trPr>
          <w:trHeight w:val="230"/>
        </w:trPr>
        <w:tc>
          <w:tcPr>
            <w:tcW w:w="1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(representing Tenant exclusively).</w:t>
            </w:r>
          </w:p>
        </w:tc>
      </w:tr>
      <w:tr>
        <w:trPr>
          <w:trHeight w:val="432"/>
        </w:trPr>
        <w:tc>
          <w:tcPr>
            <w:tcW w:w="1980" w:type="dxa"/>
            <w:vAlign w:val="bottom"/>
          </w:tcPr>
          <w:p>
            <w:pPr>
              <w:spacing w:after="0"/>
              <w:rPr>
                <w:sz w:val="20"/>
                <w:szCs w:val="20"/>
                <w:color w:val="auto"/>
              </w:rPr>
            </w:pPr>
            <w:r>
              <w:rPr>
                <w:rFonts w:ascii="Arial" w:cs="Arial" w:eastAsia="Arial" w:hAnsi="Arial"/>
                <w:sz w:val="18"/>
                <w:szCs w:val="18"/>
                <w:color w:val="auto"/>
              </w:rPr>
              <w:t>Exhibits:</w:t>
            </w:r>
          </w:p>
        </w:tc>
        <w:tc>
          <w:tcPr>
            <w:tcW w:w="170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323"/>
        </w:trPr>
        <w:tc>
          <w:tcPr>
            <w:tcW w:w="1980" w:type="dxa"/>
            <w:vAlign w:val="bottom"/>
          </w:tcPr>
          <w:p>
            <w:pPr>
              <w:spacing w:after="0"/>
              <w:rPr>
                <w:sz w:val="20"/>
                <w:szCs w:val="20"/>
                <w:color w:val="auto"/>
              </w:rPr>
            </w:pPr>
            <w:r>
              <w:rPr>
                <w:rFonts w:ascii="Arial" w:cs="Arial" w:eastAsia="Arial" w:hAnsi="Arial"/>
                <w:sz w:val="18"/>
                <w:szCs w:val="18"/>
                <w:color w:val="auto"/>
              </w:rPr>
              <w:t>Exhibit A</w:t>
            </w:r>
          </w:p>
        </w:tc>
        <w:tc>
          <w:tcPr>
            <w:tcW w:w="1700" w:type="dxa"/>
            <w:vAlign w:val="bottom"/>
          </w:tcPr>
          <w:p>
            <w:pPr>
              <w:ind w:left="240"/>
              <w:spacing w:after="0"/>
              <w:rPr>
                <w:sz w:val="20"/>
                <w:szCs w:val="20"/>
                <w:color w:val="auto"/>
              </w:rPr>
            </w:pPr>
            <w:r>
              <w:rPr>
                <w:rFonts w:ascii="Arial" w:cs="Arial" w:eastAsia="Arial" w:hAnsi="Arial"/>
                <w:sz w:val="18"/>
                <w:szCs w:val="18"/>
                <w:color w:val="auto"/>
              </w:rPr>
              <w:t>Legal Description</w:t>
            </w:r>
          </w:p>
        </w:tc>
        <w:tc>
          <w:tcPr>
            <w:tcW w:w="6700" w:type="dxa"/>
            <w:vAlign w:val="bottom"/>
          </w:tcPr>
          <w:p>
            <w:pPr>
              <w:spacing w:after="0"/>
              <w:rPr>
                <w:sz w:val="24"/>
                <w:szCs w:val="24"/>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Exhibit B</w:t>
            </w:r>
          </w:p>
        </w:tc>
        <w:tc>
          <w:tcPr>
            <w:tcW w:w="1700" w:type="dxa"/>
            <w:vAlign w:val="bottom"/>
          </w:tcPr>
          <w:p>
            <w:pPr>
              <w:ind w:left="240"/>
              <w:spacing w:after="0"/>
              <w:rPr>
                <w:sz w:val="20"/>
                <w:szCs w:val="20"/>
                <w:color w:val="auto"/>
              </w:rPr>
            </w:pPr>
            <w:r>
              <w:rPr>
                <w:rFonts w:ascii="Arial" w:cs="Arial" w:eastAsia="Arial" w:hAnsi="Arial"/>
                <w:sz w:val="18"/>
                <w:szCs w:val="18"/>
                <w:color w:val="auto"/>
              </w:rPr>
              <w:t>Plan of Premises</w:t>
            </w:r>
          </w:p>
        </w:tc>
        <w:tc>
          <w:tcPr>
            <w:tcW w:w="670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Exhibit C-1</w:t>
            </w:r>
          </w:p>
        </w:tc>
        <w:tc>
          <w:tcPr>
            <w:tcW w:w="1700" w:type="dxa"/>
            <w:vAlign w:val="bottom"/>
          </w:tcPr>
          <w:p>
            <w:pPr>
              <w:ind w:left="240"/>
              <w:spacing w:after="0"/>
              <w:rPr>
                <w:sz w:val="20"/>
                <w:szCs w:val="20"/>
                <w:color w:val="auto"/>
              </w:rPr>
            </w:pPr>
            <w:r>
              <w:rPr>
                <w:rFonts w:ascii="Arial" w:cs="Arial" w:eastAsia="Arial" w:hAnsi="Arial"/>
                <w:sz w:val="18"/>
                <w:szCs w:val="18"/>
                <w:color w:val="auto"/>
              </w:rPr>
              <w:t>Work Letter</w:t>
            </w:r>
          </w:p>
        </w:tc>
        <w:tc>
          <w:tcPr>
            <w:tcW w:w="670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Exhibit C-2</w:t>
            </w:r>
          </w:p>
        </w:tc>
        <w:tc>
          <w:tcPr>
            <w:tcW w:w="8400" w:type="dxa"/>
            <w:vAlign w:val="bottom"/>
            <w:gridSpan w:val="2"/>
          </w:tcPr>
          <w:p>
            <w:pPr>
              <w:ind w:left="240"/>
              <w:spacing w:after="0"/>
              <w:rPr>
                <w:sz w:val="20"/>
                <w:szCs w:val="20"/>
                <w:color w:val="auto"/>
              </w:rPr>
            </w:pPr>
            <w:r>
              <w:rPr>
                <w:rFonts w:ascii="Arial" w:cs="Arial" w:eastAsia="Arial" w:hAnsi="Arial"/>
                <w:sz w:val="18"/>
                <w:szCs w:val="18"/>
                <w:color w:val="auto"/>
              </w:rPr>
              <w:t>Additional Work Items</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Exhibit D</w:t>
            </w:r>
          </w:p>
        </w:tc>
        <w:tc>
          <w:tcPr>
            <w:tcW w:w="1700" w:type="dxa"/>
            <w:vAlign w:val="bottom"/>
          </w:tcPr>
          <w:p>
            <w:pPr>
              <w:ind w:left="240"/>
              <w:spacing w:after="0"/>
              <w:rPr>
                <w:sz w:val="20"/>
                <w:szCs w:val="20"/>
                <w:color w:val="auto"/>
              </w:rPr>
            </w:pPr>
            <w:r>
              <w:rPr>
                <w:rFonts w:ascii="Arial" w:cs="Arial" w:eastAsia="Arial" w:hAnsi="Arial"/>
                <w:sz w:val="18"/>
                <w:szCs w:val="18"/>
                <w:color w:val="auto"/>
              </w:rPr>
              <w:t>Concept Plan</w:t>
            </w:r>
          </w:p>
        </w:tc>
        <w:tc>
          <w:tcPr>
            <w:tcW w:w="670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Exhibit E</w:t>
            </w:r>
          </w:p>
        </w:tc>
        <w:tc>
          <w:tcPr>
            <w:tcW w:w="8400" w:type="dxa"/>
            <w:vAlign w:val="bottom"/>
            <w:gridSpan w:val="2"/>
          </w:tcPr>
          <w:p>
            <w:pPr>
              <w:ind w:left="240"/>
              <w:spacing w:after="0"/>
              <w:rPr>
                <w:sz w:val="20"/>
                <w:szCs w:val="20"/>
                <w:color w:val="auto"/>
              </w:rPr>
            </w:pPr>
            <w:r>
              <w:rPr>
                <w:rFonts w:ascii="Arial" w:cs="Arial" w:eastAsia="Arial" w:hAnsi="Arial"/>
                <w:sz w:val="18"/>
                <w:szCs w:val="18"/>
                <w:color w:val="auto"/>
              </w:rPr>
              <w:t>Building Finish Specifications</w:t>
            </w: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Exhibit F</w:t>
            </w:r>
          </w:p>
        </w:tc>
        <w:tc>
          <w:tcPr>
            <w:tcW w:w="8400" w:type="dxa"/>
            <w:vAlign w:val="bottom"/>
            <w:gridSpan w:val="2"/>
          </w:tcPr>
          <w:p>
            <w:pPr>
              <w:ind w:left="240"/>
              <w:spacing w:after="0"/>
              <w:rPr>
                <w:sz w:val="20"/>
                <w:szCs w:val="20"/>
                <w:color w:val="auto"/>
              </w:rPr>
            </w:pPr>
            <w:r>
              <w:rPr>
                <w:rFonts w:ascii="Arial" w:cs="Arial" w:eastAsia="Arial" w:hAnsi="Arial"/>
                <w:sz w:val="18"/>
                <w:szCs w:val="18"/>
                <w:color w:val="auto"/>
              </w:rPr>
              <w:t>Form of Commencement Date Certificate</w:t>
            </w:r>
          </w:p>
        </w:tc>
      </w:tr>
      <w:tr>
        <w:trPr>
          <w:trHeight w:val="365"/>
        </w:trPr>
        <w:tc>
          <w:tcPr>
            <w:tcW w:w="1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700" w:type="dxa"/>
            <w:vAlign w:val="bottom"/>
          </w:tcPr>
          <w:p>
            <w:pPr>
              <w:ind w:left="1680"/>
              <w:spacing w:after="0"/>
              <w:rPr>
                <w:sz w:val="20"/>
                <w:szCs w:val="20"/>
                <w:color w:val="auto"/>
              </w:rPr>
            </w:pPr>
            <w:r>
              <w:rPr>
                <w:rFonts w:ascii="Arial" w:cs="Arial" w:eastAsia="Arial" w:hAnsi="Arial"/>
                <w:sz w:val="18"/>
                <w:szCs w:val="18"/>
                <w:color w:val="auto"/>
              </w:rPr>
              <w:t>- 3 -</w:t>
            </w:r>
          </w:p>
        </w:tc>
      </w:tr>
    </w:tbl>
    <w:p>
      <w:pPr>
        <w:sectPr>
          <w:pgSz w:w="11900" w:h="16838" w:orient="portrait"/>
          <w:cols w:equalWidth="0" w:num="1">
            <w:col w:w="10824"/>
          </w:cols>
          <w:pgMar w:left="436" w:top="273" w:right="639" w:bottom="1440" w:gutter="0" w:footer="0" w:header="0"/>
        </w:sectPr>
      </w:pPr>
    </w:p>
    <w:bookmarkStart w:id="576" w:name="page577"/>
    <w:bookmarkEnd w:id="57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 PREMISES AND COMMON AREAS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Landlord leases to Tenant, and Tenant hereby hires and takes from Landlord the Premises subject to all encumbrances of record.</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Landlord hereby grants to Tenant during the term of this Lease, a license to use, in common with the others entitled to such use, the Common Areas as they from time to time exist, subject to the rights, powers and privileges herein reserved to Landlord. The term “</w:t>
      </w:r>
      <w:r>
        <w:rPr>
          <w:rFonts w:ascii="Arial" w:cs="Arial" w:eastAsia="Arial" w:hAnsi="Arial"/>
          <w:sz w:val="18"/>
          <w:szCs w:val="18"/>
          <w:u w:val="single" w:color="auto"/>
          <w:color w:val="auto"/>
        </w:rPr>
        <w:t>Common Areas</w:t>
      </w:r>
      <w:r>
        <w:rPr>
          <w:rFonts w:ascii="Arial" w:cs="Arial" w:eastAsia="Arial" w:hAnsi="Arial"/>
          <w:sz w:val="18"/>
          <w:szCs w:val="18"/>
          <w:color w:val="auto"/>
        </w:rPr>
        <w:t>” as used herein will include all areas and facilities located outside the Premises on the Property that are provided and designated by Landlord for the general non-exclusive use and convenience of Tenant and other tenants. Common Areas include but are not limited to any hallways, lobbies, stairways, elevators, pedestrian sidewalks, landscaped areas, loading areas, parking areas (if any) and Building amenities (including, but not limited to, shared gym/fitness facilities, lounge areas, conference rooms and the like).</w:t>
      </w:r>
    </w:p>
    <w:p>
      <w:pPr>
        <w:spacing w:after="0" w:line="19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Landlord reserves all rights of ownership of the Property and use of the Property outside the Premises except that at all times during the Term of this Lease Tenant shall have a reasonable means of access to the Premises. Without limiting the foregoing reservation of rights by Landlord, it is understood that, Landlord in its sole discretion shall have the right to change, add, relocate, and eliminate facilities structures and improvements in and to the Building and Property, to permit the use of or lease all or part thereof for exhibition and displays, and to sell, lease, or dedicate all or part thereof to public use and to install conduits, pipes and cables in the Property outside the Premises; provided, however, that the same shall not render the Premises untenantable for the Permitted Use. In addition, provided such installation will not have any material adverse impact on Tenant, Landlord shall have the right to install conduits, wires, pipes and cables in the Premises which serve areas outside the Premises.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 PREPARATION OF PREMISES; CONDITION OF PREMISES</w:t>
      </w:r>
      <w:r>
        <w:rPr>
          <w:rFonts w:ascii="Arial" w:cs="Arial" w:eastAsia="Arial" w:hAnsi="Arial"/>
          <w:sz w:val="18"/>
          <w:szCs w:val="18"/>
          <w:color w:val="auto"/>
        </w:rPr>
        <w:t>.</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Except for Landlord’s Work and the Additional Work Items, and subject to Landlord’s express obligations under this Lease, including but not limited to Sections 7.1 and 9 herein, Tenant shall accept the Premises in “AS IS, WHERE IS, WITH ALL FAULTS CONDITION”, and without any representations or warranties by Landlord to Tenant as to the condition of the Premises, the Building, the Property, or the suitability thereof for Tenant’s use</w:t>
      </w:r>
    </w:p>
    <w:p>
      <w:pPr>
        <w:spacing w:after="0" w:line="79"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u w:val="single" w:color="auto"/>
          <w:color w:val="auto"/>
        </w:rPr>
        <w:t>3.1</w:t>
      </w:r>
      <w:r>
        <w:rPr>
          <w:sz w:val="20"/>
          <w:szCs w:val="20"/>
          <w:color w:val="auto"/>
        </w:rPr>
        <w:tab/>
      </w:r>
      <w:r>
        <w:rPr>
          <w:rFonts w:ascii="Arial" w:cs="Arial" w:eastAsia="Arial" w:hAnsi="Arial"/>
          <w:sz w:val="17"/>
          <w:szCs w:val="17"/>
          <w:u w:val="single" w:color="auto"/>
          <w:color w:val="auto"/>
        </w:rPr>
        <w:t>Landlord’s Work</w:t>
      </w:r>
      <w:r>
        <w:rPr>
          <w:rFonts w:ascii="Arial" w:cs="Arial" w:eastAsia="Arial" w:hAnsi="Arial"/>
          <w:sz w:val="17"/>
          <w:szCs w:val="17"/>
          <w:color w:val="auto"/>
        </w:rPr>
        <w:t>.</w:t>
      </w:r>
    </w:p>
    <w:p>
      <w:pPr>
        <w:spacing w:after="0" w:line="225" w:lineRule="exact"/>
        <w:rPr>
          <w:sz w:val="20"/>
          <w:szCs w:val="20"/>
          <w:color w:val="auto"/>
        </w:rPr>
      </w:pPr>
    </w:p>
    <w:p>
      <w:pPr>
        <w:ind w:firstLine="436"/>
        <w:spacing w:after="0" w:line="268" w:lineRule="auto"/>
        <w:tabs>
          <w:tab w:leader="none" w:pos="915" w:val="left"/>
        </w:tabs>
        <w:numPr>
          <w:ilvl w:val="0"/>
          <w:numId w:val="423"/>
        </w:numPr>
        <w:rPr>
          <w:rFonts w:ascii="Arial" w:cs="Arial" w:eastAsia="Arial" w:hAnsi="Arial"/>
          <w:sz w:val="17"/>
          <w:szCs w:val="17"/>
          <w:color w:val="auto"/>
        </w:rPr>
      </w:pPr>
      <w:r>
        <w:rPr>
          <w:rFonts w:ascii="Arial" w:cs="Arial" w:eastAsia="Arial" w:hAnsi="Arial"/>
          <w:sz w:val="17"/>
          <w:szCs w:val="17"/>
          <w:u w:val="single" w:color="auto"/>
          <w:color w:val="auto"/>
        </w:rPr>
        <w:t>Work Letter: Concept Plan: Additional Work Items</w:t>
      </w:r>
      <w:r>
        <w:rPr>
          <w:rFonts w:ascii="Arial" w:cs="Arial" w:eastAsia="Arial" w:hAnsi="Arial"/>
          <w:sz w:val="17"/>
          <w:szCs w:val="17"/>
          <w:color w:val="auto"/>
        </w:rPr>
        <w:t>. Landlord, at Landlord’s sole cost and expense, shall perform the work (“</w:t>
      </w:r>
      <w:r>
        <w:rPr>
          <w:rFonts w:ascii="Arial" w:cs="Arial" w:eastAsia="Arial" w:hAnsi="Arial"/>
          <w:sz w:val="17"/>
          <w:szCs w:val="17"/>
          <w:u w:val="single" w:color="auto"/>
          <w:color w:val="auto"/>
        </w:rPr>
        <w:t>Landlord’s</w:t>
      </w:r>
      <w:r>
        <w:rPr>
          <w:rFonts w:ascii="Arial" w:cs="Arial" w:eastAsia="Arial" w:hAnsi="Arial"/>
          <w:sz w:val="17"/>
          <w:szCs w:val="17"/>
          <w:color w:val="auto"/>
        </w:rPr>
        <w:t xml:space="preserve"> </w:t>
      </w:r>
      <w:r>
        <w:rPr>
          <w:rFonts w:ascii="Arial" w:cs="Arial" w:eastAsia="Arial" w:hAnsi="Arial"/>
          <w:sz w:val="17"/>
          <w:szCs w:val="17"/>
          <w:u w:val="single" w:color="auto"/>
          <w:color w:val="auto"/>
        </w:rPr>
        <w:t>Work</w:t>
      </w:r>
      <w:r>
        <w:rPr>
          <w:rFonts w:ascii="Arial" w:cs="Arial" w:eastAsia="Arial" w:hAnsi="Arial"/>
          <w:sz w:val="17"/>
          <w:szCs w:val="17"/>
          <w:color w:val="auto"/>
        </w:rPr>
        <w:t>”) set forth in the work letter (the “</w:t>
      </w:r>
      <w:r>
        <w:rPr>
          <w:rFonts w:ascii="Arial" w:cs="Arial" w:eastAsia="Arial" w:hAnsi="Arial"/>
          <w:sz w:val="17"/>
          <w:szCs w:val="17"/>
          <w:u w:val="single" w:color="auto"/>
          <w:color w:val="auto"/>
        </w:rPr>
        <w:t>Work Letter</w:t>
      </w:r>
      <w:r>
        <w:rPr>
          <w:rFonts w:ascii="Arial" w:cs="Arial" w:eastAsia="Arial" w:hAnsi="Arial"/>
          <w:sz w:val="17"/>
          <w:szCs w:val="17"/>
          <w:color w:val="auto"/>
        </w:rPr>
        <w:t xml:space="preserve">”) attached hereto as </w:t>
      </w:r>
      <w:r>
        <w:rPr>
          <w:rFonts w:ascii="Arial" w:cs="Arial" w:eastAsia="Arial" w:hAnsi="Arial"/>
          <w:sz w:val="17"/>
          <w:szCs w:val="17"/>
          <w:u w:val="single" w:color="auto"/>
          <w:color w:val="auto"/>
        </w:rPr>
        <w:t>Exhibit C-1</w:t>
      </w:r>
      <w:r>
        <w:rPr>
          <w:rFonts w:ascii="Arial" w:cs="Arial" w:eastAsia="Arial" w:hAnsi="Arial"/>
          <w:sz w:val="17"/>
          <w:szCs w:val="17"/>
          <w:color w:val="auto"/>
        </w:rPr>
        <w:t xml:space="preserve"> in order to deliver the Premises in accordance with the concept plan (the “</w:t>
      </w:r>
      <w:r>
        <w:rPr>
          <w:rFonts w:ascii="Arial" w:cs="Arial" w:eastAsia="Arial" w:hAnsi="Arial"/>
          <w:sz w:val="17"/>
          <w:szCs w:val="17"/>
          <w:u w:val="single" w:color="auto"/>
          <w:color w:val="auto"/>
        </w:rPr>
        <w:t>Concept Plan</w:t>
      </w:r>
      <w:r>
        <w:rPr>
          <w:rFonts w:ascii="Arial" w:cs="Arial" w:eastAsia="Arial" w:hAnsi="Arial"/>
          <w:sz w:val="17"/>
          <w:szCs w:val="17"/>
          <w:color w:val="auto"/>
        </w:rPr>
        <w:t xml:space="preserve">”)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provided, however, that (1) Landlord shall not be responsible for the installation of Tenant’s furniture, fixtures, equipment and appliances (notwithstanding the fact that these items are shown on the Concept Plan) and (2) the cost of Landlord’s Work shall not exceed $35.00 per rentable square foot of the Premises (i.e., a maximum of $191,555.00 based on 5,473 rentable square feet), which shall include a construction management fee equal to five percent (5%) of the cost of Landlord’s Work. In the event the cost of Landlord’s Work exceeds $191,555.00, such excess shall be treated as Extra Work (as hereinafter defined), and Tenant shall be responsible for payment of the entire cost of such Extra Work before Landlord is required to proceed with such Extra Work. Additionally, Landlord, at Tenant’s sole cost and expense, shall supply and install the additional work items (the “</w:t>
      </w:r>
      <w:r>
        <w:rPr>
          <w:rFonts w:ascii="Arial" w:cs="Arial" w:eastAsia="Arial" w:hAnsi="Arial"/>
          <w:sz w:val="17"/>
          <w:szCs w:val="17"/>
          <w:u w:val="single" w:color="auto"/>
          <w:color w:val="auto"/>
        </w:rPr>
        <w:t>Additional Work Items</w:t>
      </w:r>
      <w:r>
        <w:rPr>
          <w:rFonts w:ascii="Arial" w:cs="Arial" w:eastAsia="Arial" w:hAnsi="Arial"/>
          <w:sz w:val="17"/>
          <w:szCs w:val="17"/>
          <w:color w:val="auto"/>
        </w:rPr>
        <w:t xml:space="preserve">”) set forth on </w:t>
      </w:r>
      <w:r>
        <w:rPr>
          <w:rFonts w:ascii="Arial" w:cs="Arial" w:eastAsia="Arial" w:hAnsi="Arial"/>
          <w:sz w:val="17"/>
          <w:szCs w:val="17"/>
          <w:u w:val="single" w:color="auto"/>
          <w:color w:val="auto"/>
        </w:rPr>
        <w:t>Exhibit C-2</w:t>
      </w:r>
      <w:r>
        <w:rPr>
          <w:rFonts w:ascii="Arial" w:cs="Arial" w:eastAsia="Arial" w:hAnsi="Arial"/>
          <w:sz w:val="17"/>
          <w:szCs w:val="17"/>
          <w:color w:val="auto"/>
        </w:rPr>
        <w:t xml:space="preserve"> attached hereto. Tenant acknowledges and agrees that it shall pay Landlord (simultaneously with the execution and delivery of this Lease) $118,330.00 for the cost of supplying and installing Items 1, 3, 4, 5, 6, and 7 on </w:t>
      </w:r>
      <w:r>
        <w:rPr>
          <w:rFonts w:ascii="Arial" w:cs="Arial" w:eastAsia="Arial" w:hAnsi="Arial"/>
          <w:sz w:val="17"/>
          <w:szCs w:val="17"/>
          <w:u w:val="single" w:color="auto"/>
          <w:color w:val="auto"/>
        </w:rPr>
        <w:t>Exhibit C-2</w:t>
      </w:r>
      <w:r>
        <w:rPr>
          <w:rFonts w:ascii="Arial" w:cs="Arial" w:eastAsia="Arial" w:hAnsi="Arial"/>
          <w:sz w:val="17"/>
          <w:szCs w:val="17"/>
          <w:color w:val="auto"/>
        </w:rPr>
        <w:t xml:space="preserve">. Tenant shall have forty-eight (48) hours after the Effective Date of this Lease to decide if it would like Landlord to supply and install Item 2 on </w:t>
      </w:r>
      <w:r>
        <w:rPr>
          <w:rFonts w:ascii="Arial" w:cs="Arial" w:eastAsia="Arial" w:hAnsi="Arial"/>
          <w:sz w:val="17"/>
          <w:szCs w:val="17"/>
          <w:u w:val="single" w:color="auto"/>
          <w:color w:val="auto"/>
        </w:rPr>
        <w:t>Exhibit C-2</w:t>
      </w:r>
      <w:r>
        <w:rPr>
          <w:rFonts w:ascii="Arial" w:cs="Arial" w:eastAsia="Arial" w:hAnsi="Arial"/>
          <w:sz w:val="17"/>
          <w:szCs w:val="17"/>
          <w:color w:val="auto"/>
        </w:rPr>
        <w:t xml:space="preserve">. If Tenant elects to have Landlord supply and install Item 2 on </w:t>
      </w:r>
      <w:r>
        <w:rPr>
          <w:rFonts w:ascii="Arial" w:cs="Arial" w:eastAsia="Arial" w:hAnsi="Arial"/>
          <w:sz w:val="17"/>
          <w:szCs w:val="17"/>
          <w:u w:val="single" w:color="auto"/>
          <w:color w:val="auto"/>
        </w:rPr>
        <w:t>Exhibit C-2</w:t>
      </w:r>
      <w:r>
        <w:rPr>
          <w:rFonts w:ascii="Arial" w:cs="Arial" w:eastAsia="Arial" w:hAnsi="Arial"/>
          <w:sz w:val="17"/>
          <w:szCs w:val="17"/>
          <w:color w:val="auto"/>
        </w:rPr>
        <w:t xml:space="preserve">, Tenant acknowledges and agrees that it shall pay Landlord (simultaneously with making such election) an additional $22,112.00 for the cost of supply and installing Item 2 on </w:t>
      </w:r>
      <w:r>
        <w:rPr>
          <w:rFonts w:ascii="Arial" w:cs="Arial" w:eastAsia="Arial" w:hAnsi="Arial"/>
          <w:sz w:val="17"/>
          <w:szCs w:val="17"/>
          <w:u w:val="single" w:color="auto"/>
          <w:color w:val="auto"/>
        </w:rPr>
        <w:t>Exhibit C-2</w:t>
      </w:r>
      <w:r>
        <w:rPr>
          <w:rFonts w:ascii="Arial" w:cs="Arial" w:eastAsia="Arial" w:hAnsi="Arial"/>
          <w:sz w:val="17"/>
          <w:szCs w:val="17"/>
          <w:color w:val="auto"/>
        </w:rPr>
        <w:t xml:space="preserve">. Should Tenant fail to make such payment(s) as required herein, Landlord shall have all rights and remedies set forth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(Default) in addition to any and all other rights and remedies available to Landlord at law or in equity.</w:t>
      </w:r>
    </w:p>
    <w:p>
      <w:pPr>
        <w:spacing w:after="0" w:line="114" w:lineRule="exact"/>
        <w:rPr>
          <w:rFonts w:ascii="Arial" w:cs="Arial" w:eastAsia="Arial" w:hAnsi="Arial"/>
          <w:sz w:val="17"/>
          <w:szCs w:val="17"/>
          <w:color w:val="auto"/>
        </w:rPr>
      </w:pPr>
    </w:p>
    <w:p>
      <w:pPr>
        <w:ind w:left="5460" w:hanging="106"/>
        <w:spacing w:after="0"/>
        <w:tabs>
          <w:tab w:leader="none" w:pos="546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00"/>
          </w:cols>
          <w:pgMar w:left="440" w:top="273" w:right="459" w:bottom="1440" w:gutter="0" w:footer="0" w:header="0"/>
        </w:sectPr>
      </w:pPr>
    </w:p>
    <w:bookmarkStart w:id="577" w:name="page578"/>
    <w:bookmarkEnd w:id="577"/>
    <w:p>
      <w:pPr>
        <w:ind w:left="860" w:hanging="424"/>
        <w:spacing w:after="0"/>
        <w:tabs>
          <w:tab w:leader="none" w:pos="860"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Building Standard</w:t>
      </w:r>
      <w:r>
        <w:rPr>
          <w:rFonts w:ascii="Arial" w:cs="Arial" w:eastAsia="Arial" w:hAnsi="Arial"/>
          <w:sz w:val="18"/>
          <w:szCs w:val="18"/>
          <w:color w:val="auto"/>
        </w:rPr>
        <w:t>. Landlord shall perform all work (including, without limitation,</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Landlord’s Work and the Additional Work Items) in a good and workmanlike manner and in accordance with all applicable laws and other provisions of this Lease. Landlord shall perform Landlord’s Work in the manner and with the materials selected by Landlord as the standard for the Building subject to availability and Landlord’s right to select alternative types, models, brands, grades, designs, manufacturers and suppliers from time to time as the standard for the Building (“</w:t>
      </w:r>
      <w:r>
        <w:rPr>
          <w:rFonts w:ascii="Arial" w:cs="Arial" w:eastAsia="Arial" w:hAnsi="Arial"/>
          <w:sz w:val="16"/>
          <w:szCs w:val="16"/>
          <w:u w:val="single" w:color="auto"/>
          <w:color w:val="auto"/>
        </w:rPr>
        <w:t>Building Standard</w:t>
      </w:r>
      <w:r>
        <w:rPr>
          <w:rFonts w:ascii="Arial" w:cs="Arial" w:eastAsia="Arial" w:hAnsi="Arial"/>
          <w:sz w:val="16"/>
          <w:szCs w:val="16"/>
          <w:color w:val="auto"/>
        </w:rPr>
        <w:t>”). The building finish specifications (the “</w:t>
      </w:r>
      <w:r>
        <w:rPr>
          <w:rFonts w:ascii="Arial" w:cs="Arial" w:eastAsia="Arial" w:hAnsi="Arial"/>
          <w:sz w:val="16"/>
          <w:szCs w:val="16"/>
          <w:u w:val="single" w:color="auto"/>
          <w:color w:val="auto"/>
        </w:rPr>
        <w:t>Building Finish Specifications</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shall be deemed Building Standard for purposes of this Lease. If Tenant has not already done so, Tenant agrees to makes its finish selections for Landlord’s Work from the Building Finish Specifications within five (5) calendar days after the Effective Date of this Lease.</w:t>
      </w:r>
    </w:p>
    <w:p>
      <w:pPr>
        <w:spacing w:after="0" w:line="164" w:lineRule="exact"/>
        <w:rPr>
          <w:sz w:val="20"/>
          <w:szCs w:val="20"/>
          <w:color w:val="auto"/>
        </w:rPr>
      </w:pPr>
    </w:p>
    <w:p>
      <w:pPr>
        <w:ind w:right="60" w:firstLine="436"/>
        <w:spacing w:after="0" w:line="287" w:lineRule="auto"/>
        <w:tabs>
          <w:tab w:leader="none" w:pos="860" w:val="left"/>
        </w:tabs>
        <w:numPr>
          <w:ilvl w:val="0"/>
          <w:numId w:val="425"/>
        </w:numPr>
        <w:rPr>
          <w:rFonts w:ascii="Arial" w:cs="Arial" w:eastAsia="Arial" w:hAnsi="Arial"/>
          <w:sz w:val="16"/>
          <w:szCs w:val="16"/>
          <w:color w:val="auto"/>
        </w:rPr>
      </w:pPr>
      <w:r>
        <w:rPr>
          <w:rFonts w:ascii="Arial" w:cs="Arial" w:eastAsia="Arial" w:hAnsi="Arial"/>
          <w:sz w:val="16"/>
          <w:szCs w:val="16"/>
          <w:u w:val="single" w:color="auto"/>
          <w:color w:val="auto"/>
        </w:rPr>
        <w:t>Substantial Completion of Landlord’s Work and the Additional Work Items</w:t>
      </w:r>
      <w:r>
        <w:rPr>
          <w:rFonts w:ascii="Arial" w:cs="Arial" w:eastAsia="Arial" w:hAnsi="Arial"/>
          <w:sz w:val="16"/>
          <w:szCs w:val="16"/>
          <w:color w:val="auto"/>
        </w:rPr>
        <w:t>. Landlord’s Work and the Additional Work Items shall be deemed “</w:t>
      </w:r>
      <w:r>
        <w:rPr>
          <w:rFonts w:ascii="Arial" w:cs="Arial" w:eastAsia="Arial" w:hAnsi="Arial"/>
          <w:sz w:val="16"/>
          <w:szCs w:val="16"/>
          <w:u w:val="single" w:color="auto"/>
          <w:color w:val="auto"/>
        </w:rPr>
        <w:t>Substantially Complete</w:t>
      </w:r>
      <w:r>
        <w:rPr>
          <w:rFonts w:ascii="Arial" w:cs="Arial" w:eastAsia="Arial" w:hAnsi="Arial"/>
          <w:sz w:val="16"/>
          <w:szCs w:val="16"/>
          <w:color w:val="auto"/>
        </w:rPr>
        <w:t>” when (1) Landlord’s construction representative confirms that Landlord’s Work and the Additional Work Items have been completed in accordance with the Work Letter and the Concept Plan, Punchlist Items (as hereinafter defined) excepted and (2) Landlord has obtained a certificate of occupancy (or temporary certificate of occupancy) as necessary for Tenant to occupy the Premises for the Permitted Use. Subject to delays due to events of Force Majeure (as hereinafter defined), Extra Work (as hereinafter defined), or Tenant Delay (as hereinafter defined), Landlord shall use commercially reasonable efforts to complete Landlord’s Work and the Additional Work Items on or before August 1, 2015, but Tenant shall have no claim against Landlord for failure to complete Landlord’s Work and the Additional Work Items by such date. Notwithstanding the foregoing, in the event Landlord fails to deliver the Premises with Landlord’s Work and the Additional Work Items Substantially Complete on or before September 1, 2015 (except for delays due to events of Force Majeure, Extra Work, or Tenant Delay), then Landlord shall provide Tenant with a credit of one (1) day’s Base Rent for each day after September 1, 2015 until the Commencement Date occurs. The foregoing credit shall be applied on a day-for-day basis beginning immediately after the Rent Abatement Period and shall be in addition to the Rent Abatement (as hereinafter defined).</w:t>
      </w:r>
    </w:p>
    <w:p>
      <w:pPr>
        <w:spacing w:after="0" w:line="171" w:lineRule="exact"/>
        <w:rPr>
          <w:rFonts w:ascii="Arial" w:cs="Arial" w:eastAsia="Arial" w:hAnsi="Arial"/>
          <w:sz w:val="16"/>
          <w:szCs w:val="16"/>
          <w:color w:val="auto"/>
        </w:rPr>
      </w:pPr>
    </w:p>
    <w:p>
      <w:pPr>
        <w:ind w:firstLine="436"/>
        <w:spacing w:after="0" w:line="286" w:lineRule="auto"/>
        <w:tabs>
          <w:tab w:leader="none" w:pos="870" w:val="left"/>
        </w:tabs>
        <w:numPr>
          <w:ilvl w:val="0"/>
          <w:numId w:val="425"/>
        </w:numPr>
        <w:rPr>
          <w:rFonts w:ascii="Arial" w:cs="Arial" w:eastAsia="Arial" w:hAnsi="Arial"/>
          <w:sz w:val="16"/>
          <w:szCs w:val="16"/>
          <w:color w:val="auto"/>
        </w:rPr>
      </w:pPr>
      <w:r>
        <w:rPr>
          <w:rFonts w:ascii="Arial" w:cs="Arial" w:eastAsia="Arial" w:hAnsi="Arial"/>
          <w:sz w:val="16"/>
          <w:szCs w:val="16"/>
          <w:u w:val="single" w:color="auto"/>
          <w:color w:val="auto"/>
        </w:rPr>
        <w:t>Extra Work</w:t>
      </w:r>
      <w:r>
        <w:rPr>
          <w:rFonts w:ascii="Arial" w:cs="Arial" w:eastAsia="Arial" w:hAnsi="Arial"/>
          <w:sz w:val="16"/>
          <w:szCs w:val="16"/>
          <w:color w:val="auto"/>
        </w:rPr>
        <w:t>. If (1) Tenant wants to make any changes to the Work Letter, the Concept Plan, or the Additional Work Items, or (2) Tenant wants Landlord to perform or supply any additional work or non-Building Standard work, installations, materials or finishes over and above, or in lieu of, Landlord’s Work (each, “</w:t>
      </w:r>
      <w:r>
        <w:rPr>
          <w:rFonts w:ascii="Arial" w:cs="Arial" w:eastAsia="Arial" w:hAnsi="Arial"/>
          <w:sz w:val="16"/>
          <w:szCs w:val="16"/>
          <w:u w:val="single" w:color="auto"/>
          <w:color w:val="auto"/>
        </w:rPr>
        <w:t>Extra Work</w:t>
      </w:r>
      <w:r>
        <w:rPr>
          <w:rFonts w:ascii="Arial" w:cs="Arial" w:eastAsia="Arial" w:hAnsi="Arial"/>
          <w:sz w:val="16"/>
          <w:szCs w:val="16"/>
          <w:color w:val="auto"/>
        </w:rPr>
        <w:t>”), Tenant (at Tenant’s sole cost and expense) shall submit to Landlord all information, plans and specifications necessary for Landlord to review the Extra Work (the “</w:t>
      </w:r>
      <w:r>
        <w:rPr>
          <w:rFonts w:ascii="Arial" w:cs="Arial" w:eastAsia="Arial" w:hAnsi="Arial"/>
          <w:sz w:val="16"/>
          <w:szCs w:val="16"/>
          <w:u w:val="single" w:color="auto"/>
          <w:color w:val="auto"/>
        </w:rPr>
        <w:t>Change Request</w:t>
      </w:r>
      <w:r>
        <w:rPr>
          <w:rFonts w:ascii="Arial" w:cs="Arial" w:eastAsia="Arial" w:hAnsi="Arial"/>
          <w:sz w:val="16"/>
          <w:szCs w:val="16"/>
          <w:color w:val="auto"/>
        </w:rPr>
        <w:t xml:space="preserve">”), the approval of which Landlord agrees not to unreasonably withhold, condition or delay; provided, however, that any approved Change Request shall be completed at Tenant’s sole cost and expense and subject to the terms and conditions of this </w:t>
      </w:r>
      <w:r>
        <w:rPr>
          <w:rFonts w:ascii="Arial" w:cs="Arial" w:eastAsia="Arial" w:hAnsi="Arial"/>
          <w:sz w:val="16"/>
          <w:szCs w:val="16"/>
          <w:u w:val="single" w:color="auto"/>
          <w:color w:val="auto"/>
        </w:rPr>
        <w:t>Section 3.1(D)</w:t>
      </w:r>
      <w:r>
        <w:rPr>
          <w:rFonts w:ascii="Arial" w:cs="Arial" w:eastAsia="Arial" w:hAnsi="Arial"/>
          <w:sz w:val="16"/>
          <w:szCs w:val="16"/>
          <w:color w:val="auto"/>
        </w:rPr>
        <w:t>. Prior to commencing any Extra Work related to the approved Change Request, Landlord shall submit to Tenant a written statement of the cost of such Extra Work and a proposed tenant change order therefor (the “</w:t>
      </w:r>
      <w:r>
        <w:rPr>
          <w:rFonts w:ascii="Arial" w:cs="Arial" w:eastAsia="Arial" w:hAnsi="Arial"/>
          <w:sz w:val="16"/>
          <w:szCs w:val="16"/>
          <w:u w:val="single" w:color="auto"/>
          <w:color w:val="auto"/>
        </w:rPr>
        <w:t>Change Order</w:t>
      </w:r>
      <w:r>
        <w:rPr>
          <w:rFonts w:ascii="Arial" w:cs="Arial" w:eastAsia="Arial" w:hAnsi="Arial"/>
          <w:sz w:val="16"/>
          <w:szCs w:val="16"/>
          <w:color w:val="auto"/>
        </w:rPr>
        <w:t>”) in the standard form then in use by Landlord. Tenant shall execute and deliver to Landlord the Change Order, along with payment for the entire cost of the Extra Work. Costs related to approved Change Requests and Change Orders shall include, without limitation, any architectural and design fees, Landlord’s construction fee for overhead and profit, the cost of all on-site supervisory and administrative staff and services rendered by Landlord and/or Landlord’s consultants, and the general contractor’s price for effecting the change. If Tenant fails to execute and deliver to Landlord the Change Order, along with payment for the entire cost of the Extra Work, then Landlord shall not be obligated to do any additional work related to the approved Change Request and/or Change Order, and Landlord may proceed to perform only the work as described in the Lease and the Exhibits attached hereto. Any and all Extra Work shall include a construction management fee equal to five percent (5%) of the cost of such Extra Work.</w:t>
      </w:r>
    </w:p>
    <w:p>
      <w:pPr>
        <w:spacing w:after="0" w:line="170" w:lineRule="exact"/>
        <w:rPr>
          <w:rFonts w:ascii="Arial" w:cs="Arial" w:eastAsia="Arial" w:hAnsi="Arial"/>
          <w:sz w:val="16"/>
          <w:szCs w:val="16"/>
          <w:color w:val="auto"/>
        </w:rPr>
      </w:pPr>
    </w:p>
    <w:p>
      <w:pPr>
        <w:ind w:firstLine="436"/>
        <w:spacing w:after="0" w:line="301" w:lineRule="auto"/>
        <w:tabs>
          <w:tab w:leader="none" w:pos="850" w:val="left"/>
        </w:tabs>
        <w:numPr>
          <w:ilvl w:val="0"/>
          <w:numId w:val="425"/>
        </w:numPr>
        <w:rPr>
          <w:rFonts w:ascii="Arial" w:cs="Arial" w:eastAsia="Arial" w:hAnsi="Arial"/>
          <w:sz w:val="16"/>
          <w:szCs w:val="16"/>
          <w:color w:val="auto"/>
        </w:rPr>
      </w:pPr>
      <w:r>
        <w:rPr>
          <w:rFonts w:ascii="Arial" w:cs="Arial" w:eastAsia="Arial" w:hAnsi="Arial"/>
          <w:sz w:val="16"/>
          <w:szCs w:val="16"/>
          <w:u w:val="single" w:color="auto"/>
          <w:color w:val="auto"/>
        </w:rPr>
        <w:t>Consequences of Extra Work</w:t>
      </w:r>
      <w:r>
        <w:rPr>
          <w:rFonts w:ascii="Arial" w:cs="Arial" w:eastAsia="Arial" w:hAnsi="Arial"/>
          <w:sz w:val="16"/>
          <w:szCs w:val="16"/>
          <w:color w:val="auto"/>
        </w:rPr>
        <w:t>. Notwithstanding anything contained herein or elsewhere in this Lease to the contrary, if there is any increase in Landlord’s cost for Landlord’s Work as a result of the Extra Work or if Landlord is delayed in substantial completion of Landlord’s Work as a result of the Extra Work, then (1) Tenant shall be responsible for the actual reasonable increase in Landlord’s cost for Landlord’s Work, and (2) the Commencement Date shall be deemed to be the date on which Landlord’s Work would have been Substantially Complete but for the Extra Work.</w:t>
      </w:r>
    </w:p>
    <w:p>
      <w:pPr>
        <w:spacing w:after="0" w:line="157" w:lineRule="exact"/>
        <w:rPr>
          <w:rFonts w:ascii="Arial" w:cs="Arial" w:eastAsia="Arial" w:hAnsi="Arial"/>
          <w:sz w:val="16"/>
          <w:szCs w:val="16"/>
          <w:color w:val="auto"/>
        </w:rPr>
      </w:pPr>
    </w:p>
    <w:p>
      <w:pPr>
        <w:ind w:right="420" w:firstLine="436"/>
        <w:spacing w:after="0" w:line="277" w:lineRule="auto"/>
        <w:tabs>
          <w:tab w:leader="none" w:pos="840"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Tenant Delay</w:t>
      </w:r>
      <w:r>
        <w:rPr>
          <w:rFonts w:ascii="Arial" w:cs="Arial" w:eastAsia="Arial" w:hAnsi="Arial"/>
          <w:sz w:val="18"/>
          <w:szCs w:val="18"/>
          <w:color w:val="auto"/>
        </w:rPr>
        <w:t>. A “</w:t>
      </w:r>
      <w:r>
        <w:rPr>
          <w:rFonts w:ascii="Arial" w:cs="Arial" w:eastAsia="Arial" w:hAnsi="Arial"/>
          <w:sz w:val="18"/>
          <w:szCs w:val="18"/>
          <w:u w:val="single" w:color="auto"/>
          <w:color w:val="auto"/>
        </w:rPr>
        <w:t>Tenant Delay</w:t>
      </w:r>
      <w:r>
        <w:rPr>
          <w:rFonts w:ascii="Arial" w:cs="Arial" w:eastAsia="Arial" w:hAnsi="Arial"/>
          <w:sz w:val="18"/>
          <w:szCs w:val="18"/>
          <w:color w:val="auto"/>
        </w:rPr>
        <w:t>” shall be defined as any act or omission by Tenant or Tenant’s agents, employees, contractors, servants, licensees and invitees (“</w:t>
      </w:r>
      <w:r>
        <w:rPr>
          <w:rFonts w:ascii="Arial" w:cs="Arial" w:eastAsia="Arial" w:hAnsi="Arial"/>
          <w:sz w:val="18"/>
          <w:szCs w:val="18"/>
          <w:u w:val="single" w:color="auto"/>
          <w:color w:val="auto"/>
        </w:rPr>
        <w:t>Tenant’s Agents</w:t>
      </w:r>
      <w:r>
        <w:rPr>
          <w:rFonts w:ascii="Arial" w:cs="Arial" w:eastAsia="Arial" w:hAnsi="Arial"/>
          <w:sz w:val="18"/>
          <w:szCs w:val="18"/>
          <w:color w:val="auto"/>
        </w:rPr>
        <w:t>”) which</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20"/>
          </w:cols>
          <w:pgMar w:left="440" w:top="273" w:right="439" w:bottom="1440" w:gutter="0" w:footer="0" w:header="0"/>
        </w:sectPr>
      </w:pPr>
    </w:p>
    <w:bookmarkStart w:id="578" w:name="page579"/>
    <w:bookmarkEnd w:id="578"/>
    <w:p>
      <w:pPr>
        <w:jc w:val="both"/>
        <w:ind w:left="4"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causes an actual delay in the performance of Landlord’s Work (including, without limitation, Tenant’s failure to comply with any of the delivery dates or approval dates required relative to the design, planning and selection of finishes for Landlord’s Work). Notwithstanding the foregoing, no event shall be deemed to be a Tenant Delay unless and until Landlord has given Tenant notice (the “</w:t>
      </w:r>
      <w:r>
        <w:rPr>
          <w:rFonts w:ascii="Arial" w:cs="Arial" w:eastAsia="Arial" w:hAnsi="Arial"/>
          <w:sz w:val="16"/>
          <w:szCs w:val="16"/>
          <w:u w:val="single" w:color="auto"/>
          <w:color w:val="auto"/>
        </w:rPr>
        <w:t>Tenant Deiay Notice</w:t>
      </w:r>
      <w:r>
        <w:rPr>
          <w:rFonts w:ascii="Arial" w:cs="Arial" w:eastAsia="Arial" w:hAnsi="Arial"/>
          <w:sz w:val="16"/>
          <w:szCs w:val="16"/>
          <w:color w:val="auto"/>
        </w:rPr>
        <w:t>”), which may be oral, advising Tenant:</w:t>
      </w:r>
    </w:p>
    <w:p>
      <w:pPr>
        <w:spacing w:after="0" w:line="2" w:lineRule="exact"/>
        <w:rPr>
          <w:sz w:val="20"/>
          <w:szCs w:val="20"/>
          <w:color w:val="auto"/>
        </w:rPr>
      </w:pPr>
    </w:p>
    <w:p>
      <w:pPr>
        <w:ind w:left="4" w:right="120" w:hanging="4"/>
        <w:spacing w:after="0" w:line="253" w:lineRule="auto"/>
        <w:tabs>
          <w:tab w:leader="none" w:pos="259"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that a Tenant Delay is occurring, (2) of the basis on which Landlord has determined that a Tenant Delay is occurring, and (3) the actions which Landlord believes that Tenant must take to eliminate such Tenant Delay and Tenant has failed to correct the Tenant Delay specified in the Tenant Delay Notice within forty-eight (48) hours following receipt of the Tenant Delay Notice. No period of time prior to the expiration of the cure period shall be included in the period of time charged to Tenant pursuant to such Tenant Delay Notice.</w:t>
      </w:r>
    </w:p>
    <w:p>
      <w:pPr>
        <w:spacing w:after="0" w:line="192" w:lineRule="exact"/>
        <w:rPr>
          <w:rFonts w:ascii="Arial" w:cs="Arial" w:eastAsia="Arial" w:hAnsi="Arial"/>
          <w:sz w:val="18"/>
          <w:szCs w:val="18"/>
          <w:color w:val="auto"/>
        </w:rPr>
      </w:pPr>
    </w:p>
    <w:p>
      <w:pPr>
        <w:ind w:left="4" w:firstLine="436"/>
        <w:spacing w:after="0" w:line="301" w:lineRule="auto"/>
        <w:tabs>
          <w:tab w:leader="none" w:pos="874" w:val="left"/>
        </w:tabs>
        <w:numPr>
          <w:ilvl w:val="1"/>
          <w:numId w:val="426"/>
        </w:numPr>
        <w:rPr>
          <w:rFonts w:ascii="Arial" w:cs="Arial" w:eastAsia="Arial" w:hAnsi="Arial"/>
          <w:sz w:val="16"/>
          <w:szCs w:val="16"/>
          <w:color w:val="auto"/>
        </w:rPr>
      </w:pPr>
      <w:r>
        <w:rPr>
          <w:rFonts w:ascii="Arial" w:cs="Arial" w:eastAsia="Arial" w:hAnsi="Arial"/>
          <w:sz w:val="16"/>
          <w:szCs w:val="16"/>
          <w:u w:val="single" w:color="auto"/>
          <w:color w:val="auto"/>
        </w:rPr>
        <w:t>Consequences of Tenant Delay</w:t>
      </w:r>
      <w:r>
        <w:rPr>
          <w:rFonts w:ascii="Arial" w:cs="Arial" w:eastAsia="Arial" w:hAnsi="Arial"/>
          <w:sz w:val="16"/>
          <w:szCs w:val="16"/>
          <w:color w:val="auto"/>
        </w:rPr>
        <w:t>. Notwithstanding anything contained herein or elsewhere in this Lease to the contrary, if there is any increase in Landlord’s cost for Landlord’s Work as a result of a Tenant Delay or if Landlord is delayed in substantial completion of Landlord’s Work as a result of a Tenant Delay, then (1) Tenant shall be responsible for the actual reasonable increase in Landlord’s cost for Landlord’s Work, and (2) the Commencement Date shall be deemed to be the date on which Landlord’s Work would have been Substantially Complete but for the Tenant Delay.</w:t>
      </w:r>
    </w:p>
    <w:p>
      <w:pPr>
        <w:spacing w:after="0" w:line="157" w:lineRule="exact"/>
        <w:rPr>
          <w:rFonts w:ascii="Arial" w:cs="Arial" w:eastAsia="Arial" w:hAnsi="Arial"/>
          <w:sz w:val="16"/>
          <w:szCs w:val="16"/>
          <w:color w:val="auto"/>
        </w:rPr>
      </w:pPr>
    </w:p>
    <w:p>
      <w:pPr>
        <w:ind w:left="4" w:right="140" w:firstLine="436"/>
        <w:spacing w:after="0" w:line="301" w:lineRule="auto"/>
        <w:tabs>
          <w:tab w:leader="none" w:pos="874" w:val="left"/>
        </w:tabs>
        <w:numPr>
          <w:ilvl w:val="1"/>
          <w:numId w:val="426"/>
        </w:numPr>
        <w:rPr>
          <w:rFonts w:ascii="Arial" w:cs="Arial" w:eastAsia="Arial" w:hAnsi="Arial"/>
          <w:sz w:val="16"/>
          <w:szCs w:val="16"/>
          <w:color w:val="auto"/>
        </w:rPr>
      </w:pPr>
      <w:r>
        <w:rPr>
          <w:rFonts w:ascii="Arial" w:cs="Arial" w:eastAsia="Arial" w:hAnsi="Arial"/>
          <w:sz w:val="16"/>
          <w:szCs w:val="16"/>
          <w:u w:val="single" w:color="auto"/>
          <w:color w:val="auto"/>
        </w:rPr>
        <w:t>Punchlist Items</w:t>
      </w:r>
      <w:r>
        <w:rPr>
          <w:rFonts w:ascii="Arial" w:cs="Arial" w:eastAsia="Arial" w:hAnsi="Arial"/>
          <w:sz w:val="16"/>
          <w:szCs w:val="16"/>
          <w:color w:val="auto"/>
        </w:rPr>
        <w:t>. Promptly following delivery of the Premises to Tenant with Landlord’s Work with respect thereto Substantially Complete, Landlord, Tenant and their respective construction representatives shall inspect the Premises and prepare a list (the “</w:t>
      </w:r>
      <w:r>
        <w:rPr>
          <w:rFonts w:ascii="Arial" w:cs="Arial" w:eastAsia="Arial" w:hAnsi="Arial"/>
          <w:sz w:val="16"/>
          <w:szCs w:val="16"/>
          <w:u w:val="single" w:color="auto"/>
          <w:color w:val="auto"/>
        </w:rPr>
        <w:t>Punchlist</w:t>
      </w:r>
      <w:r>
        <w:rPr>
          <w:rFonts w:ascii="Arial" w:cs="Arial" w:eastAsia="Arial" w:hAnsi="Arial"/>
          <w:sz w:val="16"/>
          <w:szCs w:val="16"/>
          <w:color w:val="auto"/>
        </w:rPr>
        <w:t>”) of outstanding items which need to be completed to make Landlord’s Work comply with the Work Letter (the “</w:t>
      </w:r>
      <w:r>
        <w:rPr>
          <w:rFonts w:ascii="Arial" w:cs="Arial" w:eastAsia="Arial" w:hAnsi="Arial"/>
          <w:sz w:val="16"/>
          <w:szCs w:val="16"/>
          <w:u w:val="single" w:color="auto"/>
          <w:color w:val="auto"/>
        </w:rPr>
        <w:t>Punchlist Items</w:t>
      </w:r>
      <w:r>
        <w:rPr>
          <w:rFonts w:ascii="Arial" w:cs="Arial" w:eastAsia="Arial" w:hAnsi="Arial"/>
          <w:sz w:val="16"/>
          <w:szCs w:val="16"/>
          <w:color w:val="auto"/>
        </w:rPr>
        <w:t>”). Subject to delays due to events of Force Majeure, Extra Work, or Tenant Delay, Landlord shall complete all Punchlist Items within sixty (60) days of the date of the Punchlist.</w:t>
      </w:r>
    </w:p>
    <w:p>
      <w:pPr>
        <w:spacing w:after="0" w:line="157"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Tenant’s Systems</w:t>
      </w:r>
      <w:r>
        <w:rPr>
          <w:rFonts w:ascii="Arial" w:cs="Arial" w:eastAsia="Arial" w:hAnsi="Arial"/>
          <w:sz w:val="17"/>
          <w:szCs w:val="17"/>
          <w:color w:val="auto"/>
        </w:rPr>
        <w:t>. Landlord agrees to allow Tenant access to the Premises (at the sole risk of Tenant and without liability to Landlord) fourteen (14) days prior to the Commencement Date for the sole purpose of installing (A) Tenant’s data, telephone, audio-visual, security cameras, special Premises access systems, internet and video systems and the related wiring within the Building necessary for the operation thereof (“</w:t>
      </w:r>
      <w:r>
        <w:rPr>
          <w:rFonts w:ascii="Arial" w:cs="Arial" w:eastAsia="Arial" w:hAnsi="Arial"/>
          <w:sz w:val="17"/>
          <w:szCs w:val="17"/>
          <w:u w:val="single" w:color="auto"/>
          <w:color w:val="auto"/>
        </w:rPr>
        <w:t>Tenant’s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Communications Systems</w:t>
      </w:r>
      <w:r>
        <w:rPr>
          <w:rFonts w:ascii="Arial" w:cs="Arial" w:eastAsia="Arial" w:hAnsi="Arial"/>
          <w:sz w:val="17"/>
          <w:szCs w:val="17"/>
          <w:color w:val="auto"/>
        </w:rPr>
        <w:t>”) and (B) Tenant’s furniture systems (“</w:t>
      </w:r>
      <w:r>
        <w:rPr>
          <w:rFonts w:ascii="Arial" w:cs="Arial" w:eastAsia="Arial" w:hAnsi="Arial"/>
          <w:sz w:val="17"/>
          <w:szCs w:val="17"/>
          <w:u w:val="single" w:color="auto"/>
          <w:color w:val="auto"/>
        </w:rPr>
        <w:t>Tenant’s Furniture Systems</w:t>
      </w:r>
      <w:r>
        <w:rPr>
          <w:rFonts w:ascii="Arial" w:cs="Arial" w:eastAsia="Arial" w:hAnsi="Arial"/>
          <w:sz w:val="17"/>
          <w:szCs w:val="17"/>
          <w:color w:val="auto"/>
        </w:rPr>
        <w:t>”) ((A) and (B) collectively, “</w:t>
      </w:r>
      <w:r>
        <w:rPr>
          <w:rFonts w:ascii="Arial" w:cs="Arial" w:eastAsia="Arial" w:hAnsi="Arial"/>
          <w:sz w:val="17"/>
          <w:szCs w:val="17"/>
          <w:u w:val="single" w:color="auto"/>
          <w:color w:val="auto"/>
        </w:rPr>
        <w:t>Tenant’s Systems</w:t>
      </w:r>
      <w:r>
        <w:rPr>
          <w:rFonts w:ascii="Arial" w:cs="Arial" w:eastAsia="Arial" w:hAnsi="Arial"/>
          <w:sz w:val="17"/>
          <w:szCs w:val="17"/>
          <w:color w:val="auto"/>
        </w:rPr>
        <w:t xml:space="preserve">”). If Tenant, with Landlord’s prior written approval, takes possession of the Premises prior to the Commencement Date, such possession shall be subject to all of the terms, covenants and conditions of this Lease, except that Tenant shall not be required to pay Base Rent and Additional Rent with respect to the period of time prior to the Commencement Date; provided, however, that Tenant shall be liable for the cost of electricity provided to Tenant during the period of Tenant’s possession prior to the Commencement Date in accordance with, and subject to the terms, covenants and conditions of,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this Lease. Tenant acknowledges and agrees that the design plans and specifications for Tenant’s Communications Systems, and its locations and connections from within the Premises to the Building risers, conduits and systems shall be subject to Landlord’s prior written approval not to be unreasonably withheld, conditioned or delayed. Tenant shall provide Landlord with reasonable prior written notice of any construction work relating to Tenant’s Systems that involves any Building Systems (as hereinafter defined), and all such work shall be coordinated with Landlord and subject to Landlord supervision.</w:t>
      </w:r>
    </w:p>
    <w:p>
      <w:pPr>
        <w:spacing w:after="0" w:line="186" w:lineRule="exact"/>
        <w:rPr>
          <w:sz w:val="20"/>
          <w:szCs w:val="20"/>
          <w:color w:val="auto"/>
        </w:rPr>
      </w:pPr>
    </w:p>
    <w:p>
      <w:pPr>
        <w:ind w:left="4" w:right="80" w:firstLine="440"/>
        <w:spacing w:after="0" w:line="301" w:lineRule="auto"/>
        <w:rPr>
          <w:sz w:val="20"/>
          <w:szCs w:val="20"/>
          <w:color w:val="auto"/>
        </w:rPr>
      </w:pPr>
      <w:r>
        <w:rPr>
          <w:rFonts w:ascii="Arial" w:cs="Arial" w:eastAsia="Arial" w:hAnsi="Arial"/>
          <w:sz w:val="16"/>
          <w:szCs w:val="16"/>
          <w:u w:val="single" w:color="auto"/>
          <w:color w:val="auto"/>
        </w:rPr>
        <w:t>3.3 Quality and Performance of Work</w:t>
      </w:r>
      <w:r>
        <w:rPr>
          <w:rFonts w:ascii="Arial" w:cs="Arial" w:eastAsia="Arial" w:hAnsi="Arial"/>
          <w:sz w:val="16"/>
          <w:szCs w:val="16"/>
          <w:color w:val="auto"/>
        </w:rPr>
        <w:t>. All work performed by Tenant under this Lease, whether constituting part of Tenant’s Systems or Alterations (as hereinafter defined), shall be done in a good and workmanlike manner, by contractors reasonably approved by Landlord, and in compliance with all applicable laws, Rules and Regulations, and other provisions (including, without limitation, insurance provisions) of this Lease. All work shall be coordinated with any work being performed by or for Landlord, and in such a manner as to maintain harmonious labor relations.</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4. TERM; FORM OF COMMENCEMENT DATE CERTIFICATE</w:t>
      </w:r>
      <w:r>
        <w:rPr>
          <w:rFonts w:ascii="Arial" w:cs="Arial" w:eastAsia="Arial" w:hAnsi="Arial"/>
          <w:sz w:val="18"/>
          <w:szCs w:val="18"/>
          <w:color w:val="auto"/>
        </w:rPr>
        <w:t>.</w:t>
      </w:r>
    </w:p>
    <w:p>
      <w:pPr>
        <w:spacing w:after="0" w:line="117" w:lineRule="exact"/>
        <w:rPr>
          <w:sz w:val="20"/>
          <w:szCs w:val="20"/>
          <w:color w:val="auto"/>
        </w:rPr>
      </w:pPr>
    </w:p>
    <w:p>
      <w:pPr>
        <w:ind w:left="4" w:right="40"/>
        <w:spacing w:after="0" w:line="286" w:lineRule="auto"/>
        <w:rPr>
          <w:sz w:val="20"/>
          <w:szCs w:val="20"/>
          <w:color w:val="auto"/>
        </w:rPr>
      </w:pPr>
      <w:r>
        <w:rPr>
          <w:rFonts w:ascii="Arial" w:cs="Arial" w:eastAsia="Arial" w:hAnsi="Arial"/>
          <w:sz w:val="17"/>
          <w:szCs w:val="17"/>
          <w:color w:val="auto"/>
        </w:rPr>
        <w:t xml:space="preserve">The Term shall be as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above. When the Commencement Date and the Expiration Date have been determined in accordance with the provisions set forth in this Lease, the parties hereto shall execute an instrument,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w:t>
      </w:r>
      <w:r>
        <w:rPr>
          <w:rFonts w:ascii="Arial" w:cs="Arial" w:eastAsia="Arial" w:hAnsi="Arial"/>
          <w:sz w:val="17"/>
          <w:szCs w:val="17"/>
          <w:u w:val="single" w:color="auto"/>
          <w:color w:val="auto"/>
        </w:rPr>
        <w:t>Form of Commencement Date Certificate</w:t>
      </w:r>
      <w:r>
        <w:rPr>
          <w:rFonts w:ascii="Arial" w:cs="Arial" w:eastAsia="Arial" w:hAnsi="Arial"/>
          <w:sz w:val="17"/>
          <w:szCs w:val="17"/>
          <w:color w:val="auto"/>
        </w:rPr>
        <w:t>) attached hereto, setting forth such dates and said instrument shall be deemed a supplement to and part of this Lease.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4"/>
          </w:cols>
          <w:pgMar w:left="436" w:top="273" w:right="459" w:bottom="1440" w:gutter="0" w:footer="0" w:header="0"/>
        </w:sectPr>
      </w:pPr>
    </w:p>
    <w:bookmarkStart w:id="579" w:name="page580"/>
    <w:bookmarkEnd w:id="579"/>
    <w:p>
      <w:pPr>
        <w:spacing w:after="0"/>
        <w:tabs>
          <w:tab w:leader="none" w:pos="110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w:t>
      </w:r>
      <w:r>
        <w:rPr>
          <w:sz w:val="20"/>
          <w:szCs w:val="20"/>
          <w:color w:val="auto"/>
        </w:rPr>
        <w:tab/>
      </w:r>
      <w:r>
        <w:rPr>
          <w:rFonts w:ascii="Arial" w:cs="Arial" w:eastAsia="Arial" w:hAnsi="Arial"/>
          <w:sz w:val="16"/>
          <w:szCs w:val="16"/>
          <w:u w:val="single" w:color="auto"/>
          <w:color w:val="auto"/>
        </w:rPr>
        <w:t>USE</w:t>
      </w:r>
      <w:r>
        <w:rPr>
          <w:rFonts w:ascii="Arial" w:cs="Arial" w:eastAsia="Arial" w:hAnsi="Arial"/>
          <w:sz w:val="16"/>
          <w:szCs w:val="16"/>
          <w:color w:val="auto"/>
        </w:rPr>
        <w:t>.</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Tenant shall use the Premises for the Permitted Use as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above. Tenant shall not use or occupy, or permit the use or occupancy of, the Premises or any part thereof for any use other than the Permitted Use or in any illegal manner, or in any manner that, in Landlord’s judgment, would adversely affect or interfere with any services required to be furnished by Landlord to Tenant or to any other tenant or occupant of the Building, or with the proper and economical rendition of any such service, or with the use and enjoyment of any part of the Building by any other tenant or occupant. Tenant agrees that it will not exceed the maximum floor bearing capacity for the Premises in accordance with Section 8 of this Lease.</w:t>
      </w:r>
    </w:p>
    <w:p>
      <w:pPr>
        <w:spacing w:after="0" w:line="26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auto"/>
        </w:rPr>
        <w:t>SECTION 6.</w:t>
      </w:r>
      <w:r>
        <w:rPr>
          <w:sz w:val="20"/>
          <w:szCs w:val="20"/>
          <w:color w:val="auto"/>
        </w:rPr>
        <w:tab/>
      </w:r>
      <w:r>
        <w:rPr>
          <w:rFonts w:ascii="Arial" w:cs="Arial" w:eastAsia="Arial" w:hAnsi="Arial"/>
          <w:sz w:val="17"/>
          <w:szCs w:val="17"/>
          <w:u w:val="single" w:color="auto"/>
          <w:color w:val="auto"/>
        </w:rPr>
        <w:t>BASE RENT AND ADDITIONAL RENT</w:t>
      </w:r>
      <w:r>
        <w:rPr>
          <w:rFonts w:ascii="Arial" w:cs="Arial" w:eastAsia="Arial" w:hAnsi="Arial"/>
          <w:sz w:val="17"/>
          <w:szCs w:val="17"/>
          <w:color w:val="auto"/>
        </w:rPr>
        <w:t>.</w:t>
      </w:r>
    </w:p>
    <w:p>
      <w:pPr>
        <w:spacing w:after="0" w:line="131" w:lineRule="exact"/>
        <w:rPr>
          <w:sz w:val="20"/>
          <w:szCs w:val="20"/>
          <w:color w:val="auto"/>
        </w:rPr>
      </w:pPr>
    </w:p>
    <w:p>
      <w:pPr>
        <w:ind w:left="960" w:hanging="532"/>
        <w:spacing w:after="0"/>
        <w:tabs>
          <w:tab w:leader="none" w:pos="960" w:val="left"/>
        </w:tabs>
        <w:numPr>
          <w:ilvl w:val="0"/>
          <w:numId w:val="427"/>
        </w:numPr>
        <w:rPr>
          <w:rFonts w:ascii="Arial" w:cs="Arial" w:eastAsia="Arial" w:hAnsi="Arial"/>
          <w:sz w:val="18"/>
          <w:szCs w:val="18"/>
          <w:color w:val="auto"/>
        </w:rPr>
      </w:pPr>
      <w:r>
        <w:rPr>
          <w:rFonts w:ascii="Arial" w:cs="Arial" w:eastAsia="Arial" w:hAnsi="Arial"/>
          <w:sz w:val="18"/>
          <w:szCs w:val="18"/>
          <w:u w:val="single" w:color="auto"/>
          <w:color w:val="auto"/>
        </w:rPr>
        <w:t>Payment of Base Rent and Additional Rent</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 xml:space="preserve">Ten ant shall pay the Base Rent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above in equal installments of one-twelfth (1/12) of the annual Base Rent in advance on the first day of each calendar month. Tenant shall pay a proportionate share of such monthly installment for any fraction of a calendar month that occurs at the beginning or end of the Term of this Lease. Tenant shall pay the full amount of all Base Rent and Additional Rent due hereunder and the full amount of all such other sums of money as shall become due under this Lease, all of which hereinafter may be collectively called “</w:t>
      </w:r>
      <w:r>
        <w:rPr>
          <w:rFonts w:ascii="Arial" w:cs="Arial" w:eastAsia="Arial" w:hAnsi="Arial"/>
          <w:sz w:val="17"/>
          <w:szCs w:val="17"/>
          <w:u w:val="single" w:color="auto"/>
          <w:color w:val="auto"/>
        </w:rPr>
        <w:t>Rent</w:t>
      </w:r>
      <w:r>
        <w:rPr>
          <w:rFonts w:ascii="Arial" w:cs="Arial" w:eastAsia="Arial" w:hAnsi="Arial"/>
          <w:sz w:val="17"/>
          <w:szCs w:val="17"/>
          <w:color w:val="auto"/>
        </w:rPr>
        <w:t>,” without demand or notice and without deduction, abatement, counterclaim, or set-off, to Landlord, at c/o Synergy Investments, 100 Franklin Street, Suite 200, Boston, Massachusetts 02110, or at such other place as designated from time to time by Landlord in writing. Landlord and Tenant hereby confirm that the Base Rent is not based on Tenant’s income or profit derived from the Premises.</w:t>
      </w:r>
    </w:p>
    <w:p>
      <w:pPr>
        <w:spacing w:after="0" w:line="177"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If Tenant fails to pay Base Rent or Additional Rent for five (5) calendar days after the date when due, Tenant shall pay a Two Hundred Fifty ($250.00) dollar penalty (“</w:t>
      </w:r>
      <w:r>
        <w:rPr>
          <w:rFonts w:ascii="Arial" w:cs="Arial" w:eastAsia="Arial" w:hAnsi="Arial"/>
          <w:sz w:val="18"/>
          <w:szCs w:val="18"/>
          <w:u w:val="single" w:color="auto"/>
          <w:color w:val="auto"/>
        </w:rPr>
        <w:t>Late Payment Penalty</w:t>
      </w:r>
      <w:r>
        <w:rPr>
          <w:rFonts w:ascii="Arial" w:cs="Arial" w:eastAsia="Arial" w:hAnsi="Arial"/>
          <w:sz w:val="18"/>
          <w:szCs w:val="18"/>
          <w:color w:val="auto"/>
        </w:rPr>
        <w:t>”) to Landlord. Additionally, Tenant shall pay interest at the annual rate of fifteen percent (15%) (the “</w:t>
      </w:r>
      <w:r>
        <w:rPr>
          <w:rFonts w:ascii="Arial" w:cs="Arial" w:eastAsia="Arial" w:hAnsi="Arial"/>
          <w:sz w:val="18"/>
          <w:szCs w:val="18"/>
          <w:u w:val="single" w:color="auto"/>
          <w:color w:val="auto"/>
        </w:rPr>
        <w:t>Late Payment Rate</w:t>
      </w:r>
      <w:r>
        <w:rPr>
          <w:rFonts w:ascii="Arial" w:cs="Arial" w:eastAsia="Arial" w:hAnsi="Arial"/>
          <w:sz w:val="18"/>
          <w:szCs w:val="18"/>
          <w:color w:val="auto"/>
        </w:rPr>
        <w:t>”) per month on unpaid Base Rent and Additional Rent from the date when due until paid. All other charges which Tenant is required to pay in accordance with this Lease, together with all interest and penalties that may accrue thereon, shall be deemed to be “</w:t>
      </w:r>
      <w:r>
        <w:rPr>
          <w:rFonts w:ascii="Arial" w:cs="Arial" w:eastAsia="Arial" w:hAnsi="Arial"/>
          <w:sz w:val="18"/>
          <w:szCs w:val="18"/>
          <w:u w:val="single" w:color="auto"/>
          <w:color w:val="auto"/>
        </w:rPr>
        <w:t>Additional Rent</w:t>
      </w:r>
      <w:r>
        <w:rPr>
          <w:rFonts w:ascii="Arial" w:cs="Arial" w:eastAsia="Arial" w:hAnsi="Arial"/>
          <w:sz w:val="18"/>
          <w:szCs w:val="18"/>
          <w:color w:val="auto"/>
        </w:rPr>
        <w:t>”, and in the event of non-payment thereof by Tenant, Landlord shall have all the rights and remedies as would accrue to Landlord for non-payment of Base Rent.</w:t>
      </w:r>
    </w:p>
    <w:p>
      <w:pPr>
        <w:spacing w:after="0" w:line="192"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Subject to the terms and conditions of this Lease, Tenant shall not be obligated to pay any Base Rent otherwise attributable to the Premises during the first two (2) months of the Term (the “</w:t>
      </w:r>
      <w:r>
        <w:rPr>
          <w:rFonts w:ascii="Arial" w:cs="Arial" w:eastAsia="Arial" w:hAnsi="Arial"/>
          <w:sz w:val="17"/>
          <w:szCs w:val="17"/>
          <w:u w:val="single" w:color="auto"/>
          <w:color w:val="auto"/>
        </w:rPr>
        <w:t>Rent Abatement Period</w:t>
      </w:r>
      <w:r>
        <w:rPr>
          <w:rFonts w:ascii="Arial" w:cs="Arial" w:eastAsia="Arial" w:hAnsi="Arial"/>
          <w:sz w:val="17"/>
          <w:szCs w:val="17"/>
          <w:color w:val="auto"/>
        </w:rPr>
        <w:t>”). Tenant acknowledges and agrees that the amount of the rent abatement equals $35,574.50 (two (2) months x $17,787.25 = $35,574.50) (the “</w:t>
      </w:r>
      <w:r>
        <w:rPr>
          <w:rFonts w:ascii="Arial" w:cs="Arial" w:eastAsia="Arial" w:hAnsi="Arial"/>
          <w:sz w:val="17"/>
          <w:szCs w:val="17"/>
          <w:u w:val="single" w:color="auto"/>
          <w:color w:val="auto"/>
        </w:rPr>
        <w:t>Rent Abatement</w:t>
      </w:r>
      <w:r>
        <w:rPr>
          <w:rFonts w:ascii="Arial" w:cs="Arial" w:eastAsia="Arial" w:hAnsi="Arial"/>
          <w:sz w:val="17"/>
          <w:szCs w:val="17"/>
          <w:color w:val="auto"/>
        </w:rPr>
        <w:t xml:space="preserve">”). Tenant acknowledges and agrees that the foregoing Rent Abatement has been granted to Tenant as additional consideration for entering into this Lease, and for agreeing to pay the rental and perform the terms and conditions otherwise required under this Lease. If, prior to the expiration of the Rent Abatement Period, Tenant shall be in an Event of Default under this Lease, beyond any applicable notice and cure period, then (i) from and after such Event of Default Tenant shall immediately be obligated to begin paying Base Rent for the Premises in full and (ii) Landlord shall have all rights and remedies set forth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(Default) in addition to any and all other rights and remedies available to Landlord at law or in equity.</w:t>
      </w:r>
    </w:p>
    <w:p>
      <w:pPr>
        <w:spacing w:after="0" w:line="205" w:lineRule="exact"/>
        <w:rPr>
          <w:sz w:val="20"/>
          <w:szCs w:val="20"/>
          <w:color w:val="auto"/>
        </w:rPr>
      </w:pPr>
    </w:p>
    <w:p>
      <w:pPr>
        <w:ind w:left="960" w:hanging="532"/>
        <w:spacing w:after="0"/>
        <w:tabs>
          <w:tab w:leader="none" w:pos="960"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436"/>
        <w:spacing w:after="0" w:line="342" w:lineRule="auto"/>
        <w:tabs>
          <w:tab w:leader="none" w:pos="1000" w:val="left"/>
        </w:tabs>
        <w:numPr>
          <w:ilvl w:val="0"/>
          <w:numId w:val="428"/>
        </w:numPr>
        <w:rPr>
          <w:rFonts w:ascii="Arial" w:cs="Arial" w:eastAsia="Arial" w:hAnsi="Arial"/>
          <w:sz w:val="16"/>
          <w:szCs w:val="16"/>
          <w:color w:val="auto"/>
        </w:rPr>
      </w:pPr>
      <w:r>
        <w:rPr>
          <w:rFonts w:ascii="Arial" w:cs="Arial" w:eastAsia="Arial" w:hAnsi="Arial"/>
          <w:sz w:val="16"/>
          <w:szCs w:val="16"/>
          <w:u w:val="single" w:color="auto"/>
          <w:color w:val="auto"/>
        </w:rPr>
        <w:t>Additional Rent</w:t>
      </w:r>
      <w:r>
        <w:rPr>
          <w:rFonts w:ascii="Arial" w:cs="Arial" w:eastAsia="Arial" w:hAnsi="Arial"/>
          <w:sz w:val="16"/>
          <w:szCs w:val="16"/>
          <w:color w:val="auto"/>
        </w:rPr>
        <w:t xml:space="preserve">. Tenant agrees to pay as Additional Rent Tenant’s Share of Taxes above the Base Tax Year and Tenant’s Share of Operating Expenses above the Base Expense Year, calculated as hereinafter set forth. For purposes of </w:t>
      </w:r>
      <w:r>
        <w:rPr>
          <w:rFonts w:ascii="Arial" w:cs="Arial" w:eastAsia="Arial" w:hAnsi="Arial"/>
          <w:sz w:val="16"/>
          <w:szCs w:val="16"/>
          <w:u w:val="single" w:color="auto"/>
          <w:color w:val="auto"/>
        </w:rPr>
        <w:t>Section 6</w:t>
      </w:r>
      <w:r>
        <w:rPr>
          <w:rFonts w:ascii="Arial" w:cs="Arial" w:eastAsia="Arial" w:hAnsi="Arial"/>
          <w:sz w:val="16"/>
          <w:szCs w:val="16"/>
          <w:color w:val="auto"/>
        </w:rPr>
        <w:t>, the following definitions shall apply:</w:t>
      </w:r>
    </w:p>
    <w:p>
      <w:pPr>
        <w:spacing w:after="0" w:line="124"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Tax Year</w:t>
      </w:r>
      <w:r>
        <w:rPr>
          <w:rFonts w:ascii="Arial" w:cs="Arial" w:eastAsia="Arial" w:hAnsi="Arial"/>
          <w:sz w:val="18"/>
          <w:szCs w:val="18"/>
          <w:i w:val="1"/>
          <w:iCs w:val="1"/>
          <w:color w:val="auto"/>
        </w:rPr>
        <w:t>”</w:t>
      </w:r>
      <w:r>
        <w:rPr>
          <w:rFonts w:ascii="Arial" w:cs="Arial" w:eastAsia="Arial" w:hAnsi="Arial"/>
          <w:sz w:val="18"/>
          <w:szCs w:val="18"/>
          <w:color w:val="auto"/>
        </w:rPr>
        <w:t>: The fiscal year of the City of Boston (July 1 - June 30) or other applicable governmental authority for real estate tax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or such other twelve (12)-month period as may be duly adopted in place thereof.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Base Tax Year</w:t>
      </w:r>
      <w:r>
        <w:rPr>
          <w:rFonts w:ascii="Arial" w:cs="Arial" w:eastAsia="Arial" w:hAnsi="Arial"/>
          <w:sz w:val="18"/>
          <w:szCs w:val="18"/>
          <w:i w:val="1"/>
          <w:iCs w:val="1"/>
          <w:color w:val="auto"/>
        </w:rPr>
        <w:t>’</w:t>
      </w:r>
      <w:r>
        <w:rPr>
          <w:rFonts w:ascii="Arial" w:cs="Arial" w:eastAsia="Arial" w:hAnsi="Arial"/>
          <w:sz w:val="18"/>
          <w:szCs w:val="18"/>
          <w:color w:val="auto"/>
        </w:rPr>
        <w:t>: As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3" w:right="459" w:bottom="1440" w:gutter="0" w:footer="0" w:header="0"/>
        </w:sectPr>
      </w:pPr>
    </w:p>
    <w:bookmarkStart w:id="580" w:name="page581"/>
    <w:bookmarkEnd w:id="580"/>
    <w:p>
      <w:pPr>
        <w:ind w:right="180" w:firstLine="991"/>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u w:val="single" w:color="auto"/>
          <w:color w:val="auto"/>
        </w:rPr>
        <w:t>Base Taxes</w:t>
      </w:r>
      <w:r>
        <w:rPr>
          <w:rFonts w:ascii="Arial" w:cs="Arial" w:eastAsia="Arial" w:hAnsi="Arial"/>
          <w:sz w:val="18"/>
          <w:szCs w:val="18"/>
          <w:i w:val="1"/>
          <w:iCs w:val="1"/>
          <w:color w:val="auto"/>
        </w:rPr>
        <w:t>”</w:t>
      </w:r>
      <w:r>
        <w:rPr>
          <w:rFonts w:ascii="Arial" w:cs="Arial" w:eastAsia="Arial" w:hAnsi="Arial"/>
          <w:sz w:val="18"/>
          <w:szCs w:val="18"/>
          <w:color w:val="auto"/>
        </w:rPr>
        <w:t>: The amount of Taxes assessed with respect to the Property for each Tax Year (or portion thereof) which occurs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Base Tax Year, giving full effect to any revaluation.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Tax Increases</w:t>
      </w:r>
      <w:r>
        <w:rPr>
          <w:rFonts w:ascii="Arial" w:cs="Arial" w:eastAsia="Arial" w:hAnsi="Arial"/>
          <w:sz w:val="16"/>
          <w:szCs w:val="16"/>
          <w:i w:val="1"/>
          <w:iCs w:val="1"/>
          <w:color w:val="auto"/>
        </w:rPr>
        <w:t>”</w:t>
      </w:r>
      <w:r>
        <w:rPr>
          <w:rFonts w:ascii="Arial" w:cs="Arial" w:eastAsia="Arial" w:hAnsi="Arial"/>
          <w:sz w:val="16"/>
          <w:szCs w:val="16"/>
          <w:color w:val="auto"/>
        </w:rPr>
        <w:t>: Attributable to a Tax Year, shall mean the excess, if any, of the Taxes paid or incurred during such Tax Year over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 Taxes.</w:t>
      </w:r>
    </w:p>
    <w:p>
      <w:pPr>
        <w:spacing w:after="0" w:line="211"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w:t>
      </w:r>
      <w:r>
        <w:rPr>
          <w:rFonts w:ascii="Arial" w:cs="Arial" w:eastAsia="Arial" w:hAnsi="Arial"/>
          <w:sz w:val="17"/>
          <w:szCs w:val="17"/>
          <w:color w:val="auto"/>
        </w:rPr>
        <w:t>: All taxes, assessments and charges of every kind and nature levied, assessed or imposed at any time by any 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upon or against the Property or any improvements, fixtures and equipment of Landlord used in the operation thereof whether such taxes and assessments are general or special, ordinary or extraordinary, foreseen or unforeseen in respect of each Tax Year falling wholly or partially within the Term. Taxes shall include, without limitation, all general real property taxes and general and special assessments, Business Improvement District payments, charges, fees or assessments for all governmental services or purported benefits to the Property, service payments in lieu of taxes, all business privilege taxes, and any tax, fee or excise on the act of entering into this Lease or on the use or occupancy of the Building or any part thereof, or on the rent payable under any lease or in connection with the business of renting space in the Building, that are now or hereafter levied or assessed against Landlord by the United States of America, the Commonwealth of Massachusetts, or any political subdivision, public corporation, district or other political or public entity, including legal fees, experts’ and other witnesses’ fees, costs and disbursements incurred in connection with proceedings to contest, determine or reduce Taxes. Taxes shall also include any other tax, fee or other excise, however described, that may be levied or assessed as a substitute for, or as an addition to, in whole or in part, any other Taxes (including, without limitation, any municipal income tax) and any license fees, tax measured or imposed upon rents, or other tax or charge upon Landlord’s business of leasing the Building, whether or not now customary or in the contemplation of the parties on the date of this Lease. Taxes shall not include: (a) franchise, transfer, gift, excise, capital stock, estate, succession and inheritance taxes, and federal and state income taxes measured by the net income of Landlord from all sources, unless due to a change in the method of taxation such tax is levied or assessed against Landlord as a substitute for, in whole or in part, any other Tax that would constitute a Tax; or (b) penalties or interest for late payment of Taxes.</w:t>
      </w:r>
    </w:p>
    <w:p>
      <w:pPr>
        <w:spacing w:after="0" w:line="180" w:lineRule="exact"/>
        <w:rPr>
          <w:sz w:val="20"/>
          <w:szCs w:val="20"/>
          <w:color w:val="auto"/>
        </w:rPr>
      </w:pPr>
    </w:p>
    <w:p>
      <w:pPr>
        <w:ind w:right="320" w:firstLine="991"/>
        <w:spacing w:after="0" w:line="311"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Tenant’s Share of Taxes</w:t>
      </w:r>
      <w:r>
        <w:rPr>
          <w:rFonts w:ascii="Arial" w:cs="Arial" w:eastAsia="Arial" w:hAnsi="Arial"/>
          <w:sz w:val="16"/>
          <w:szCs w:val="16"/>
          <w:i w:val="1"/>
          <w:iCs w:val="1"/>
          <w:color w:val="auto"/>
        </w:rPr>
        <w:t>”</w:t>
      </w:r>
      <w:r>
        <w:rPr>
          <w:rFonts w:ascii="Arial" w:cs="Arial" w:eastAsia="Arial" w:hAnsi="Arial"/>
          <w:sz w:val="16"/>
          <w:szCs w:val="16"/>
          <w:color w:val="auto"/>
        </w:rPr>
        <w:t>: Tenant’s Share shall be a fraction, the numerator of which shall be the rentable area of the Premises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denominator of which shall be the rentable area of the Building. On the Commencement Date, the Tenant’s Share shall be as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Tenant’s Share of Taxes shall be recalculated in the event that there shall be a change in the physical size of the Premises or the Building.</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Base Expense Year</w:t>
      </w:r>
      <w:r>
        <w:rPr>
          <w:rFonts w:ascii="Arial" w:cs="Arial" w:eastAsia="Arial" w:hAnsi="Arial"/>
          <w:sz w:val="18"/>
          <w:szCs w:val="18"/>
          <w:i w:val="1"/>
          <w:iCs w:val="1"/>
          <w:color w:val="auto"/>
        </w:rPr>
        <w:t>”</w:t>
      </w:r>
      <w:r>
        <w:rPr>
          <w:rFonts w:ascii="Arial" w:cs="Arial" w:eastAsia="Arial" w:hAnsi="Arial"/>
          <w:sz w:val="18"/>
          <w:szCs w:val="18"/>
          <w:color w:val="auto"/>
        </w:rPr>
        <w:t>: As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Expense Year</w:t>
      </w:r>
      <w:r>
        <w:rPr>
          <w:rFonts w:ascii="Arial" w:cs="Arial" w:eastAsia="Arial" w:hAnsi="Arial"/>
          <w:sz w:val="18"/>
          <w:szCs w:val="18"/>
          <w:i w:val="1"/>
          <w:iCs w:val="1"/>
          <w:color w:val="auto"/>
        </w:rPr>
        <w:t>”</w:t>
      </w:r>
      <w:r>
        <w:rPr>
          <w:rFonts w:ascii="Arial" w:cs="Arial" w:eastAsia="Arial" w:hAnsi="Arial"/>
          <w:sz w:val="18"/>
          <w:szCs w:val="18"/>
          <w:color w:val="auto"/>
        </w:rPr>
        <w:t>: The first and full calendar year following the Base Expense Year and each calendar year thereafter.</w:t>
      </w:r>
    </w:p>
    <w:p>
      <w:pPr>
        <w:spacing w:after="0" w:line="225"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Base Expenses</w:t>
      </w:r>
      <w:r>
        <w:rPr>
          <w:rFonts w:ascii="Arial" w:cs="Arial" w:eastAsia="Arial" w:hAnsi="Arial"/>
          <w:sz w:val="18"/>
          <w:szCs w:val="18"/>
          <w:i w:val="1"/>
          <w:iCs w:val="1"/>
          <w:color w:val="auto"/>
        </w:rPr>
        <w:t>”</w:t>
      </w:r>
      <w:r>
        <w:rPr>
          <w:rFonts w:ascii="Arial" w:cs="Arial" w:eastAsia="Arial" w:hAnsi="Arial"/>
          <w:sz w:val="18"/>
          <w:szCs w:val="18"/>
          <w:color w:val="auto"/>
        </w:rPr>
        <w:t>: The Operating Expenses for the Base Expense Year equitably adjusted to the amount such Operating Expenses would</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if ninety-five percent (95%) of the rentable area in the Building had been occupied during the Base Expense Year if there is less than ninety-five percent (95%) occupancy in the Base Expense Year. Only those component expenses that are affected by variation in occupancy levels shall be “grossed-up.” For purposes of determining Tenant’s Share of Expense Increases, the Base Expenses shall be deemed to have been incurred by Landlord during the Base Expense Year.</w:t>
      </w:r>
    </w:p>
    <w:p>
      <w:pPr>
        <w:spacing w:after="0" w:line="188" w:lineRule="exact"/>
        <w:rPr>
          <w:sz w:val="20"/>
          <w:szCs w:val="20"/>
          <w:color w:val="auto"/>
        </w:rPr>
      </w:pPr>
    </w:p>
    <w:p>
      <w:pPr>
        <w:ind w:right="260" w:firstLine="991"/>
        <w:spacing w:after="0" w:line="279"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Expense Increases</w:t>
      </w:r>
      <w:r>
        <w:rPr>
          <w:rFonts w:ascii="Arial" w:cs="Arial" w:eastAsia="Arial" w:hAnsi="Arial"/>
          <w:sz w:val="17"/>
          <w:szCs w:val="17"/>
          <w:i w:val="1"/>
          <w:iCs w:val="1"/>
          <w:color w:val="auto"/>
        </w:rPr>
        <w:t>”</w:t>
      </w:r>
      <w:r>
        <w:rPr>
          <w:rFonts w:ascii="Arial" w:cs="Arial" w:eastAsia="Arial" w:hAnsi="Arial"/>
          <w:sz w:val="17"/>
          <w:szCs w:val="17"/>
          <w:color w:val="auto"/>
        </w:rPr>
        <w:t>: Attributable to an Expense Year, shall mean the excess, if any, of the Operating Expenses paid or incurred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Expense Year equitably adjusted, if less than ninety-five percent (95%) occupancy, to the amount such Operating Expenses would have been if ninety-five percent (95%) of the rentable area in the Building had been occupied during the Expense Year over the Base Expenses. Only those component expenses that are affected by variation in occupancy levels shall be “grossed-up”.</w:t>
      </w:r>
    </w:p>
    <w:p>
      <w:pPr>
        <w:spacing w:after="0" w:line="17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w:t>
      </w:r>
      <w:r>
        <w:rPr>
          <w:rFonts w:ascii="Arial" w:cs="Arial" w:eastAsia="Arial" w:hAnsi="Arial"/>
          <w:sz w:val="18"/>
          <w:szCs w:val="18"/>
          <w:color w:val="auto"/>
        </w:rPr>
        <w:t>: All costs and expenses (and taxes, if any, thereon) paid or incurred on behalf of Landlord (whether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independent contractors) in connection with the ownership, management, operation, maintenance and repair of the Building and Common Areas (including any sales or other taxes thereon) during the Term, including, without limitation: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0"/>
          </w:cols>
          <w:pgMar w:left="440" w:top="273" w:right="459" w:bottom="1440" w:gutter="0" w:footer="0" w:header="0"/>
        </w:sectPr>
      </w:pPr>
    </w:p>
    <w:bookmarkStart w:id="581" w:name="page582"/>
    <w:bookmarkEnd w:id="581"/>
    <w:p>
      <w:pPr>
        <w:ind w:left="440" w:firstLine="419"/>
        <w:spacing w:after="0" w:line="259" w:lineRule="auto"/>
        <w:tabs>
          <w:tab w:leader="none" w:pos="1108" w:val="left"/>
        </w:tabs>
        <w:numPr>
          <w:ilvl w:val="0"/>
          <w:numId w:val="4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supplies, materials and equipment purchased or rented, total wage and salary costs paid to, and all contract payments made on account of, all persons to the extent engaged in the operation, maintenance, security, cleaning and repair of the Property at or below the level of property manager (including the amount of any taxes, social security taxes, unemployment insurance contributions, union benefits) and any on-site employees of Landlord’s property management agent;</w:t>
      </w:r>
    </w:p>
    <w:p>
      <w:pPr>
        <w:spacing w:after="0" w:line="78" w:lineRule="exact"/>
        <w:rPr>
          <w:rFonts w:ascii="Arial" w:cs="Arial" w:eastAsia="Arial" w:hAnsi="Arial"/>
          <w:sz w:val="18"/>
          <w:szCs w:val="18"/>
          <w:color w:val="auto"/>
        </w:rPr>
      </w:pPr>
    </w:p>
    <w:p>
      <w:pPr>
        <w:ind w:left="440" w:right="80" w:firstLine="419"/>
        <w:spacing w:after="0" w:line="271" w:lineRule="auto"/>
        <w:tabs>
          <w:tab w:leader="none" w:pos="1118" w:val="left"/>
        </w:tabs>
        <w:numPr>
          <w:ilvl w:val="0"/>
          <w:numId w:val="429"/>
        </w:numPr>
        <w:rPr>
          <w:rFonts w:ascii="Arial" w:cs="Arial" w:eastAsia="Arial" w:hAnsi="Arial"/>
          <w:sz w:val="17"/>
          <w:szCs w:val="17"/>
          <w:color w:val="auto"/>
        </w:rPr>
      </w:pPr>
      <w:r>
        <w:rPr>
          <w:rFonts w:ascii="Arial" w:cs="Arial" w:eastAsia="Arial" w:hAnsi="Arial"/>
          <w:sz w:val="17"/>
          <w:szCs w:val="17"/>
          <w:color w:val="auto"/>
        </w:rPr>
        <w:t>subject to the limitations set forth below regarding Essential Capital Expenditures (as hereinafter defined), the maintenance, repair and replacement of all building systems, including, but not limited to, heating, ventilating and air conditioning equipment such as chillers, cooling towers, pumps, loops, plumbing, electrical, mechanical, sewer, fire detection, sprinkler, life safety and security systems, telecommunications facilities, elevators and escalators, exterior windows and doors, tenant directories, emergency generator, and other equipment used in common by, or for the benefit of, occupants of the Building including such repairs and replacements as may be necessary to maintain the same in proper working order and in compliance with all applicable laws and industry performance standards (except to the extent such repairs or replacements are made necessary by the negligent act or omission or willful act of Tenant, its agents, servants or contractors, invitees or licensees which expense shall be billed directly to Tenant as Additional Rent);</w:t>
      </w:r>
    </w:p>
    <w:p>
      <w:pPr>
        <w:spacing w:after="0" w:line="70" w:lineRule="exact"/>
        <w:rPr>
          <w:rFonts w:ascii="Arial" w:cs="Arial" w:eastAsia="Arial" w:hAnsi="Arial"/>
          <w:sz w:val="17"/>
          <w:szCs w:val="17"/>
          <w:color w:val="auto"/>
        </w:rPr>
      </w:pPr>
    </w:p>
    <w:p>
      <w:pPr>
        <w:ind w:left="440" w:right="80" w:firstLine="419"/>
        <w:spacing w:after="0" w:line="263" w:lineRule="auto"/>
        <w:tabs>
          <w:tab w:leader="none" w:pos="1108" w:val="left"/>
        </w:tabs>
        <w:numPr>
          <w:ilvl w:val="0"/>
          <w:numId w:val="429"/>
        </w:numPr>
        <w:rPr>
          <w:rFonts w:ascii="Arial" w:cs="Arial" w:eastAsia="Arial" w:hAnsi="Arial"/>
          <w:sz w:val="18"/>
          <w:szCs w:val="18"/>
          <w:color w:val="auto"/>
        </w:rPr>
      </w:pPr>
      <w:r>
        <w:rPr>
          <w:rFonts w:ascii="Arial" w:cs="Arial" w:eastAsia="Arial" w:hAnsi="Arial"/>
          <w:sz w:val="18"/>
          <w:szCs w:val="18"/>
          <w:color w:val="auto"/>
        </w:rPr>
        <w:t>charges of contractors for services and facilities otherwise includable in Operating Expenses, including security, trash removal, cleaning, janitorial, window washing, snow and ice removal, exterior and interior landscaping, maintenance and repair of the parking areas (if any), roadways and light poles;</w:t>
      </w:r>
    </w:p>
    <w:p>
      <w:pPr>
        <w:spacing w:after="0" w:line="75" w:lineRule="exact"/>
        <w:rPr>
          <w:rFonts w:ascii="Arial" w:cs="Arial" w:eastAsia="Arial" w:hAnsi="Arial"/>
          <w:sz w:val="18"/>
          <w:szCs w:val="18"/>
          <w:color w:val="auto"/>
        </w:rPr>
      </w:pPr>
    </w:p>
    <w:p>
      <w:pPr>
        <w:ind w:left="440" w:right="200" w:firstLine="419"/>
        <w:spacing w:after="0" w:line="263" w:lineRule="auto"/>
        <w:tabs>
          <w:tab w:leader="none" w:pos="1118"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cost of utility services for the Property, including, without limitation, water, sanitary sewer, common area electricity, gas, fuel oil, steam, chilled water; but excluding electricity supplied to the Premises and billed to Tenant pursuant to this Section and electricity used by other tenants of the Building within their leased space and billed directly to such tenants;</w:t>
      </w:r>
    </w:p>
    <w:p>
      <w:pPr>
        <w:spacing w:after="0" w:line="75" w:lineRule="exact"/>
        <w:rPr>
          <w:rFonts w:ascii="Arial" w:cs="Arial" w:eastAsia="Arial" w:hAnsi="Arial"/>
          <w:sz w:val="18"/>
          <w:szCs w:val="18"/>
          <w:color w:val="auto"/>
        </w:rPr>
      </w:pPr>
    </w:p>
    <w:p>
      <w:pPr>
        <w:ind w:left="440" w:right="360" w:firstLine="419"/>
        <w:spacing w:after="0" w:line="263" w:lineRule="auto"/>
        <w:tabs>
          <w:tab w:leader="none" w:pos="1108"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premiums for fire, extended coverage, loss of rents, boiler, machinery, sprinkler, commercial general liability, property damage, earthquake, flood, and other insurance relative to the Property and the operation and maintenance thereof, and unreimbursed costs incurred by Landlord that are subject to an insurance deductible;</w:t>
      </w:r>
    </w:p>
    <w:p>
      <w:pPr>
        <w:spacing w:after="0" w:line="75" w:lineRule="exact"/>
        <w:rPr>
          <w:rFonts w:ascii="Arial" w:cs="Arial" w:eastAsia="Arial" w:hAnsi="Arial"/>
          <w:sz w:val="18"/>
          <w:szCs w:val="18"/>
          <w:color w:val="auto"/>
        </w:rPr>
      </w:pPr>
    </w:p>
    <w:p>
      <w:pPr>
        <w:jc w:val="both"/>
        <w:ind w:left="440" w:right="260" w:firstLine="419"/>
        <w:spacing w:after="0" w:line="263" w:lineRule="auto"/>
        <w:tabs>
          <w:tab w:leader="none" w:pos="1088"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operation and maintenance of any Building amenities to which Tenant has access (including, but not limited to, shared gym/fitness facilities, lounge areas, conference rooms and the like), including, without limitation, the cost of utilities, repairs and insurance associated with such Building amenities;</w:t>
      </w:r>
    </w:p>
    <w:p>
      <w:pPr>
        <w:spacing w:after="0" w:line="75" w:lineRule="exact"/>
        <w:rPr>
          <w:rFonts w:ascii="Arial" w:cs="Arial" w:eastAsia="Arial" w:hAnsi="Arial"/>
          <w:sz w:val="18"/>
          <w:szCs w:val="18"/>
          <w:color w:val="auto"/>
        </w:rPr>
      </w:pPr>
    </w:p>
    <w:p>
      <w:pPr>
        <w:ind w:left="440" w:right="60" w:firstLine="419"/>
        <w:spacing w:after="0" w:line="277" w:lineRule="auto"/>
        <w:tabs>
          <w:tab w:leader="none" w:pos="1118" w:val="left"/>
        </w:tabs>
        <w:numPr>
          <w:ilvl w:val="0"/>
          <w:numId w:val="429"/>
        </w:numPr>
        <w:rPr>
          <w:rFonts w:ascii="Arial" w:cs="Arial" w:eastAsia="Arial" w:hAnsi="Arial"/>
          <w:sz w:val="18"/>
          <w:szCs w:val="18"/>
          <w:color w:val="auto"/>
        </w:rPr>
      </w:pPr>
      <w:r>
        <w:rPr>
          <w:rFonts w:ascii="Arial" w:cs="Arial" w:eastAsia="Arial" w:hAnsi="Arial"/>
          <w:sz w:val="18"/>
          <w:szCs w:val="18"/>
          <w:color w:val="auto"/>
        </w:rPr>
        <w:t>office costs of administration; legal and accounting fees and other expenses of maintaining and auditing Property accounting records and preparing Landlord’s Statements;</w:t>
      </w:r>
    </w:p>
    <w:p>
      <w:pPr>
        <w:spacing w:after="0" w:line="62"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0"/>
          <w:numId w:val="429"/>
        </w:numPr>
        <w:rPr>
          <w:rFonts w:ascii="Arial" w:cs="Arial" w:eastAsia="Arial" w:hAnsi="Arial"/>
          <w:sz w:val="18"/>
          <w:szCs w:val="18"/>
          <w:color w:val="auto"/>
        </w:rPr>
      </w:pPr>
      <w:r>
        <w:rPr>
          <w:rFonts w:ascii="Arial" w:cs="Arial" w:eastAsia="Arial" w:hAnsi="Arial"/>
          <w:sz w:val="18"/>
          <w:szCs w:val="18"/>
          <w:color w:val="auto"/>
        </w:rPr>
        <w:t>fees for management services whether rendered by Landlord (or affiliate) or a third-party property manager in an amount not to exceed the rate of five percent (5%) of total rents charged to Building tenants; and</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annual amortization of Essential Capital Expenditures in accordance with the paragraph below.</w:t>
      </w:r>
    </w:p>
    <w:p>
      <w:pPr>
        <w:spacing w:after="0" w:line="225"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Essential Capital Expenditures</w:t>
      </w:r>
      <w:r>
        <w:rPr>
          <w:rFonts w:ascii="Arial" w:cs="Arial" w:eastAsia="Arial" w:hAnsi="Arial"/>
          <w:sz w:val="17"/>
          <w:szCs w:val="17"/>
          <w:color w:val="auto"/>
        </w:rPr>
        <w:t>” shall mean capital expenditures that are (a) required to comply with any legal requirements coming into applicability after the Effective Date, or (b) anticipated to result in a reduction in (or minimize increases in) Operating Expenses (regardless of whether such result is achieved), or (c) necessary in order to prevent injury to persons or damage to property or to otherwise improve safety and security measures at the Property. Essential Capital Expenditures shall be amortized over the useful life of the applicable item based on industry standards and generally accepted accounting principles until such cost or expense has been fully recovered. Operating Expenses shall include an interest charge on the unamortized balance of such Essential Capital Expenditures at the then-prevailing prime rate; provided, however, that if Landlord has actually borrowed money to finance such Essential Capital Expenditures, then Operating Expenses with respect to such Essential Capital Expenditures shall include an interest charge at the interest rate actually paid by Landlord.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20"/>
          </w:cols>
          <w:pgMar w:left="440" w:top="273" w:right="439" w:bottom="1440" w:gutter="0" w:footer="0" w:header="0"/>
        </w:sectPr>
      </w:pPr>
    </w:p>
    <w:bookmarkStart w:id="582" w:name="page583"/>
    <w:bookmarkEnd w:id="582"/>
    <w:p>
      <w:pPr>
        <w:ind w:left="4"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Operating Expenses shall not include: (1) utility expenses that are separately metered for any individual tenant in the Building; (2) any expense for which Landlord is reimbursed by a specific tenant by reason of a special agreement or requirement of the occupancy of the Building by such tenant;</w:t>
      </w:r>
    </w:p>
    <w:p>
      <w:pPr>
        <w:ind w:left="4" w:right="160" w:hanging="4"/>
        <w:spacing w:after="0" w:line="281" w:lineRule="auto"/>
        <w:tabs>
          <w:tab w:leader="none" w:pos="259" w:val="left"/>
        </w:tabs>
        <w:numPr>
          <w:ilvl w:val="0"/>
          <w:numId w:val="430"/>
        </w:numPr>
        <w:rPr>
          <w:rFonts w:ascii="Arial" w:cs="Arial" w:eastAsia="Arial" w:hAnsi="Arial"/>
          <w:sz w:val="16"/>
          <w:szCs w:val="16"/>
          <w:color w:val="auto"/>
        </w:rPr>
      </w:pPr>
      <w:r>
        <w:rPr>
          <w:rFonts w:ascii="Arial" w:cs="Arial" w:eastAsia="Arial" w:hAnsi="Arial"/>
          <w:sz w:val="16"/>
          <w:szCs w:val="16"/>
          <w:color w:val="auto"/>
        </w:rPr>
        <w:t>expenses for services provided by Landlord for the exclusive benefit of a given tenant or tenants for which Landlord is directly reimbursed by such tenant or tenants; (4) all costs, fees and disbursements relating to activities for the solicitation, negotiation and execution of leases for space in the Building (including but not limited to advertising costs, leasing commissions and attorneys’ fees therefor); (5) the costs of alterations to, or the decorating or the redecorating of, space in the Building leased to other tenants; (6) except as stated in subparagraph (h) of the definition of Operating Expenses, the costs associated with the operation of the business of the ownership or entity which constitutes “Landlord”, including costs of selling, syndicating, financing or mortgaging any of Landlord’s interest in the Property; (7) rentals payable under any ground or underlying lease, if any;</w:t>
      </w:r>
    </w:p>
    <w:p>
      <w:pPr>
        <w:spacing w:after="0" w:line="3" w:lineRule="exact"/>
        <w:rPr>
          <w:rFonts w:ascii="Arial" w:cs="Arial" w:eastAsia="Arial" w:hAnsi="Arial"/>
          <w:sz w:val="16"/>
          <w:szCs w:val="16"/>
          <w:color w:val="auto"/>
        </w:rPr>
      </w:pPr>
    </w:p>
    <w:p>
      <w:pPr>
        <w:ind w:left="4" w:right="20" w:hanging="4"/>
        <w:spacing w:after="0" w:line="288" w:lineRule="auto"/>
        <w:tabs>
          <w:tab w:leader="none" w:pos="259" w:val="left"/>
        </w:tabs>
        <w:numPr>
          <w:ilvl w:val="0"/>
          <w:numId w:val="431"/>
        </w:numPr>
        <w:rPr>
          <w:rFonts w:ascii="Arial" w:cs="Arial" w:eastAsia="Arial" w:hAnsi="Arial"/>
          <w:sz w:val="16"/>
          <w:szCs w:val="16"/>
          <w:color w:val="auto"/>
        </w:rPr>
      </w:pPr>
      <w:r>
        <w:rPr>
          <w:rFonts w:ascii="Arial" w:cs="Arial" w:eastAsia="Arial" w:hAnsi="Arial"/>
          <w:sz w:val="16"/>
          <w:szCs w:val="16"/>
          <w:color w:val="auto"/>
        </w:rPr>
        <w:t>interest and principal payments on mortgages and other debt costs, if any; (9) repairs or other work required due to fire or other casualty to the extent of insurance proceeds actually received by Landlord; (10) capital expenditures for items other than Essential Capital Expenditures; (11) payments to affiliates of Landlord (excluding property management fees), but only to the extent that they exceed market charges; (12) salaries and other benefits paid to Landlord’s employees to the extent covered in the management fee (Tenant acknowledging that allocations for property management and building maintenance personnel will be included in Operating Expenses in addition to the management fee); (13) costs arising from latent defects at the Building or the repair thereof; (14) Landlord’s charitable or political donations; (15) costs for sculptures, paintings or other art; or (16) costs incurred by Landlord due to the violation by Landlord or any tenant of the terms and conditions of any lease of space in the Building.</w:t>
      </w:r>
    </w:p>
    <w:p>
      <w:pPr>
        <w:spacing w:after="0" w:line="168" w:lineRule="exact"/>
        <w:rPr>
          <w:sz w:val="20"/>
          <w:szCs w:val="20"/>
          <w:color w:val="auto"/>
        </w:rPr>
      </w:pPr>
    </w:p>
    <w:p>
      <w:pPr>
        <w:ind w:left="4" w:right="140" w:firstLine="991"/>
        <w:spacing w:after="0" w:line="25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Tenant’s Share of Operating Expenses</w:t>
      </w:r>
      <w:r>
        <w:rPr>
          <w:rFonts w:ascii="Arial" w:cs="Arial" w:eastAsia="Arial" w:hAnsi="Arial"/>
          <w:sz w:val="18"/>
          <w:szCs w:val="18"/>
          <w:i w:val="1"/>
          <w:iCs w:val="1"/>
          <w:color w:val="auto"/>
        </w:rPr>
        <w:t>”</w:t>
      </w:r>
      <w:r>
        <w:rPr>
          <w:rFonts w:ascii="Arial" w:cs="Arial" w:eastAsia="Arial" w:hAnsi="Arial"/>
          <w:sz w:val="18"/>
          <w:szCs w:val="18"/>
          <w:color w:val="auto"/>
        </w:rPr>
        <w:t>: Tenant’s Share shall be a fraction, the numerator of which shall be the rentable area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Premises and the denominator of which shall be the rentable area of the Building. On the Commencement Date, the Tenant’s Share shall be as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Tenant’s Share of Operating Expenses shall be recalculated in the event that there shall be a change in the physical size of the Premises or the Building.</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Landlord’s Statement</w:t>
      </w:r>
      <w:r>
        <w:rPr>
          <w:rFonts w:ascii="Arial" w:cs="Arial" w:eastAsia="Arial" w:hAnsi="Arial"/>
          <w:sz w:val="17"/>
          <w:szCs w:val="17"/>
          <w:i w:val="1"/>
          <w:iCs w:val="1"/>
          <w:color w:val="auto"/>
        </w:rPr>
        <w:t>”</w:t>
      </w:r>
      <w:r>
        <w:rPr>
          <w:rFonts w:ascii="Arial" w:cs="Arial" w:eastAsia="Arial" w:hAnsi="Arial"/>
          <w:sz w:val="17"/>
          <w:szCs w:val="17"/>
          <w:color w:val="auto"/>
        </w:rPr>
        <w:t>: An instrument containing a computation of any Additional Rent due pursuant to the provisions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color w:val="auto"/>
        </w:rPr>
        <w:t>.</w:t>
      </w:r>
    </w:p>
    <w:p>
      <w:pPr>
        <w:spacing w:after="0" w:line="237" w:lineRule="exact"/>
        <w:rPr>
          <w:sz w:val="20"/>
          <w:szCs w:val="20"/>
          <w:color w:val="auto"/>
        </w:rPr>
      </w:pPr>
    </w:p>
    <w:p>
      <w:pPr>
        <w:ind w:left="4" w:right="40" w:firstLine="436"/>
        <w:spacing w:after="0" w:line="254" w:lineRule="auto"/>
        <w:tabs>
          <w:tab w:leader="none" w:pos="834"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Landlord’s Statements</w:t>
      </w:r>
      <w:r>
        <w:rPr>
          <w:rFonts w:ascii="Arial" w:cs="Arial" w:eastAsia="Arial" w:hAnsi="Arial"/>
          <w:sz w:val="18"/>
          <w:szCs w:val="18"/>
          <w:color w:val="auto"/>
        </w:rPr>
        <w:t>. Landlord will deliver Landlord’s Statements to Tenant during the Term as soon as reasonably practicable. Landlord’s delay or failure to render Landlord’s Statement with respect to the Base Expense Year, any Expense Year or any Tax Year beyond a date specified herein shall not prejudice Landlord’s right to render a Landlord’s Statement with respect to that or any subsequent Expense Year or subsequent Tax Year. The obligations of Landlord and Tenant under the provisions of this Section with respect to any Additional Rent incurred during the Term shall survive the expiration or any sooner termination of the Term. If Landlord fails to give Tenant a statement of projected Operating Expenses prior to the commencement of any Expense Year, Tenant shall continue to pay Operating Expenses in accordance with the previous statement, until Tenant receives a new statement from Landlord.</w:t>
      </w:r>
    </w:p>
    <w:p>
      <w:pPr>
        <w:spacing w:after="0" w:line="194" w:lineRule="exact"/>
        <w:rPr>
          <w:rFonts w:ascii="Arial" w:cs="Arial" w:eastAsia="Arial" w:hAnsi="Arial"/>
          <w:sz w:val="18"/>
          <w:szCs w:val="18"/>
          <w:color w:val="auto"/>
        </w:rPr>
      </w:pPr>
    </w:p>
    <w:p>
      <w:pPr>
        <w:ind w:left="4" w:right="60" w:firstLine="436"/>
        <w:spacing w:after="0" w:line="291" w:lineRule="auto"/>
        <w:tabs>
          <w:tab w:leader="none" w:pos="824" w:val="left"/>
        </w:tabs>
        <w:numPr>
          <w:ilvl w:val="0"/>
          <w:numId w:val="432"/>
        </w:numPr>
        <w:rPr>
          <w:rFonts w:ascii="Arial" w:cs="Arial" w:eastAsia="Arial" w:hAnsi="Arial"/>
          <w:sz w:val="16"/>
          <w:szCs w:val="16"/>
          <w:color w:val="auto"/>
        </w:rPr>
      </w:pPr>
      <w:r>
        <w:rPr>
          <w:rFonts w:ascii="Arial" w:cs="Arial" w:eastAsia="Arial" w:hAnsi="Arial"/>
          <w:sz w:val="16"/>
          <w:szCs w:val="16"/>
          <w:u w:val="single" w:color="auto"/>
          <w:color w:val="auto"/>
        </w:rPr>
        <w:t>Tenant’s Inspection Rights</w:t>
      </w:r>
      <w:r>
        <w:rPr>
          <w:rFonts w:ascii="Arial" w:cs="Arial" w:eastAsia="Arial" w:hAnsi="Arial"/>
          <w:sz w:val="16"/>
          <w:szCs w:val="16"/>
          <w:color w:val="auto"/>
        </w:rPr>
        <w:t xml:space="preserve"> During the thirty (30)-day period after receipt of any Landlord’s Statement (the “</w:t>
      </w:r>
      <w:r>
        <w:rPr>
          <w:rFonts w:ascii="Arial" w:cs="Arial" w:eastAsia="Arial" w:hAnsi="Arial"/>
          <w:sz w:val="16"/>
          <w:szCs w:val="16"/>
          <w:u w:val="single" w:color="auto"/>
          <w:color w:val="auto"/>
        </w:rPr>
        <w:t>Review Period</w:t>
      </w:r>
      <w:r>
        <w:rPr>
          <w:rFonts w:ascii="Arial" w:cs="Arial" w:eastAsia="Arial" w:hAnsi="Arial"/>
          <w:sz w:val="16"/>
          <w:szCs w:val="16"/>
          <w:color w:val="auto"/>
        </w:rPr>
        <w:t>”), Tenant may, at its sole cost and expense (except as provided in subsection (f) below), request to inspect and audit Landlord’s records relevant to the cost and expense items reflected in such Landlord’s Statement at a reasonable time mutually agreeable to Landlord and Tenant during Landlord’s usual business hours. Each Landlord’s Statement shall be conclusive and binding upon Tenant unless within the Review Period Tenant shall notify Landlord that it disputes the correctness of Landlord’s Statement, specifying how Landlord’s Statement is claimed to be incorrect. All inspections and audits of Landlord’s books and records and any arbitration shall be subject to a confidentiality agreement reasonably acceptable to Landlord. Tenant acknowledges and agrees that any accountant conducting the audit shall not be compensated on a contingency fee basis.</w:t>
      </w:r>
    </w:p>
    <w:p>
      <w:pPr>
        <w:spacing w:after="0" w:line="166" w:lineRule="exact"/>
        <w:rPr>
          <w:rFonts w:ascii="Arial" w:cs="Arial" w:eastAsia="Arial" w:hAnsi="Arial"/>
          <w:sz w:val="16"/>
          <w:szCs w:val="16"/>
          <w:color w:val="auto"/>
        </w:rPr>
      </w:pPr>
    </w:p>
    <w:p>
      <w:pPr>
        <w:ind w:left="4" w:right="180" w:firstLine="436"/>
        <w:spacing w:after="0" w:line="263" w:lineRule="auto"/>
        <w:tabs>
          <w:tab w:leader="none" w:pos="804"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Variances</w:t>
      </w:r>
      <w:r>
        <w:rPr>
          <w:rFonts w:ascii="Arial" w:cs="Arial" w:eastAsia="Arial" w:hAnsi="Arial"/>
          <w:sz w:val="18"/>
          <w:szCs w:val="18"/>
          <w:color w:val="auto"/>
        </w:rPr>
        <w:t>. If the estimated monthly payments of Tenant’s Share of Operating Expenses that Tenant has paid are greater than Tenant’s Share of Operating Expenses as set forth in Landlord’s Statement, Landlord shall credit such overpayment against subsequent obligations of Tenant for payment</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432"/>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04"/>
          </w:cols>
          <w:pgMar w:left="436" w:top="273" w:right="459" w:bottom="1440" w:gutter="0" w:footer="0" w:header="0"/>
        </w:sectPr>
      </w:pPr>
    </w:p>
    <w:bookmarkStart w:id="583" w:name="page584"/>
    <w:bookmarkEnd w:id="58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Operating Expenses, or refund such overpayment if the Term has ended and Tenant has no further obligations to Landlord hereunder. If the estimated monthly payments of Tenant’s Share of Operating Expenses are less than the amount due for the Operating Year, Tenant shall pay the balance due within twenty (20) days from receiving Landlord’s Statement. Notwithstanding that the Term may have expired and Tenant has vacated the Premises, when final determination is made of Tenant’s Share of Expense Increases or Tax Increases for the year in which this Lease terminates, Tenant shall pay any increase due over the estimated Expense Increases or Tax Increases paid (or Landlord shall refund any overpayments) within ten (10) Business Days after Landlord’s delivery of Landlord’s Statement therefor. In the event the audit shows that Tenant overpaid Operating Expenses by more than five percent (5%), Landlord shall also pay the cost of Tenant’s audit up to a maximum of $2,500.00 per audit.</w:t>
      </w:r>
    </w:p>
    <w:p>
      <w:pPr>
        <w:spacing w:after="0" w:line="166" w:lineRule="exact"/>
        <w:rPr>
          <w:sz w:val="20"/>
          <w:szCs w:val="20"/>
          <w:color w:val="auto"/>
        </w:rPr>
      </w:pPr>
    </w:p>
    <w:p>
      <w:pPr>
        <w:ind w:right="60" w:firstLine="436"/>
        <w:spacing w:after="0" w:line="308" w:lineRule="auto"/>
        <w:tabs>
          <w:tab w:leader="none" w:pos="830" w:val="left"/>
        </w:tabs>
        <w:numPr>
          <w:ilvl w:val="0"/>
          <w:numId w:val="433"/>
        </w:numPr>
        <w:rPr>
          <w:rFonts w:ascii="Arial" w:cs="Arial" w:eastAsia="Arial" w:hAnsi="Arial"/>
          <w:sz w:val="17"/>
          <w:szCs w:val="17"/>
          <w:color w:val="auto"/>
        </w:rPr>
      </w:pPr>
      <w:r>
        <w:rPr>
          <w:rFonts w:ascii="Arial" w:cs="Arial" w:eastAsia="Arial" w:hAnsi="Arial"/>
          <w:sz w:val="17"/>
          <w:szCs w:val="17"/>
          <w:u w:val="single" w:color="auto"/>
          <w:color w:val="auto"/>
        </w:rPr>
        <w:t>Sales Tax</w:t>
      </w:r>
      <w:r>
        <w:rPr>
          <w:rFonts w:ascii="Arial" w:cs="Arial" w:eastAsia="Arial" w:hAnsi="Arial"/>
          <w:sz w:val="17"/>
          <w:szCs w:val="17"/>
          <w:color w:val="auto"/>
        </w:rPr>
        <w:t>. In the event that any tax shall be levied by any authority having jurisdiction, upon Base Rent and/or Additional Rent, Tenant shall pay the exact amount of such tax to Landlord at the same time each installment of Base Rent and/or Additional Rent is paid to Landlord.</w:t>
      </w:r>
    </w:p>
    <w:p>
      <w:pPr>
        <w:spacing w:after="0" w:line="25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SECTION 7.</w:t>
      </w:r>
      <w:r>
        <w:rPr>
          <w:sz w:val="20"/>
          <w:szCs w:val="20"/>
          <w:color w:val="auto"/>
        </w:rPr>
        <w:tab/>
      </w:r>
      <w:r>
        <w:rPr>
          <w:rFonts w:ascii="Arial" w:cs="Arial" w:eastAsia="Arial" w:hAnsi="Arial"/>
          <w:sz w:val="17"/>
          <w:szCs w:val="17"/>
          <w:u w:val="single" w:color="auto"/>
          <w:color w:val="auto"/>
        </w:rPr>
        <w:t>LANDLORD’S OBLIGATIONS; TENANT’S OBLIGATIONS</w:t>
      </w:r>
      <w:r>
        <w:rPr>
          <w:rFonts w:ascii="Arial" w:cs="Arial" w:eastAsia="Arial" w:hAnsi="Arial"/>
          <w:sz w:val="17"/>
          <w:szCs w:val="17"/>
          <w:color w:val="auto"/>
        </w:rPr>
        <w:t>.</w:t>
      </w:r>
    </w:p>
    <w:p>
      <w:pPr>
        <w:spacing w:after="0" w:line="131"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Landlord’s Obligations</w:t>
      </w:r>
      <w:r>
        <w:rPr>
          <w:rFonts w:ascii="Arial" w:cs="Arial" w:eastAsia="Arial" w:hAnsi="Arial"/>
          <w:sz w:val="16"/>
          <w:szCs w:val="16"/>
          <w:color w:val="auto"/>
        </w:rPr>
        <w:t>.</w:t>
      </w:r>
    </w:p>
    <w:p>
      <w:pPr>
        <w:spacing w:after="0" w:line="117"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Landlord shall keep in good condition and repair the structure and exterior of the Building, including the roof, the elevator(s), if any, the plumbing and electrical systems, and the heating and ventilating and air conditioning systems servicing the Building and the Premises (except for such equipment and service lines installed by Tenant), and any walkways, stairs, and paved areas, if any, serving the Building. Landlord shall comply with laws, rules, regulations and ordinances affecting the Building, unless the subject matter of the compliance relates to Tenant or Tenant’s particular manner of use of the Premises, or to any other tenant in the Building. Notwithstanding the foregoing or any other provision of this Lease, however, Tenant shall not be responsible for installations or replacements of, or repairs to, the Building Structure (as hereinafter defined) or the Building Systems (as hereinafter defined) unless necessitated by (i) Tenant’s Alterations (as hereinafter defined), (ii) Tenant’s particular manner of use of the Premises (as opposed to office use generally), or (iii) the negligence or willful misconduct of Tenant or Tenant’s Agents. Landlord shall keep the sidewalks, common corridors, stairways, elevator(s), if any, and all other means of ingress and egress for the Premises and all public portions of the Building in serviceable repair and in a reasonably clean and safe condition. Landlord reserves the right to interrupt, curtail, stop, and suspend the furnishing of any services and operation of the plumbing and electrical, heating, ventilating, and air conditioning systems, and elevator(s), if any, when necessary, by reason of accident or emergency or for repairs, alterations, replacements, or improvements, which may become necessary or Landlord is not able to secure supplies or labor or by reason of any other cause beyond Landlord’s control, without liability or any abatement of Base Rent or Additional Rent claimed by Tenant. Landlord shall use reasonable efforts to minimize interruption of Tenant’s business, but Landlord shall not be required to perform work in such a manner so as to incur overtime or other such after-hours charges. Notwithstanding the foregoing, and subject to the terms and conditions of this Lease, if (A) (1) Landlord fails to perform its maintenance obligations under this Lease or (2) there is an interruption, suspension or stoppage of any service which Landlord is required to provide pursuant to this Lease, including but not limited to the provision of utilities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((1) and (2) each a “</w:t>
      </w:r>
      <w:r>
        <w:rPr>
          <w:rFonts w:ascii="Arial" w:cs="Arial" w:eastAsia="Arial" w:hAnsi="Arial"/>
          <w:sz w:val="16"/>
          <w:szCs w:val="16"/>
          <w:u w:val="single" w:color="auto"/>
          <w:color w:val="auto"/>
        </w:rPr>
        <w:t>Service Interruption</w:t>
      </w:r>
      <w:r>
        <w:rPr>
          <w:rFonts w:ascii="Arial" w:cs="Arial" w:eastAsia="Arial" w:hAnsi="Arial"/>
          <w:sz w:val="16"/>
          <w:szCs w:val="16"/>
          <w:color w:val="auto"/>
        </w:rPr>
        <w:t>”), (B) such Service Interruption was the result of causes, events or circumstances within Landlord’s reasonable control, (C) such Service Interruption was not caused by Tenant or Tenant’s Agents, (D) such Service Interruption continues for more than five (5) consecutive Business Days after Landlord’s receipt of written notice from Tenant of such Service Interruption, and (E) as a result of such Service Interruption, the conduct of Tenant’s normal business operations in the Premises is materially and adversely affected, then there shall be an abatement of one day’s Base Rent for each day during which such Service Interruption continues after such five (5) consecutive Business Day period; provided, however, that if any portion of the Premises is reasonably usable for Tenant’s normal business operations or if Tenant conducts all or any part of its business operations in any portion of the Premises notwithstanding such Service Interruption, then the amount of the daily abatement of Base Rent shall be proportionate to the nature and extent of the interruption of Tenant’s normal business operations or ability to use the Premises.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00"/>
          </w:cols>
          <w:pgMar w:left="440" w:top="273" w:right="459" w:bottom="1440" w:gutter="0" w:footer="0" w:header="0"/>
        </w:sectPr>
      </w:pPr>
    </w:p>
    <w:bookmarkStart w:id="584" w:name="page585"/>
    <w:bookmarkEnd w:id="584"/>
    <w:p>
      <w:pPr>
        <w:ind w:right="4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Landlord shall maintain the Common Areas in accordance with the standards of comparable class buildings in Boston. Landlord reserves the right from time to time to (a) make changes in the shape, size, location and appearance of the Common Areas; provided, however, that the same shall not render the Premises untenantable for the Permitted Use; (b) make such improvements, alterations and repairs to the Common Areas as may be required by governmental authorities or by utility companies servicing the Property; (c) construct, maintain and operate lighting and other facilities on all said areas and improvements; and (d) to add or remove improvements and facilities to or from the Common Areas; provided, however, that the same shall not render the Premises untenantable for the Permitted Use. The use of the Common Areas shall be subject to such reasonable regulations and changes therein as Landlord shall make from time to time and notify Tenant of in writing, including (but not by way of limitation) the right to close from time to time, if necessary, all or any portion of the Common Areas to such extent as may be legally sufficient, in the opinion of Landlord’s counsel, to prevent a dedication thereof or the accrual of rights of any person or of the public therein; provided, however, Landlord shall do so at such times and in such manner as shall minimize any disruption to Tenant to the extent reasonably possible.</w:t>
      </w:r>
    </w:p>
    <w:p>
      <w:pPr>
        <w:spacing w:after="0" w:line="317"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Tenant’s Obligations</w:t>
      </w:r>
      <w:r>
        <w:rPr>
          <w:rFonts w:ascii="Arial" w:cs="Arial" w:eastAsia="Arial" w:hAnsi="Arial"/>
          <w:sz w:val="16"/>
          <w:szCs w:val="16"/>
          <w:color w:val="auto"/>
        </w:rPr>
        <w:t>.</w:t>
      </w:r>
    </w:p>
    <w:p>
      <w:pPr>
        <w:spacing w:after="0" w:line="11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Except as otherwise provided in Section 7.1 herein, Tenant shall maintain the Premises, including, without limitation, all mechanical, electrical, plumbing and HVAC systems installed by Tenant within the Premises (the parties acknowledge that Landlord shall maintain such systems not installed by Tenant), all partitions, walls (other than the structural load bearing walls), floor coverings, doors, loading dock(s), glass (other than exterior windows), and all other portions thereof in the condition each of the same were in at the time of the delivery thereof to Tenant, but in all events in good and tenantable working order, condition, and repair, and will maintain and repair the same when necessary so as to comply with the foregoing, excepting only reasonable wear and tear, casualty and condemnation.</w:t>
      </w:r>
    </w:p>
    <w:p>
      <w:pPr>
        <w:spacing w:after="0" w:line="19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If Landlord gives Tenant written notice of the necessity of any repairs required to be made under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and Tenant fails to cure the same within twenty (20) days thereafter (except that no notice will be required in case of any emergency repair necessary to prevent substantial damage to or deterioration of the Property), Landlord, at its option and in addition to any other remedies hereunder, may proceed to make such repairs, and any costs and expenses incurred by Landlord in connection therewith plus and administration charge of ten percent (10%) of such costs and expenses, shall be due and payable upon demand, as Additional Rent; provided, however, that Landlord’s making any such repairs shall not be deemed a waiver by Landlord of Tenant’s default in failing to make the same.</w:t>
      </w:r>
    </w:p>
    <w:p>
      <w:pPr>
        <w:spacing w:after="0" w:line="30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auto"/>
        </w:rPr>
        <w:t>SECTION 8.</w:t>
      </w:r>
      <w:r>
        <w:rPr>
          <w:sz w:val="20"/>
          <w:szCs w:val="20"/>
          <w:color w:val="auto"/>
        </w:rPr>
        <w:tab/>
      </w:r>
      <w:r>
        <w:rPr>
          <w:rFonts w:ascii="Arial" w:cs="Arial" w:eastAsia="Arial" w:hAnsi="Arial"/>
          <w:sz w:val="17"/>
          <w:szCs w:val="17"/>
          <w:u w:val="single" w:color="auto"/>
          <w:color w:val="auto"/>
        </w:rPr>
        <w:t>FLOOR LOAD; HEAVY MACHINERY</w:t>
      </w:r>
      <w:r>
        <w:rPr>
          <w:rFonts w:ascii="Arial" w:cs="Arial" w:eastAsia="Arial" w:hAnsi="Arial"/>
          <w:sz w:val="17"/>
          <w:szCs w:val="17"/>
          <w:color w:val="auto"/>
        </w:rPr>
        <w:t>.</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Tenant shall not place a load upon any floor of the Premises exceeding the floor load per square foot area which the floor was designed to carry and which is allowed by law. Business machines and mechanical equipment shall be placed and maintained by Tenant at Tenant’s expense in settings sufficient to prevent transmission of noise and vibration to any other part of the Building and Property. Any moving of any machinery and/or equipment into, out of, or within the Property (including the Premises) shall be done only with the prior written consent of Landlord in each instance, which consent shall not be unreasonably withheld, conditioned or delayed, and shall be at the sole risk and hazard of Tenant, and at times specifically approved by Landlord. Tenant shall not in any way break, cut into, or damage the exterior perimeter walls or insulating panels of the Building in installing, ventilating, or exhausting its equipment or in any other manner.</w:t>
      </w:r>
    </w:p>
    <w:p>
      <w:pPr>
        <w:spacing w:after="0" w:line="28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auto"/>
        </w:rPr>
        <w:t>SECTION 9.</w:t>
      </w:r>
      <w:r>
        <w:rPr>
          <w:sz w:val="20"/>
          <w:szCs w:val="20"/>
          <w:color w:val="auto"/>
        </w:rPr>
        <w:tab/>
      </w:r>
      <w:r>
        <w:rPr>
          <w:rFonts w:ascii="Arial" w:cs="Arial" w:eastAsia="Arial" w:hAnsi="Arial"/>
          <w:sz w:val="16"/>
          <w:szCs w:val="16"/>
          <w:u w:val="single" w:color="auto"/>
          <w:color w:val="auto"/>
        </w:rPr>
        <w:t>SERVICES</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Landlord shall provide or cause to be provided:</w:t>
      </w:r>
    </w:p>
    <w:p>
      <w:pPr>
        <w:spacing w:after="0" w:line="225" w:lineRule="exact"/>
        <w:rPr>
          <w:sz w:val="20"/>
          <w:szCs w:val="20"/>
          <w:color w:val="auto"/>
        </w:rPr>
      </w:pPr>
    </w:p>
    <w:p>
      <w:pPr>
        <w:ind w:right="100" w:firstLine="436"/>
        <w:spacing w:after="0" w:line="275" w:lineRule="auto"/>
        <w:tabs>
          <w:tab w:leader="none" w:pos="810" w:val="left"/>
        </w:tabs>
        <w:numPr>
          <w:ilvl w:val="0"/>
          <w:numId w:val="434"/>
        </w:numPr>
        <w:rPr>
          <w:rFonts w:ascii="Arial" w:cs="Arial" w:eastAsia="Arial" w:hAnsi="Arial"/>
          <w:sz w:val="17"/>
          <w:szCs w:val="17"/>
          <w:color w:val="auto"/>
        </w:rPr>
      </w:pPr>
      <w:r>
        <w:rPr>
          <w:rFonts w:ascii="Arial" w:cs="Arial" w:eastAsia="Arial" w:hAnsi="Arial"/>
          <w:sz w:val="17"/>
          <w:szCs w:val="17"/>
          <w:color w:val="auto"/>
        </w:rPr>
        <w:t>Access to the Building from the lobby Monday through Friday, except for Massachusetts legal holidays, hereinafter referred to as “</w:t>
      </w:r>
      <w:r>
        <w:rPr>
          <w:rFonts w:ascii="Arial" w:cs="Arial" w:eastAsia="Arial" w:hAnsi="Arial"/>
          <w:sz w:val="17"/>
          <w:szCs w:val="17"/>
          <w:u w:val="single" w:color="auto"/>
          <w:color w:val="auto"/>
        </w:rPr>
        <w:t>Business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Days</w:t>
      </w:r>
      <w:r>
        <w:rPr>
          <w:rFonts w:ascii="Arial" w:cs="Arial" w:eastAsia="Arial" w:hAnsi="Arial"/>
          <w:sz w:val="17"/>
          <w:szCs w:val="17"/>
          <w:color w:val="auto"/>
        </w:rPr>
        <w:t>”, during normal business hours. Normal business hours are Monday through Friday, 8:00 a.m. to 6:00 p.m. (“</w:t>
      </w:r>
      <w:r>
        <w:rPr>
          <w:rFonts w:ascii="Arial" w:cs="Arial" w:eastAsia="Arial" w:hAnsi="Arial"/>
          <w:sz w:val="17"/>
          <w:szCs w:val="17"/>
          <w:u w:val="single" w:color="auto"/>
          <w:color w:val="auto"/>
        </w:rPr>
        <w:t>Normal Business Hours</w:t>
      </w:r>
      <w:r>
        <w:rPr>
          <w:rFonts w:ascii="Arial" w:cs="Arial" w:eastAsia="Arial" w:hAnsi="Arial"/>
          <w:sz w:val="17"/>
          <w:szCs w:val="17"/>
          <w:color w:val="auto"/>
        </w:rPr>
        <w:t>”), Massachusetts legal holidays excepted. At all other times, that is, twenty-four (24) hours a day, seven (7) days per week, Landlord shall provide limited access to the Building in accordance with the standard entry system as shall from time to time be in effect in the Building. As of the Commencement Date, access to the Building at other than normal business hours shall be through either a hard key, key card,</w:t>
      </w:r>
    </w:p>
    <w:p>
      <w:pPr>
        <w:spacing w:after="0" w:line="108" w:lineRule="exact"/>
        <w:rPr>
          <w:rFonts w:ascii="Arial" w:cs="Arial" w:eastAsia="Arial" w:hAnsi="Arial"/>
          <w:sz w:val="17"/>
          <w:szCs w:val="17"/>
          <w:color w:val="auto"/>
        </w:rPr>
      </w:pPr>
    </w:p>
    <w:p>
      <w:pPr>
        <w:ind w:left="5420" w:hanging="111"/>
        <w:spacing w:after="0"/>
        <w:tabs>
          <w:tab w:leader="none" w:pos="542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000"/>
          </w:cols>
          <w:pgMar w:left="440" w:top="273" w:right="459" w:bottom="1440" w:gutter="0" w:footer="0" w:header="0"/>
        </w:sectPr>
      </w:pPr>
    </w:p>
    <w:bookmarkStart w:id="585" w:name="page586"/>
    <w:bookmarkEnd w:id="585"/>
    <w:p>
      <w:pPr>
        <w:ind w:left="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personnel identification pin station system. Tenant shall be entitled to one (1) key card/key for each of Tenant’s employees at no cost to Tenant. Additional and replacement key cards/keys shall be provided to Tenant at the cost of Fifteen Dollars and Zero Cents ($15.00) each. Upon the expiration or earlier termination of this Lease, Tenant shall return all key cards/keys and shall pay to Landlord Fifteen Dollars and Zero Cents ($15.00) for each key card/key originally issued at no cost to Tenant pursuant to this subsection and not so returned, which payment shall be deemed Additional Rent and may be withheld from any security deposit or letter of credit hereunder or otherwise collected in accordance with applicable law. Landlord reserves the right to alter the Building standard entry system from time to time as it sees fit and to provide replacement cards to Tenant at no cost to Tenant following such alteration.</w:t>
      </w:r>
    </w:p>
    <w:p>
      <w:pPr>
        <w:spacing w:after="0" w:line="195" w:lineRule="exact"/>
        <w:rPr>
          <w:sz w:val="20"/>
          <w:szCs w:val="20"/>
          <w:color w:val="auto"/>
        </w:rPr>
      </w:pPr>
    </w:p>
    <w:p>
      <w:pPr>
        <w:ind w:left="4" w:right="160" w:firstLine="436"/>
        <w:spacing w:after="0" w:line="279" w:lineRule="auto"/>
        <w:tabs>
          <w:tab w:leader="none" w:pos="834" w:val="left"/>
        </w:tabs>
        <w:numPr>
          <w:ilvl w:val="0"/>
          <w:numId w:val="435"/>
        </w:numPr>
        <w:rPr>
          <w:rFonts w:ascii="Arial" w:cs="Arial" w:eastAsia="Arial" w:hAnsi="Arial"/>
          <w:sz w:val="17"/>
          <w:szCs w:val="17"/>
          <w:color w:val="auto"/>
        </w:rPr>
      </w:pPr>
      <w:r>
        <w:rPr>
          <w:rFonts w:ascii="Arial" w:cs="Arial" w:eastAsia="Arial" w:hAnsi="Arial"/>
          <w:sz w:val="17"/>
          <w:szCs w:val="17"/>
          <w:color w:val="auto"/>
        </w:rPr>
        <w:t>Janitorial services in and about the Premises in accordance with Landlord’s cleaning specifications, which shall be comparable to other similar class buildings in Boston, Saturdays, Sundays and union and state and federal government holidays (the “</w:t>
      </w:r>
      <w:r>
        <w:rPr>
          <w:rFonts w:ascii="Arial" w:cs="Arial" w:eastAsia="Arial" w:hAnsi="Arial"/>
          <w:sz w:val="17"/>
          <w:szCs w:val="17"/>
          <w:u w:val="single" w:color="auto"/>
          <w:color w:val="auto"/>
        </w:rPr>
        <w:t>Holidays</w:t>
      </w:r>
      <w:r>
        <w:rPr>
          <w:rFonts w:ascii="Arial" w:cs="Arial" w:eastAsia="Arial" w:hAnsi="Arial"/>
          <w:sz w:val="17"/>
          <w:szCs w:val="17"/>
          <w:color w:val="auto"/>
        </w:rPr>
        <w:t>”) excepted. Tenant shall not provide any janitorial service without Landlord’s prior written consent. If Landlord’s prior written consent is given, such janitorial services shall be subject to Landlord’s supervision and control, but shall be performed at Tenant’s sole cost and responsibility.</w:t>
      </w:r>
    </w:p>
    <w:p>
      <w:pPr>
        <w:spacing w:after="0" w:line="171" w:lineRule="exact"/>
        <w:rPr>
          <w:rFonts w:ascii="Arial" w:cs="Arial" w:eastAsia="Arial" w:hAnsi="Arial"/>
          <w:sz w:val="17"/>
          <w:szCs w:val="17"/>
          <w:color w:val="auto"/>
        </w:rPr>
      </w:pPr>
    </w:p>
    <w:p>
      <w:pPr>
        <w:ind w:left="4" w:right="320" w:firstLine="436"/>
        <w:spacing w:after="0" w:line="259" w:lineRule="auto"/>
        <w:tabs>
          <w:tab w:leader="none" w:pos="82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Heating and air-conditioning building systems with capacity to maintain comfortable temperature (excluding specialized temperature and humidity control for computers, printers and other equipment) daily during Normal Business Hours, Saturdays, Sundays and Holidays excepted, consistent with such service typical of comparable class buildings in Boston. Tenant shall pay the cost to operate such systems directly to the utility provider or to Landlord as applicable.</w:t>
      </w:r>
    </w:p>
    <w:p>
      <w:pPr>
        <w:spacing w:after="0" w:line="186" w:lineRule="exact"/>
        <w:rPr>
          <w:rFonts w:ascii="Arial" w:cs="Arial" w:eastAsia="Arial" w:hAnsi="Arial"/>
          <w:sz w:val="18"/>
          <w:szCs w:val="18"/>
          <w:color w:val="auto"/>
        </w:rPr>
      </w:pPr>
    </w:p>
    <w:p>
      <w:pPr>
        <w:ind w:left="4" w:right="20" w:firstLine="436"/>
        <w:spacing w:after="0" w:line="259" w:lineRule="auto"/>
        <w:tabs>
          <w:tab w:leader="none" w:pos="83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Hot and cold running water for cleaning, landscaping, grounds maintenance, fire protection, drinking, lavatory and toilet purposes drawn through fixtures installed by Landlord or by Tenant with Landlord’s prior written consent. If Tenant’s water use increases beyond customary office user levels, Landlord shall have the right to install a water meter at Tenant’s expense and to charge Tenant as Additional Rent for its water consumption in the Premises.</w:t>
      </w:r>
    </w:p>
    <w:p>
      <w:pPr>
        <w:spacing w:after="0" w:line="186" w:lineRule="exact"/>
        <w:rPr>
          <w:rFonts w:ascii="Arial" w:cs="Arial" w:eastAsia="Arial" w:hAnsi="Arial"/>
          <w:sz w:val="18"/>
          <w:szCs w:val="18"/>
          <w:color w:val="auto"/>
        </w:rPr>
      </w:pPr>
    </w:p>
    <w:p>
      <w:pPr>
        <w:ind w:left="4" w:right="40" w:firstLine="436"/>
        <w:spacing w:after="0" w:line="259" w:lineRule="auto"/>
        <w:tabs>
          <w:tab w:leader="none" w:pos="82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Electric current from providers selected by Landlord, in amounts required for normal lighting by building standard lighting overhead fixtures and for Tenant’s normal business operations, including without limitation, personal computers, copiers, facsimiles and other ordinary business equipment, </w:t>
      </w:r>
      <w:r>
        <w:rPr>
          <w:rFonts w:ascii="Arial" w:cs="Arial" w:eastAsia="Arial" w:hAnsi="Arial"/>
          <w:sz w:val="18"/>
          <w:szCs w:val="18"/>
          <w:u w:val="single" w:color="auto"/>
          <w:color w:val="auto"/>
        </w:rPr>
        <w:t>subject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to Landlord’s approval of Tenant’s final electrical plan for the Premises (but specifically excluding electric current surge protection).</w:t>
      </w:r>
    </w:p>
    <w:p>
      <w:pPr>
        <w:spacing w:after="0" w:line="186" w:lineRule="exact"/>
        <w:rPr>
          <w:rFonts w:ascii="Arial" w:cs="Arial" w:eastAsia="Arial" w:hAnsi="Arial"/>
          <w:sz w:val="18"/>
          <w:szCs w:val="18"/>
          <w:color w:val="auto"/>
        </w:rPr>
      </w:pPr>
    </w:p>
    <w:p>
      <w:pPr>
        <w:ind w:left="804" w:hanging="364"/>
        <w:spacing w:after="0"/>
        <w:tabs>
          <w:tab w:leader="none" w:pos="80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Maintenance of the Common Areas in a condition comparable to other similar class buildings in Boston.</w:t>
      </w:r>
    </w:p>
    <w:p>
      <w:pPr>
        <w:spacing w:after="0" w:line="225"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Costs associated with the foregoing, except separately metered utilities or as otherwise provided herein, are included in Operating Expenses.</w:t>
      </w:r>
    </w:p>
    <w:p>
      <w:pPr>
        <w:spacing w:after="0" w:line="345" w:lineRule="exact"/>
        <w:rPr>
          <w:sz w:val="20"/>
          <w:szCs w:val="20"/>
          <w:color w:val="auto"/>
        </w:rPr>
      </w:pPr>
    </w:p>
    <w:p>
      <w:pPr>
        <w:jc w:val="center"/>
        <w:ind w:right="8916"/>
        <w:spacing w:after="0"/>
        <w:tabs>
          <w:tab w:leader="none" w:pos="160" w:val="left"/>
        </w:tabs>
        <w:rPr>
          <w:sz w:val="20"/>
          <w:szCs w:val="20"/>
          <w:color w:val="auto"/>
        </w:rPr>
      </w:pPr>
      <w:r>
        <w:rPr>
          <w:rFonts w:ascii="Arial" w:cs="Arial" w:eastAsia="Arial" w:hAnsi="Arial"/>
          <w:sz w:val="18"/>
          <w:szCs w:val="18"/>
          <w:u w:val="single" w:color="auto"/>
          <w:color w:val="auto"/>
        </w:rPr>
        <w:t>SECTION 10.</w:t>
      </w:r>
      <w:r>
        <w:rPr>
          <w:sz w:val="20"/>
          <w:szCs w:val="20"/>
          <w:color w:val="auto"/>
        </w:rPr>
        <w:tab/>
      </w:r>
      <w:r>
        <w:rPr>
          <w:rFonts w:ascii="Arial" w:cs="Arial" w:eastAsia="Arial" w:hAnsi="Arial"/>
          <w:sz w:val="18"/>
          <w:szCs w:val="18"/>
          <w:u w:val="single" w:color="auto"/>
          <w:color w:val="auto"/>
        </w:rPr>
        <w:t>UTILITIES</w:t>
      </w:r>
      <w:r>
        <w:rPr>
          <w:rFonts w:ascii="Arial" w:cs="Arial" w:eastAsia="Arial" w:hAnsi="Arial"/>
          <w:sz w:val="18"/>
          <w:szCs w:val="18"/>
          <w:color w:val="auto"/>
        </w:rPr>
        <w:t>.</w:t>
      </w:r>
    </w:p>
    <w:p>
      <w:pPr>
        <w:spacing w:after="0" w:line="131" w:lineRule="exact"/>
        <w:rPr>
          <w:sz w:val="20"/>
          <w:szCs w:val="20"/>
          <w:color w:val="auto"/>
        </w:rPr>
      </w:pPr>
    </w:p>
    <w:p>
      <w:pPr>
        <w:jc w:val="center"/>
        <w:ind w:right="8956"/>
        <w:spacing w:after="0"/>
        <w:tabs>
          <w:tab w:leader="none" w:pos="2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Payment</w:t>
      </w:r>
      <w:r>
        <w:rPr>
          <w:rFonts w:ascii="Arial" w:cs="Arial" w:eastAsia="Arial" w:hAnsi="Arial"/>
          <w:sz w:val="16"/>
          <w:szCs w:val="16"/>
          <w:color w:val="auto"/>
        </w:rPr>
        <w:t>.</w:t>
      </w:r>
    </w:p>
    <w:p>
      <w:pPr>
        <w:spacing w:after="0" w:line="117" w:lineRule="exact"/>
        <w:rPr>
          <w:sz w:val="20"/>
          <w:szCs w:val="20"/>
          <w:color w:val="auto"/>
        </w:rPr>
      </w:pPr>
    </w:p>
    <w:p>
      <w:pPr>
        <w:ind w:left="4" w:right="40" w:firstLine="436"/>
        <w:spacing w:after="0" w:line="275" w:lineRule="auto"/>
        <w:tabs>
          <w:tab w:leader="none" w:pos="1004" w:val="left"/>
        </w:tabs>
        <w:numPr>
          <w:ilvl w:val="1"/>
          <w:numId w:val="436"/>
        </w:numPr>
        <w:rPr>
          <w:rFonts w:ascii="Arial" w:cs="Arial" w:eastAsia="Arial" w:hAnsi="Arial"/>
          <w:sz w:val="17"/>
          <w:szCs w:val="17"/>
          <w:color w:val="auto"/>
        </w:rPr>
      </w:pPr>
      <w:r>
        <w:rPr>
          <w:rFonts w:ascii="Arial" w:cs="Arial" w:eastAsia="Arial" w:hAnsi="Arial"/>
          <w:sz w:val="17"/>
          <w:szCs w:val="17"/>
          <w:u w:val="single" w:color="auto"/>
          <w:color w:val="auto"/>
        </w:rPr>
        <w:t>Electricity</w:t>
      </w:r>
      <w:r>
        <w:rPr>
          <w:rFonts w:ascii="Arial" w:cs="Arial" w:eastAsia="Arial" w:hAnsi="Arial"/>
          <w:sz w:val="17"/>
          <w:szCs w:val="17"/>
          <w:color w:val="auto"/>
        </w:rPr>
        <w:t>. Tenant shall pay for all electricity used by Tenant in the Premises based on the utility service provider’s reading of one or more direct meters, and payable by Tenant to the utility service provider upon demand. Tenant’s use of electrical services shall not exceed in voltage, rated capacity, or overall load that which is standard for the Building. Landlord, at any time during the Term of this Lease, shall have the right (i) to sub-meter or check meter electricity for the Premises, in which case electricity shall be paid by Tenant to Landlord as Additional Rent, or (ii) to measure electrical usage by survey or any other method that Landlord, in its reasonable judgment, deems appropriate.</w:t>
      </w:r>
    </w:p>
    <w:p>
      <w:pPr>
        <w:spacing w:after="0" w:line="176" w:lineRule="exact"/>
        <w:rPr>
          <w:rFonts w:ascii="Arial" w:cs="Arial" w:eastAsia="Arial" w:hAnsi="Arial"/>
          <w:sz w:val="17"/>
          <w:szCs w:val="17"/>
          <w:color w:val="auto"/>
        </w:rPr>
      </w:pPr>
    </w:p>
    <w:p>
      <w:pPr>
        <w:ind w:left="4" w:right="80" w:firstLine="436"/>
        <w:spacing w:after="0" w:line="286" w:lineRule="auto"/>
        <w:tabs>
          <w:tab w:leader="none" w:pos="1014" w:val="left"/>
        </w:tabs>
        <w:numPr>
          <w:ilvl w:val="1"/>
          <w:numId w:val="436"/>
        </w:numPr>
        <w:rPr>
          <w:rFonts w:ascii="Arial" w:cs="Arial" w:eastAsia="Arial" w:hAnsi="Arial"/>
          <w:sz w:val="16"/>
          <w:szCs w:val="16"/>
          <w:color w:val="auto"/>
        </w:rPr>
      </w:pPr>
      <w:r>
        <w:rPr>
          <w:rFonts w:ascii="Arial" w:cs="Arial" w:eastAsia="Arial" w:hAnsi="Arial"/>
          <w:sz w:val="16"/>
          <w:szCs w:val="16"/>
          <w:u w:val="single" w:color="auto"/>
          <w:color w:val="auto"/>
        </w:rPr>
        <w:t>Utilities Other Than Electricity</w:t>
      </w:r>
      <w:r>
        <w:rPr>
          <w:rFonts w:ascii="Arial" w:cs="Arial" w:eastAsia="Arial" w:hAnsi="Arial"/>
          <w:sz w:val="16"/>
          <w:szCs w:val="16"/>
          <w:color w:val="auto"/>
        </w:rPr>
        <w:t xml:space="preserve">. Any utilities (other than electricity, which shall be paid for in accordance with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above) which are furnished directly to the Premises by a utility provider and separately metered shall be registered in Tenant’s name and Tenant shall cooperate with Landlord to have the utility bills sent directly to and paid directly by Tenant. Any utilities (other than electricity, which shall be paid for in accordance with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above) which are sub-metered or check metered shall payable by Tenant to Landlord as Additional Rent within thirty</w:t>
      </w:r>
    </w:p>
    <w:p>
      <w:pPr>
        <w:spacing w:after="0" w:line="1" w:lineRule="exact"/>
        <w:rPr>
          <w:rFonts w:ascii="Arial" w:cs="Arial" w:eastAsia="Arial" w:hAnsi="Arial"/>
          <w:sz w:val="16"/>
          <w:szCs w:val="16"/>
          <w:color w:val="auto"/>
        </w:rPr>
      </w:pPr>
    </w:p>
    <w:p>
      <w:pPr>
        <w:ind w:left="344" w:hanging="344"/>
        <w:spacing w:after="0"/>
        <w:tabs>
          <w:tab w:leader="none" w:pos="344" w:val="left"/>
        </w:tabs>
        <w:numPr>
          <w:ilvl w:val="0"/>
          <w:numId w:val="437"/>
        </w:numPr>
        <w:rPr>
          <w:rFonts w:ascii="Arial" w:cs="Arial" w:eastAsia="Arial" w:hAnsi="Arial"/>
          <w:sz w:val="18"/>
          <w:szCs w:val="18"/>
          <w:color w:val="auto"/>
        </w:rPr>
      </w:pPr>
      <w:r>
        <w:rPr>
          <w:rFonts w:ascii="Arial" w:cs="Arial" w:eastAsia="Arial" w:hAnsi="Arial"/>
          <w:sz w:val="18"/>
          <w:szCs w:val="18"/>
          <w:color w:val="auto"/>
        </w:rPr>
        <w:t>days after billing.</w:t>
      </w:r>
    </w:p>
    <w:p>
      <w:pPr>
        <w:spacing w:after="0" w:line="143" w:lineRule="exact"/>
        <w:rPr>
          <w:rFonts w:ascii="Arial" w:cs="Arial" w:eastAsia="Arial" w:hAnsi="Arial"/>
          <w:sz w:val="18"/>
          <w:szCs w:val="18"/>
          <w:color w:val="auto"/>
        </w:rPr>
      </w:pPr>
    </w:p>
    <w:p>
      <w:pPr>
        <w:ind w:left="5424" w:hanging="111"/>
        <w:spacing w:after="0"/>
        <w:tabs>
          <w:tab w:leader="none" w:pos="5424" w:val="left"/>
        </w:tabs>
        <w:numPr>
          <w:ilvl w:val="2"/>
          <w:numId w:val="437"/>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024"/>
          </w:cols>
          <w:pgMar w:left="436" w:top="273" w:right="439" w:bottom="1440" w:gutter="0" w:footer="0" w:header="0"/>
        </w:sectPr>
      </w:pPr>
    </w:p>
    <w:bookmarkStart w:id="586" w:name="page587"/>
    <w:bookmarkEnd w:id="586"/>
    <w:p>
      <w:pPr>
        <w:ind w:right="2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10.2 </w:t>
      </w:r>
      <w:r>
        <w:rPr>
          <w:rFonts w:ascii="Arial" w:cs="Arial" w:eastAsia="Arial" w:hAnsi="Arial"/>
          <w:sz w:val="16"/>
          <w:szCs w:val="16"/>
          <w:u w:val="single" w:color="auto"/>
          <w:color w:val="auto"/>
        </w:rPr>
        <w:t>Landlord’s Right to Select Utility Providers</w:t>
      </w:r>
      <w:r>
        <w:rPr>
          <w:rFonts w:ascii="Arial" w:cs="Arial" w:eastAsia="Arial" w:hAnsi="Arial"/>
          <w:sz w:val="16"/>
          <w:szCs w:val="16"/>
          <w:color w:val="auto"/>
        </w:rPr>
        <w:t xml:space="preserve">. Landlord shall have the right at any time and from time to time during the Term of this Lease to contract for utilities from such providers of such services as Landlord shall elect. Tenant shall cooperate with Landlord and the utility provider at all times and, as reasonably necessary, shall allow Landlord and the utility provider reasonable access upon reasonable advance notice to the Building’s electric lines, feeders, risers, wiring, and any other machinery within the Premises. Landlord agrees to furnish or cause to be furnished to the Premises the utilities and services described herein, subject to the terms and conditions and in accordance with the standards set forth herein. Landlord’s failure to furnish any of such services when such failure is caused by accidents, the making of repairs, alterations or improvements, labor difficulties, difficulty in obtaining adequate supply of fuel, electricity, steam, water or other services or supplies from the sources from which they are usually obtained for the Building, or governmental constraints or any other cause beyond Landlord’s reasonable control, shall not result in any liability to Landlord. Except as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above, Tenant shall not be entitled to any abatement or reduction of Base Rent by reason of such failure, no eviction of Tenant shall result from such failure, and Tenant shall not be relieved from the performance of any covenant or agreement in this Lease. In the event of any failure, stoppage or interruption thereof, Landlord shall diligently attempt to resume service promptly.</w:t>
      </w:r>
    </w:p>
    <w:p>
      <w:pPr>
        <w:spacing w:after="0" w:line="17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Prohibited Activities</w:t>
      </w:r>
      <w:r>
        <w:rPr>
          <w:rFonts w:ascii="Arial" w:cs="Arial" w:eastAsia="Arial" w:hAnsi="Arial"/>
          <w:sz w:val="17"/>
          <w:szCs w:val="17"/>
          <w:color w:val="auto"/>
        </w:rPr>
        <w:t xml:space="preserve">. Tenant shall comply with the conditions of occupancy and connected electrical load reasonably established by Landlord for the Building and Tenant shall not use utilities or other services in excess of the services described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above or in a manner which exceeds or interferes with any Building Systems or service equipment or Landlord’s ability to provide services to other tenants in the Building. Tenant shall not, without Landlord’s prior written consent in each instance, connect air conditioning equipment, office equipment (excluding standard desktop computers, laptop computers, printers, copiers and facsimile machines), major appliances (excluding coffee makers, microwave ovens and other similar food preparation appliances) or heavy duty equipment (collectively, “</w:t>
      </w:r>
      <w:r>
        <w:rPr>
          <w:rFonts w:ascii="Arial" w:cs="Arial" w:eastAsia="Arial" w:hAnsi="Arial"/>
          <w:sz w:val="17"/>
          <w:szCs w:val="17"/>
          <w:u w:val="single" w:color="auto"/>
          <w:color w:val="auto"/>
        </w:rPr>
        <w:t>High Usage Equipment</w:t>
      </w:r>
      <w:r>
        <w:rPr>
          <w:rFonts w:ascii="Arial" w:cs="Arial" w:eastAsia="Arial" w:hAnsi="Arial"/>
          <w:sz w:val="17"/>
          <w:szCs w:val="17"/>
          <w:color w:val="auto"/>
        </w:rPr>
        <w:t>”) to the Building’s electrical system. Tenant covenants that at no time shall the use of electrical energy in the Premises exceed the capacity of the existing feeders or wiring installations then serving the Premises. Tenant shall not, without prior written consent of Landlord in each instance, make or perform, or permit the making or performing of, any alteration to wiring installations or other electrical facilities in or serving the Premises or any additions to the electrical fixtures, machines, equipment or other appliances in the Premises which utilize electrical energy.</w:t>
      </w:r>
    </w:p>
    <w:p>
      <w:pPr>
        <w:spacing w:after="0" w:line="18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Landlord’s Right to Survey Usage</w:t>
      </w:r>
      <w:r>
        <w:rPr>
          <w:rFonts w:ascii="Arial" w:cs="Arial" w:eastAsia="Arial" w:hAnsi="Arial"/>
          <w:sz w:val="18"/>
          <w:szCs w:val="18"/>
          <w:color w:val="auto"/>
        </w:rPr>
        <w:t xml:space="preserve">. Landlord may survey Tenant’s use of services from time to time. Tenant shall pay Landlord all costs arising out of any excess use or other connection of High Usage Equipment, including the cost of all repairs and alterations to the Building’s mechanical and electrical systems (including the installation of meters) and the cost of additional electricity made available to Tenant, if any. Such costs shall constitute Additional Rent and Tenant shall pay such costs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29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u w:val="single" w:color="auto"/>
          <w:color w:val="auto"/>
        </w:rPr>
        <w:t>SECTION 11.</w:t>
      </w:r>
      <w:r>
        <w:rPr>
          <w:sz w:val="20"/>
          <w:szCs w:val="20"/>
          <w:color w:val="auto"/>
        </w:rPr>
        <w:tab/>
      </w:r>
      <w:r>
        <w:rPr>
          <w:rFonts w:ascii="Arial" w:cs="Arial" w:eastAsia="Arial" w:hAnsi="Arial"/>
          <w:sz w:val="17"/>
          <w:szCs w:val="17"/>
          <w:u w:val="single" w:color="auto"/>
          <w:color w:val="auto"/>
        </w:rPr>
        <w:t>ADDITIONAL SERVICES</w:t>
      </w:r>
      <w:r>
        <w:rPr>
          <w:rFonts w:ascii="Arial" w:cs="Arial" w:eastAsia="Arial" w:hAnsi="Arial"/>
          <w:sz w:val="17"/>
          <w:szCs w:val="17"/>
          <w:color w:val="auto"/>
        </w:rPr>
        <w:t>.</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Landlord may upon written notice impose reasonable charges, which charges shall constitute Additional Rent and shall be payable in accordance with </w:t>
      </w:r>
      <w:r>
        <w:rPr>
          <w:rFonts w:ascii="Arial" w:cs="Arial" w:eastAsia="Arial" w:hAnsi="Arial"/>
          <w:sz w:val="16"/>
          <w:szCs w:val="16"/>
          <w:u w:val="single" w:color="auto"/>
          <w:color w:val="auto"/>
        </w:rPr>
        <w:t>Section 6</w:t>
      </w:r>
      <w:r>
        <w:rPr>
          <w:rFonts w:ascii="Arial" w:cs="Arial" w:eastAsia="Arial" w:hAnsi="Arial"/>
          <w:sz w:val="16"/>
          <w:szCs w:val="16"/>
          <w:color w:val="auto"/>
        </w:rPr>
        <w:t>, and may upon written notice establish reasonable rules and regulations for the following: (a) the use or consumption of any HVAC or other utility services (excluding electric current) by Tenant outside of Normal Business Hours; (b) the use or consumption of any other building services by Tenant outside of Normal Business Hours and any unanticipated, additional costs incurred by Landlord as a result thereof; (c) additional or unusual janitorial services required because of any non-building standard improvements in the Premises, the carelessness of Tenant, the nature of Tenant’s business (including the operation of Tenant’s business after Normal Business Hours); and (d) the removal of any refuse and rubbish from the Premises except for discarded material placed in waste and recycling receptacles and left for emptying as incident to Landlord’s normal cleaning of the Premises.</w:t>
      </w:r>
    </w:p>
    <w:p>
      <w:pPr>
        <w:spacing w:after="0" w:line="27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SECTION 12.</w:t>
      </w:r>
      <w:r>
        <w:rPr>
          <w:sz w:val="20"/>
          <w:szCs w:val="20"/>
          <w:color w:val="auto"/>
        </w:rPr>
        <w:tab/>
      </w:r>
      <w:r>
        <w:rPr>
          <w:rFonts w:ascii="Arial" w:cs="Arial" w:eastAsia="Arial" w:hAnsi="Arial"/>
          <w:sz w:val="17"/>
          <w:szCs w:val="17"/>
          <w:u w:val="single" w:color="auto"/>
          <w:color w:val="auto"/>
        </w:rPr>
        <w:t>ALTERATIONS ADDITIONS AND IMPROVEMENTS TO THE PREMISES</w:t>
      </w:r>
      <w:r>
        <w:rPr>
          <w:rFonts w:ascii="Arial" w:cs="Arial" w:eastAsia="Arial" w:hAnsi="Arial"/>
          <w:sz w:val="17"/>
          <w:szCs w:val="17"/>
          <w:color w:val="auto"/>
        </w:rPr>
        <w:t>.</w:t>
      </w:r>
    </w:p>
    <w:p>
      <w:pPr>
        <w:spacing w:after="0" w:line="117"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Generally</w:t>
      </w:r>
      <w:r>
        <w:rPr>
          <w:rFonts w:ascii="Arial" w:cs="Arial" w:eastAsia="Arial" w:hAnsi="Arial"/>
          <w:sz w:val="17"/>
          <w:szCs w:val="17"/>
          <w:color w:val="auto"/>
        </w:rPr>
        <w:t>. Tenant shall not make, or permit to be made, any alterations, additions, improvements or other changes in or to the Premises (“</w:t>
      </w:r>
      <w:r>
        <w:rPr>
          <w:rFonts w:ascii="Arial" w:cs="Arial" w:eastAsia="Arial" w:hAnsi="Arial"/>
          <w:sz w:val="17"/>
          <w:szCs w:val="17"/>
          <w:u w:val="single" w:color="auto"/>
          <w:color w:val="auto"/>
        </w:rPr>
        <w:t>Alterations</w:t>
      </w:r>
      <w:r>
        <w:rPr>
          <w:rFonts w:ascii="Arial" w:cs="Arial" w:eastAsia="Arial" w:hAnsi="Arial"/>
          <w:sz w:val="17"/>
          <w:szCs w:val="17"/>
          <w:color w:val="auto"/>
        </w:rPr>
        <w:t>”), other than the installation of typical office decorations and furnishings which are not affixed to the realty, without the prior written consent of Landlord, which consent shall not be unreasonably withheld, conditioned or delayed; provided, however,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0980"/>
          </w:cols>
          <w:pgMar w:left="440" w:top="273" w:right="479" w:bottom="1440" w:gutter="0" w:footer="0" w:header="0"/>
        </w:sectPr>
      </w:pPr>
    </w:p>
    <w:bookmarkStart w:id="587" w:name="page588"/>
    <w:bookmarkEnd w:id="587"/>
    <w:p>
      <w:pPr>
        <w:ind w:left="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if the proposed Alterations affect the exterior, architectural design or structural components of the Building (the “</w:t>
      </w:r>
      <w:r>
        <w:rPr>
          <w:rFonts w:ascii="Arial" w:cs="Arial" w:eastAsia="Arial" w:hAnsi="Arial"/>
          <w:sz w:val="16"/>
          <w:szCs w:val="16"/>
          <w:u w:val="single" w:color="auto"/>
          <w:color w:val="auto"/>
        </w:rPr>
        <w:t>Building Structure</w:t>
      </w:r>
      <w:r>
        <w:rPr>
          <w:rFonts w:ascii="Arial" w:cs="Arial" w:eastAsia="Arial" w:hAnsi="Arial"/>
          <w:sz w:val="16"/>
          <w:szCs w:val="16"/>
          <w:color w:val="auto"/>
        </w:rPr>
        <w:t>”), or affect the mechanical, electrical, plumbing, HVAC, telecommunication, life safety, security or other systems (the “</w:t>
      </w:r>
      <w:r>
        <w:rPr>
          <w:rFonts w:ascii="Arial" w:cs="Arial" w:eastAsia="Arial" w:hAnsi="Arial"/>
          <w:sz w:val="16"/>
          <w:szCs w:val="16"/>
          <w:u w:val="single" w:color="auto"/>
          <w:color w:val="auto"/>
        </w:rPr>
        <w:t>Building Systems</w:t>
      </w:r>
      <w:r>
        <w:rPr>
          <w:rFonts w:ascii="Arial" w:cs="Arial" w:eastAsia="Arial" w:hAnsi="Arial"/>
          <w:sz w:val="16"/>
          <w:szCs w:val="16"/>
          <w:color w:val="auto"/>
        </w:rPr>
        <w:t>”), Landlord may withhold its consent to such Alterations in Landlord’s sole and absolute discretion. Without limitation, it shall not be unreasonable for Landlord to withhold its consent to any Alterations which would require Landlord to make improvements to the Building or the Property (or undertake special maintenance, repair or replacement obligations with respect to the Building or the Property) not within the scope of those expressly provided for herein, unless Tenant agrees, at the time of its request for approval or notice of such Alterations, to pay all costs associated with Landlord’s improvements or obligations.</w:t>
      </w:r>
    </w:p>
    <w:p>
      <w:pPr>
        <w:spacing w:after="0" w:line="313"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Removal</w:t>
      </w:r>
      <w:r>
        <w:rPr>
          <w:rFonts w:ascii="Arial" w:cs="Arial" w:eastAsia="Arial" w:hAnsi="Arial"/>
          <w:sz w:val="16"/>
          <w:szCs w:val="16"/>
          <w:color w:val="auto"/>
        </w:rPr>
        <w:t>.</w:t>
      </w:r>
    </w:p>
    <w:p>
      <w:pPr>
        <w:spacing w:after="0" w:line="117" w:lineRule="exact"/>
        <w:rPr>
          <w:sz w:val="20"/>
          <w:szCs w:val="20"/>
          <w:color w:val="auto"/>
        </w:rPr>
      </w:pPr>
    </w:p>
    <w:p>
      <w:pPr>
        <w:ind w:left="4" w:right="80" w:firstLine="436"/>
        <w:spacing w:after="0" w:line="296" w:lineRule="auto"/>
        <w:tabs>
          <w:tab w:leader="none" w:pos="874" w:val="left"/>
        </w:tabs>
        <w:numPr>
          <w:ilvl w:val="1"/>
          <w:numId w:val="438"/>
        </w:numPr>
        <w:rPr>
          <w:rFonts w:ascii="Arial" w:cs="Arial" w:eastAsia="Arial" w:hAnsi="Arial"/>
          <w:sz w:val="16"/>
          <w:szCs w:val="16"/>
          <w:color w:val="auto"/>
        </w:rPr>
      </w:pPr>
      <w:r>
        <w:rPr>
          <w:rFonts w:ascii="Arial" w:cs="Arial" w:eastAsia="Arial" w:hAnsi="Arial"/>
          <w:sz w:val="16"/>
          <w:szCs w:val="16"/>
          <w:color w:val="auto"/>
        </w:rPr>
        <w:t>If Landlord consents to any Alterations, Landlord shall notify Tenant in writing at the same time Landlord consents to such Alterations whether or not such Alterations will be required to be removed by Tenant at the end of the Term. Prior to the end of the Term, Tenant shall be obligated to remove any Alterations that Landlord has not designated in writing as being permitted to remain on the Premises. Tenant acknowledges and agrees that any work or alterations (including, without limitation, Alterations) performed by or for the benefit of Tenant shall be the property of Tenant during the Term. Landlord acknowledges and agrees that Tenant shall have no obligation to remove Landlord’s Work at the end of the Term.</w:t>
      </w:r>
    </w:p>
    <w:p>
      <w:pPr>
        <w:spacing w:after="0" w:line="161" w:lineRule="exact"/>
        <w:rPr>
          <w:rFonts w:ascii="Arial" w:cs="Arial" w:eastAsia="Arial" w:hAnsi="Arial"/>
          <w:sz w:val="16"/>
          <w:szCs w:val="16"/>
          <w:color w:val="auto"/>
        </w:rPr>
      </w:pPr>
    </w:p>
    <w:p>
      <w:pPr>
        <w:ind w:left="4" w:firstLine="436"/>
        <w:spacing w:after="0" w:line="284" w:lineRule="auto"/>
        <w:tabs>
          <w:tab w:leader="none" w:pos="864" w:val="left"/>
        </w:tabs>
        <w:numPr>
          <w:ilvl w:val="1"/>
          <w:numId w:val="43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Lease, Landlord reserves the right to require that Tenant remove any or all electronic, phone and data wires, cables, fibers, connections and related telecommunications equipment and/or other facilities for telecommunications (collectively, “</w:t>
      </w:r>
      <w:r>
        <w:rPr>
          <w:rFonts w:ascii="Arial" w:cs="Arial" w:eastAsia="Arial" w:hAnsi="Arial"/>
          <w:sz w:val="16"/>
          <w:szCs w:val="16"/>
          <w:u w:val="single" w:color="auto"/>
          <w:color w:val="auto"/>
        </w:rPr>
        <w:t>Cables</w:t>
      </w:r>
      <w:r>
        <w:rPr>
          <w:rFonts w:ascii="Arial" w:cs="Arial" w:eastAsia="Arial" w:hAnsi="Arial"/>
          <w:sz w:val="16"/>
          <w:szCs w:val="16"/>
          <w:color w:val="auto"/>
        </w:rPr>
        <w:t>”) installed by or for Tenant within or serving the Premises upon the expiration or earlier termination of this Lease. Any Cables not required by Landlord to be removed pursuant to this Section at the expiration or earlier termination of this Lease shall, at Landlord’s option, become the property of Landlord (without payment by Landlord). If Tenant fails to remove such Cables as required by Landlord, or violates any other provision of this Section, Landlord may, upon ten (10) days prior written notice to Tenant, remove such Cables or remedy such other violation, at Tenant’s expense (without limiting Landlord’s other remedies available under this Lease, at law or in equity), which amount shall be paid by Tenant within twenty</w:t>
      </w:r>
    </w:p>
    <w:p>
      <w:pPr>
        <w:spacing w:after="0" w:line="2" w:lineRule="exact"/>
        <w:rPr>
          <w:rFonts w:ascii="Arial" w:cs="Arial" w:eastAsia="Arial" w:hAnsi="Arial"/>
          <w:sz w:val="16"/>
          <w:szCs w:val="16"/>
          <w:color w:val="auto"/>
        </w:rPr>
      </w:pPr>
    </w:p>
    <w:p>
      <w:pPr>
        <w:ind w:left="344" w:hanging="344"/>
        <w:spacing w:after="0"/>
        <w:tabs>
          <w:tab w:leader="none" w:pos="344" w:val="left"/>
        </w:tabs>
        <w:numPr>
          <w:ilvl w:val="0"/>
          <w:numId w:val="439"/>
        </w:numPr>
        <w:rPr>
          <w:rFonts w:ascii="Arial" w:cs="Arial" w:eastAsia="Arial" w:hAnsi="Arial"/>
          <w:sz w:val="18"/>
          <w:szCs w:val="18"/>
          <w:color w:val="auto"/>
        </w:rPr>
      </w:pPr>
      <w:r>
        <w:rPr>
          <w:rFonts w:ascii="Arial" w:cs="Arial" w:eastAsia="Arial" w:hAnsi="Arial"/>
          <w:sz w:val="18"/>
          <w:szCs w:val="18"/>
          <w:color w:val="auto"/>
        </w:rPr>
        <w:t>days after Tenant’s receipt of demand by Landlord.</w:t>
      </w:r>
    </w:p>
    <w:p>
      <w:pPr>
        <w:spacing w:after="0" w:line="359"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u w:val="single" w:color="auto"/>
          <w:color w:val="auto"/>
        </w:rPr>
        <w:t>Additional Covenants</w:t>
      </w:r>
      <w:r>
        <w:rPr>
          <w:rFonts w:ascii="Arial" w:cs="Arial" w:eastAsia="Arial" w:hAnsi="Arial"/>
          <w:sz w:val="16"/>
          <w:szCs w:val="16"/>
          <w:color w:val="auto"/>
        </w:rPr>
        <w:t>.</w:t>
      </w:r>
    </w:p>
    <w:p>
      <w:pPr>
        <w:spacing w:after="0" w:line="117" w:lineRule="exact"/>
        <w:rPr>
          <w:sz w:val="20"/>
          <w:szCs w:val="20"/>
          <w:color w:val="auto"/>
        </w:rPr>
      </w:pPr>
    </w:p>
    <w:p>
      <w:pPr>
        <w:ind w:left="4" w:right="280" w:firstLine="436"/>
        <w:spacing w:after="0" w:line="277" w:lineRule="auto"/>
        <w:tabs>
          <w:tab w:leader="none" w:pos="864"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All Alterations shall be made (1) at Tenant’s sole cost and expense, and (2) according to plans and specifications reasonably approved in writing by Landlord (to the extent plans and specifications and Landlord’s approval are required).</w:t>
      </w:r>
    </w:p>
    <w:p>
      <w:pPr>
        <w:spacing w:after="0" w:line="170" w:lineRule="exact"/>
        <w:rPr>
          <w:rFonts w:ascii="Arial" w:cs="Arial" w:eastAsia="Arial" w:hAnsi="Arial"/>
          <w:sz w:val="18"/>
          <w:szCs w:val="18"/>
          <w:color w:val="auto"/>
        </w:rPr>
      </w:pPr>
    </w:p>
    <w:p>
      <w:pPr>
        <w:ind w:left="4" w:right="280" w:firstLine="436"/>
        <w:spacing w:after="0" w:line="277" w:lineRule="auto"/>
        <w:tabs>
          <w:tab w:leader="none" w:pos="861"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Tenant shall pay to Landlord a fee equal to five percent (5%) of the cost of any Alterations to compensate Landlord for the overhead and other costs it incurs in reviewing the plans therefor and in monitoring the construction of the Alterations.</w:t>
      </w:r>
    </w:p>
    <w:p>
      <w:pPr>
        <w:spacing w:after="0" w:line="170" w:lineRule="exact"/>
        <w:rPr>
          <w:rFonts w:ascii="Arial" w:cs="Arial" w:eastAsia="Arial" w:hAnsi="Arial"/>
          <w:sz w:val="18"/>
          <w:szCs w:val="18"/>
          <w:color w:val="auto"/>
        </w:rPr>
      </w:pPr>
    </w:p>
    <w:p>
      <w:pPr>
        <w:ind w:left="4" w:right="460" w:firstLine="436"/>
        <w:spacing w:after="0" w:line="277" w:lineRule="auto"/>
        <w:tabs>
          <w:tab w:leader="none" w:pos="861"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Tenant shall provide Landlord with “as built” plans for any Alterations for which plans are used, regardless of whether the Alterations require Landlord’s consent hereunder.</w:t>
      </w:r>
    </w:p>
    <w:p>
      <w:pPr>
        <w:spacing w:after="0" w:line="170" w:lineRule="exact"/>
        <w:rPr>
          <w:rFonts w:ascii="Arial" w:cs="Arial" w:eastAsia="Arial" w:hAnsi="Arial"/>
          <w:sz w:val="18"/>
          <w:szCs w:val="18"/>
          <w:color w:val="auto"/>
        </w:rPr>
      </w:pPr>
    </w:p>
    <w:p>
      <w:pPr>
        <w:ind w:left="4" w:right="220" w:firstLine="436"/>
        <w:spacing w:after="0" w:line="263" w:lineRule="auto"/>
        <w:tabs>
          <w:tab w:leader="none" w:pos="871"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Tenant shall provide Landlord with copies of any warranties for Alterations (including materials and equipment), and either assign to Landlord, or enforce on Landlord’s behalf, all such warranties to the extent repairs and/or maintenance on warranted items would be covered by such warranties and are otherwise Landlord’s responsibility under this Lease.</w:t>
      </w:r>
    </w:p>
    <w:p>
      <w:pPr>
        <w:spacing w:after="0" w:line="183" w:lineRule="exact"/>
        <w:rPr>
          <w:rFonts w:ascii="Arial" w:cs="Arial" w:eastAsia="Arial" w:hAnsi="Arial"/>
          <w:sz w:val="18"/>
          <w:szCs w:val="18"/>
          <w:color w:val="auto"/>
        </w:rPr>
      </w:pPr>
    </w:p>
    <w:p>
      <w:pPr>
        <w:ind w:left="4" w:right="80" w:firstLine="436"/>
        <w:spacing w:after="0" w:line="308" w:lineRule="auto"/>
        <w:tabs>
          <w:tab w:leader="none" w:pos="851" w:val="left"/>
        </w:tabs>
        <w:numPr>
          <w:ilvl w:val="0"/>
          <w:numId w:val="440"/>
        </w:numPr>
        <w:rPr>
          <w:rFonts w:ascii="Arial" w:cs="Arial" w:eastAsia="Arial" w:hAnsi="Arial"/>
          <w:sz w:val="17"/>
          <w:szCs w:val="17"/>
          <w:color w:val="auto"/>
        </w:rPr>
      </w:pPr>
      <w:r>
        <w:rPr>
          <w:rFonts w:ascii="Arial" w:cs="Arial" w:eastAsia="Arial" w:hAnsi="Arial"/>
          <w:sz w:val="17"/>
          <w:szCs w:val="17"/>
          <w:color w:val="auto"/>
        </w:rPr>
        <w:t>Tenant acknowledges and agrees that Landlord shall have the right to examine and inspect any Alterations; provided, however, that no such examination or inspection shall constitute an approval or warranty or give rise to any liability of Landlord with respect thereto.</w:t>
      </w:r>
    </w:p>
    <w:p>
      <w:pPr>
        <w:spacing w:after="0" w:line="146" w:lineRule="exact"/>
        <w:rPr>
          <w:rFonts w:ascii="Arial" w:cs="Arial" w:eastAsia="Arial" w:hAnsi="Arial"/>
          <w:sz w:val="17"/>
          <w:szCs w:val="17"/>
          <w:color w:val="auto"/>
        </w:rPr>
      </w:pPr>
    </w:p>
    <w:p>
      <w:pPr>
        <w:ind w:left="4" w:right="300" w:firstLine="436"/>
        <w:spacing w:after="0" w:line="277" w:lineRule="auto"/>
        <w:tabs>
          <w:tab w:leader="none" w:pos="834"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All Alterations shall be coordinated with any work being performed by or for Landlord, and in such a manner as to maintain harmonious labor relations.</w:t>
      </w:r>
    </w:p>
    <w:p>
      <w:pPr>
        <w:spacing w:after="0" w:line="170" w:lineRule="exact"/>
        <w:rPr>
          <w:rFonts w:ascii="Arial" w:cs="Arial" w:eastAsia="Arial" w:hAnsi="Arial"/>
          <w:sz w:val="18"/>
          <w:szCs w:val="18"/>
          <w:color w:val="auto"/>
        </w:rPr>
      </w:pPr>
    </w:p>
    <w:p>
      <w:pPr>
        <w:ind w:left="864" w:hanging="424"/>
        <w:spacing w:after="0"/>
        <w:tabs>
          <w:tab w:leader="none" w:pos="864"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Tenant shall keep all construction areas clean and free of trash and debris.</w:t>
      </w:r>
    </w:p>
    <w:p>
      <w:pPr>
        <w:spacing w:after="0" w:line="157" w:lineRule="exact"/>
        <w:rPr>
          <w:rFonts w:ascii="Arial" w:cs="Arial" w:eastAsia="Arial" w:hAnsi="Arial"/>
          <w:sz w:val="18"/>
          <w:szCs w:val="18"/>
          <w:color w:val="auto"/>
        </w:rPr>
      </w:pPr>
    </w:p>
    <w:p>
      <w:pPr>
        <w:ind w:left="5424" w:hanging="111"/>
        <w:spacing w:after="0"/>
        <w:tabs>
          <w:tab w:leader="none" w:pos="5424" w:val="left"/>
        </w:tabs>
        <w:numPr>
          <w:ilvl w:val="1"/>
          <w:numId w:val="440"/>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964"/>
          </w:cols>
          <w:pgMar w:left="436" w:top="273" w:right="499" w:bottom="1440" w:gutter="0" w:footer="0" w:header="0"/>
        </w:sectPr>
      </w:pPr>
    </w:p>
    <w:bookmarkStart w:id="588" w:name="page589"/>
    <w:bookmarkEnd w:id="588"/>
    <w:p>
      <w:pPr>
        <w:ind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12.4 </w:t>
      </w:r>
      <w:r>
        <w:rPr>
          <w:rFonts w:ascii="Arial" w:cs="Arial" w:eastAsia="Arial" w:hAnsi="Arial"/>
          <w:sz w:val="16"/>
          <w:szCs w:val="16"/>
          <w:u w:val="single" w:color="auto"/>
          <w:color w:val="auto"/>
        </w:rPr>
        <w:t>Construction Standards</w:t>
      </w:r>
      <w:r>
        <w:rPr>
          <w:rFonts w:ascii="Arial" w:cs="Arial" w:eastAsia="Arial" w:hAnsi="Arial"/>
          <w:sz w:val="16"/>
          <w:szCs w:val="16"/>
          <w:color w:val="auto"/>
        </w:rPr>
        <w:t>. All Alterations made by or on behalf of Tenant shall be made and performed: (a) by contractors or mechanics approved by Landlord, such approval not to be unreasonably withheld, conditioned or delayed, who shall carry liability insurance of a type and in such amounts as Landlord shall reasonably require, naming Landlord and Tenant as additional insureds, (b) in a good and workmanlike manner, (c) so that same shall be at least equal in quality, value, and utility to the original work or installation and shall be in conformity with Landlord’s Building standard specifications as provided by Landlord to Tenant upon Tenant’s request and as the same may be amended by Landlord and in effect at such time, (d) in accordance with all applicable laws, and (e) pursuant to plans, drawings and specifications which have been reviewed and approved by Landlord prior to the commencement of the Alterations and approved by, and filed with, all applicable governmental authorities (the “</w:t>
      </w:r>
      <w:r>
        <w:rPr>
          <w:rFonts w:ascii="Arial" w:cs="Arial" w:eastAsia="Arial" w:hAnsi="Arial"/>
          <w:sz w:val="16"/>
          <w:szCs w:val="16"/>
          <w:u w:val="single" w:color="auto"/>
          <w:color w:val="auto"/>
        </w:rPr>
        <w:t>Construction Standards</w:t>
      </w:r>
      <w:r>
        <w:rPr>
          <w:rFonts w:ascii="Arial" w:cs="Arial" w:eastAsia="Arial" w:hAnsi="Arial"/>
          <w:sz w:val="16"/>
          <w:szCs w:val="16"/>
          <w:color w:val="auto"/>
        </w:rPr>
        <w:t>”).</w:t>
      </w:r>
    </w:p>
    <w:p>
      <w:pPr>
        <w:spacing w:after="0" w:line="27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SECTION 13.</w:t>
      </w:r>
      <w:r>
        <w:rPr>
          <w:sz w:val="20"/>
          <w:szCs w:val="20"/>
          <w:color w:val="auto"/>
        </w:rPr>
        <w:tab/>
      </w:r>
      <w:r>
        <w:rPr>
          <w:rFonts w:ascii="Arial" w:cs="Arial" w:eastAsia="Arial" w:hAnsi="Arial"/>
          <w:sz w:val="17"/>
          <w:szCs w:val="17"/>
          <w:u w:val="single" w:color="auto"/>
          <w:color w:val="auto"/>
        </w:rPr>
        <w:t>INSPECTION</w:t>
      </w:r>
      <w:r>
        <w:rPr>
          <w:rFonts w:ascii="Arial" w:cs="Arial" w:eastAsia="Arial" w:hAnsi="Arial"/>
          <w:sz w:val="17"/>
          <w:szCs w:val="17"/>
          <w:color w:val="auto"/>
        </w:rPr>
        <w: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Landlord and any mortgagee of the Building or the Property, or of Landlord’s interest herein, and their representatives, shall have the right at all times to enter the Premises to (i) show same to prospective lenders or purchasers or (ii) inspect the same and to make repairs or replacements therein as required by this Lease and to install conduits and pipes or ducts; provided, however, that Landlord shall use reasonable efforts to provide notice of any such inspection (except in the event of an emergency for which no notice shall be given) and to avoid undue disturbance of Tenant’s use and occupancy. During the last twelve (12) months of the Term, Landlord may, upon twenty-four (24) hours advance notice to Tenant, gain access to the Premises for the purpose of showing same to prospective tenants.</w:t>
      </w:r>
    </w:p>
    <w:p>
      <w:pPr>
        <w:spacing w:after="0" w:line="30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SECTION 14.</w:t>
      </w:r>
      <w:r>
        <w:rPr>
          <w:sz w:val="20"/>
          <w:szCs w:val="20"/>
          <w:color w:val="auto"/>
        </w:rPr>
        <w:tab/>
      </w:r>
      <w:r>
        <w:rPr>
          <w:rFonts w:ascii="Arial" w:cs="Arial" w:eastAsia="Arial" w:hAnsi="Arial"/>
          <w:sz w:val="17"/>
          <w:szCs w:val="17"/>
          <w:u w:val="single" w:color="auto"/>
          <w:color w:val="auto"/>
        </w:rPr>
        <w:t>FIRE OR OTHER CASUALTY</w:t>
      </w:r>
      <w:r>
        <w:rPr>
          <w:rFonts w:ascii="Arial" w:cs="Arial" w:eastAsia="Arial" w:hAnsi="Arial"/>
          <w:sz w:val="17"/>
          <w:szCs w:val="17"/>
          <w:color w:val="auto"/>
        </w:rPr>
        <w:t>.</w:t>
      </w:r>
    </w:p>
    <w:p>
      <w:pPr>
        <w:spacing w:after="0" w:line="11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14.1 In the event of damage to or destruction of the Premises or the Building caused by fire or other casualty (“</w:t>
      </w:r>
      <w:r>
        <w:rPr>
          <w:rFonts w:ascii="Arial" w:cs="Arial" w:eastAsia="Arial" w:hAnsi="Arial"/>
          <w:sz w:val="17"/>
          <w:szCs w:val="17"/>
          <w:u w:val="single" w:color="auto"/>
          <w:color w:val="auto"/>
        </w:rPr>
        <w:t>Event of Casualty</w:t>
      </w:r>
      <w:r>
        <w:rPr>
          <w:rFonts w:ascii="Arial" w:cs="Arial" w:eastAsia="Arial" w:hAnsi="Arial"/>
          <w:sz w:val="17"/>
          <w:szCs w:val="17"/>
          <w:color w:val="auto"/>
        </w:rPr>
        <w:t>”), Landlord shall undertake to make repairs and restorations with reasonable diligence, unless this Lease has been terminated by Landlord or Tenant as hereinafter provided, or unless any mortgagee which is entitled to receive casualty insurance proceeds fails to make available to Landlord a sufficient amount of such proceeds to cover the cost of such repairs and restorations. Landlord shall, within forty-five (45) days after the Event of Casualty, provide Tenant with a good faith estimate of the time required to repair the damage to the Premises or the Building, as the case may be. If, in Landlord’s reasonable judgment, the damage is of such nature or extent that (A) more than two hundred-seventy (270) days after the Event of Casualty would be required (with normal work crews and normal work hours) to repair and restore the Premises or the Building, or (B) less than one (1) year remains on the then current Term of this Lease and more than ninety (90) days after the Event of Casualty would be required (with normal work crews and normal work hours) to repair and restore the Premises or the Building, then the Premises or the Building, as the case may be, shall be deemed “substantially damaged.” If the Premises or the Building are deemed “substantially damaged,” Landlord may elect to terminate this Lease by giving Tenant written notice of such termination within sixty (60) days after the Event of Casualty. In addition, if the Premises or the Building are deemed “substantially damaged,” and if as a result of the same the Premises are rendered untenantable for the Permitted Use, then Tenant may elect to terminate this Lease by giving Landlord written notice of such termination within sixty (60) days after the Event of Casualty. If either party elects to terminate this Lease as set forth above, then the Term of this Lease shall expire thirty (30) days after the date such written notice is given, Base Rent and Additional Rent shall be equitably abated in accordance with Section 14.3 below, and Tenant shall thereafter vacate the Premises and surrender the same to Landlord in accordance with the terms, covenants and conditions of this Lease.</w:t>
      </w:r>
    </w:p>
    <w:p>
      <w:pPr>
        <w:spacing w:after="0" w:line="180"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14.2 In the event this Lease is not terminated pursuant to the terms of Section 14.1 above and is otherwise in full force and effect, and sufficient casualty insurance proceeds are available for application to such repair and restoration, Landlord shall proceed diligently to repair and restore the Premises or the Building, as the case may be (including Landlord’s Work, if any) to substantially the same condition in which it was immediately prior to the Event of Casualty, subject to Legal Requirements; provided, however, that Landlord shall not be obligated to repair or restore (A) any Tenant’s Work or Alterations to the Premises in excess of Landlord’s Work, even if such work was performed by Landlord’s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000"/>
          </w:cols>
          <w:pgMar w:left="440" w:top="273" w:right="459" w:bottom="1440" w:gutter="0" w:footer="0" w:header="0"/>
        </w:sectPr>
      </w:pPr>
    </w:p>
    <w:bookmarkStart w:id="589" w:name="page590"/>
    <w:bookmarkEnd w:id="589"/>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contractors (and regardless of whether or not Tenant is required to remove or leave the same at the expiration or earlier termination of this Lease), or</w:t>
      </w:r>
    </w:p>
    <w:p>
      <w:pPr>
        <w:spacing w:after="0" w:line="46" w:lineRule="exact"/>
        <w:rPr>
          <w:sz w:val="20"/>
          <w:szCs w:val="20"/>
          <w:color w:val="auto"/>
        </w:rPr>
      </w:pPr>
    </w:p>
    <w:p>
      <w:pPr>
        <w:ind w:left="4" w:right="20" w:hanging="4"/>
        <w:spacing w:after="0" w:line="281" w:lineRule="auto"/>
        <w:tabs>
          <w:tab w:leader="none" w:pos="289" w:val="left"/>
        </w:tabs>
        <w:numPr>
          <w:ilvl w:val="0"/>
          <w:numId w:val="441"/>
        </w:numPr>
        <w:rPr>
          <w:rFonts w:ascii="Arial" w:cs="Arial" w:eastAsia="Arial" w:hAnsi="Arial"/>
          <w:sz w:val="16"/>
          <w:szCs w:val="16"/>
          <w:color w:val="auto"/>
        </w:rPr>
      </w:pPr>
      <w:r>
        <w:rPr>
          <w:rFonts w:ascii="Arial" w:cs="Arial" w:eastAsia="Arial" w:hAnsi="Arial"/>
          <w:sz w:val="16"/>
          <w:szCs w:val="16"/>
          <w:color w:val="auto"/>
        </w:rPr>
        <w:t>any of Tenant’s Property (as hereinafter defined), unless Tenant, in a manner satisfactory to Landlord, assures payment in full of all costs as may be incurred by Landlord in connection therewith. Notwithstanding anything to the contrary contained herein, in the event Landlord does not repair or restore the Premises within three hundred sixty-five (365) days after the Event of Casualty, Tenant shall have the right to terminate this Lease upon thirty (30) days written notice to Landlord; provided, however, that if Landlord completes the required repair or restoration of the Premises within such thirty</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(30) day period following Tenant’s termination notice, such termination notice shall be rescinded and this Lease shall continue in full force and effect.</w:t>
      </w:r>
    </w:p>
    <w:p>
      <w:pPr>
        <w:spacing w:after="0" w:line="234" w:lineRule="exact"/>
        <w:rPr>
          <w:sz w:val="20"/>
          <w:szCs w:val="20"/>
          <w:color w:val="auto"/>
        </w:rPr>
      </w:pPr>
    </w:p>
    <w:p>
      <w:pPr>
        <w:ind w:left="4" w:right="120" w:firstLine="440"/>
        <w:spacing w:after="0" w:line="272" w:lineRule="auto"/>
        <w:rPr>
          <w:sz w:val="20"/>
          <w:szCs w:val="20"/>
          <w:color w:val="auto"/>
        </w:rPr>
      </w:pPr>
      <w:r>
        <w:rPr>
          <w:rFonts w:ascii="Arial" w:cs="Arial" w:eastAsia="Arial" w:hAnsi="Arial"/>
          <w:sz w:val="17"/>
          <w:szCs w:val="17"/>
          <w:color w:val="auto"/>
        </w:rPr>
        <w:t>14.3 When Landlord’s repair and restoration work has been completed, Tenant shall complete the restoration of (A) all of Tenant’s Work and Alterations and (B) all of Tenant’s Property which are necessary to permit Tenant’s re-occupancy of the Premises. Landlord shall not be liable for any inconvenience or annoyance to Tenant or injury to the business of Tenant resulting in any way from such damage or the repair thereof, except that Base Rent and Additional Rent shall be equitably abated from the date of the Event of Casualty until the Premises has been substantially restored for any portion of the Premises that is unusable (and unused) by Tenant. Notwithstanding the foregoing, if the Event of Casualty was due to the act or omission of Tenant or Tenant’s Agents, such abatement or reduction shall be made only if and to the extent of any proceeds of rental interruption insurance actually received by Landlord and allocated to the Premises.</w:t>
      </w:r>
    </w:p>
    <w:p>
      <w:pPr>
        <w:spacing w:after="0" w:line="28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u w:val="single" w:color="auto"/>
          <w:color w:val="auto"/>
        </w:rPr>
        <w:t>SECTION 15.</w:t>
        <w:tab/>
        <w:t>EMINENT DOMAIN.</w:t>
      </w:r>
    </w:p>
    <w:p>
      <w:pPr>
        <w:spacing w:after="0" w:line="117" w:lineRule="exact"/>
        <w:rPr>
          <w:sz w:val="20"/>
          <w:szCs w:val="20"/>
          <w:color w:val="auto"/>
        </w:rPr>
      </w:pPr>
    </w:p>
    <w:p>
      <w:pPr>
        <w:ind w:left="4" w:right="80"/>
        <w:spacing w:after="0" w:line="286" w:lineRule="auto"/>
        <w:rPr>
          <w:sz w:val="20"/>
          <w:szCs w:val="20"/>
          <w:color w:val="auto"/>
        </w:rPr>
      </w:pPr>
      <w:r>
        <w:rPr>
          <w:rFonts w:ascii="Arial" w:cs="Arial" w:eastAsia="Arial" w:hAnsi="Arial"/>
          <w:sz w:val="16"/>
          <w:szCs w:val="16"/>
          <w:color w:val="auto"/>
        </w:rPr>
        <w:t>If the whole or a material portion of the Premises shall be taken or condemned by a governmental or quasi-governmental authority for any public or quasi-public use or purpose (including sale under threat of such a taking), or if the owner elects to convey title to the condemner by a deed in lieu of condemnation, or if all or any portion of the Property are so taken, condemned or conveyed and as a result thereof, in Landlord’s reasonable judgment, the Premises cannot be used for Tenant’s Permitted Use as set forth herein, then this Lease shall cease and terminate as of the date when title vests in such governmental or quasi-governmental authority and Base Rent and Additional Rent shall be abated on the date when such title vests in such governmental or quasi-governmental authority. If less than a material portion of the Premises shall be taken or condemned by a governmental or quasi-governmental authority for any public or quasi-public use or purpose (including sale under threat of such a taking), Base Rent and Additional Rent shall be equitably abated on the date when such title vests in such governmental or quasi-governmental authority and this Lease shall otherwise continue in full force and effect. In any case, Tenant shall have no claim against Landlord for any portion of the amount that may be awarded as damages as a result of any governmental or quasi-governmental taking or condemnation (or sale under threat or such taking or condemnation); and all rights of Tenant to damages therefor are hereby assigned by Tenant to Landlord. The foregoing shall not, however, deprive Tenant of any separate award for moving expenses, dislocation damages or for any other award which would not reduce the award payable to Landlord. As used herein, “material portion of the Premises” shall mean such amount that, in Landlord’s reasonable judgment, would render the Premises untenantable for the Permitted Use.</w:t>
      </w:r>
    </w:p>
    <w:p>
      <w:pPr>
        <w:spacing w:after="0" w:line="28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u w:val="single" w:color="auto"/>
          <w:color w:val="auto"/>
        </w:rPr>
        <w:t>SECTION 16.</w:t>
      </w:r>
      <w:r>
        <w:rPr>
          <w:sz w:val="20"/>
          <w:szCs w:val="20"/>
          <w:color w:val="auto"/>
        </w:rPr>
        <w:tab/>
      </w:r>
      <w:r>
        <w:rPr>
          <w:rFonts w:ascii="Arial" w:cs="Arial" w:eastAsia="Arial" w:hAnsi="Arial"/>
          <w:sz w:val="17"/>
          <w:szCs w:val="17"/>
          <w:u w:val="single" w:color="auto"/>
          <w:color w:val="auto"/>
        </w:rPr>
        <w:t>INDEMNIFICATION.</w:t>
      </w:r>
    </w:p>
    <w:p>
      <w:pPr>
        <w:spacing w:after="0" w:line="117" w:lineRule="exact"/>
        <w:rPr>
          <w:sz w:val="20"/>
          <w:szCs w:val="20"/>
          <w:color w:val="auto"/>
        </w:rPr>
      </w:pPr>
    </w:p>
    <w:p>
      <w:pPr>
        <w:ind w:left="4" w:right="80"/>
        <w:spacing w:after="0" w:line="285" w:lineRule="auto"/>
        <w:rPr>
          <w:sz w:val="20"/>
          <w:szCs w:val="20"/>
          <w:color w:val="auto"/>
        </w:rPr>
      </w:pPr>
      <w:r>
        <w:rPr>
          <w:rFonts w:ascii="Arial" w:cs="Arial" w:eastAsia="Arial" w:hAnsi="Arial"/>
          <w:sz w:val="16"/>
          <w:szCs w:val="16"/>
          <w:color w:val="auto"/>
        </w:rPr>
        <w:t>To the maximum extent enforceable by law, Tenant covenants and agrees to exonerate, indemnify, defend (with counsel reasonably acceptable to Landlord), protect and save Landlord, together with (a) Landlord’s members and managers, and their respective members and managers, partners, shareholders, officers, directors, agents and employees (“</w:t>
      </w:r>
      <w:r>
        <w:rPr>
          <w:rFonts w:ascii="Arial" w:cs="Arial" w:eastAsia="Arial" w:hAnsi="Arial"/>
          <w:sz w:val="16"/>
          <w:szCs w:val="16"/>
          <w:u w:val="single" w:color="auto"/>
          <w:color w:val="auto"/>
        </w:rPr>
        <w:t>Landlord’s Agents</w:t>
      </w:r>
      <w:r>
        <w:rPr>
          <w:rFonts w:ascii="Arial" w:cs="Arial" w:eastAsia="Arial" w:hAnsi="Arial"/>
          <w:sz w:val="16"/>
          <w:szCs w:val="16"/>
          <w:color w:val="auto"/>
        </w:rPr>
        <w:t>”) and (b) Landlord’s property manager and mortgagee (if any) (“</w:t>
      </w:r>
      <w:r>
        <w:rPr>
          <w:rFonts w:ascii="Arial" w:cs="Arial" w:eastAsia="Arial" w:hAnsi="Arial"/>
          <w:sz w:val="16"/>
          <w:szCs w:val="16"/>
          <w:u w:val="single" w:color="auto"/>
          <w:color w:val="auto"/>
        </w:rPr>
        <w:t>Landlord’s</w:t>
      </w:r>
      <w:r>
        <w:rPr>
          <w:rFonts w:ascii="Arial" w:cs="Arial" w:eastAsia="Arial" w:hAnsi="Arial"/>
          <w:sz w:val="16"/>
          <w:szCs w:val="16"/>
          <w:color w:val="auto"/>
        </w:rPr>
        <w:t xml:space="preserve"> </w:t>
      </w:r>
      <w:r>
        <w:rPr>
          <w:rFonts w:ascii="Arial" w:cs="Arial" w:eastAsia="Arial" w:hAnsi="Arial"/>
          <w:sz w:val="16"/>
          <w:szCs w:val="16"/>
          <w:u w:val="single" w:color="auto"/>
          <w:color w:val="auto"/>
        </w:rPr>
        <w:t>Insured Parties</w:t>
      </w:r>
      <w:r>
        <w:rPr>
          <w:rFonts w:ascii="Arial" w:cs="Arial" w:eastAsia="Arial" w:hAnsi="Arial"/>
          <w:sz w:val="16"/>
          <w:szCs w:val="16"/>
          <w:color w:val="auto"/>
        </w:rPr>
        <w:t>”), from and against any and all claims, demands, expenses, losses, suits and damages (including reasonable attorneys’ fees) as may be occasioned by reason of (i) any accident, injury or damage occurring in, on or about the Premises causing injury to persons or damage to property;</w:t>
      </w:r>
    </w:p>
    <w:p>
      <w:pPr>
        <w:spacing w:after="0" w:line="2" w:lineRule="exact"/>
        <w:rPr>
          <w:sz w:val="20"/>
          <w:szCs w:val="20"/>
          <w:color w:val="auto"/>
        </w:rPr>
      </w:pPr>
    </w:p>
    <w:p>
      <w:pPr>
        <w:ind w:left="4" w:hanging="4"/>
        <w:spacing w:after="0" w:line="273" w:lineRule="auto"/>
        <w:tabs>
          <w:tab w:leader="none" w:pos="269" w:val="left"/>
        </w:tabs>
        <w:numPr>
          <w:ilvl w:val="0"/>
          <w:numId w:val="442"/>
        </w:numPr>
        <w:rPr>
          <w:rFonts w:ascii="Arial" w:cs="Arial" w:eastAsia="Arial" w:hAnsi="Arial"/>
          <w:sz w:val="17"/>
          <w:szCs w:val="17"/>
          <w:color w:val="auto"/>
        </w:rPr>
      </w:pPr>
      <w:r>
        <w:rPr>
          <w:rFonts w:ascii="Arial" w:cs="Arial" w:eastAsia="Arial" w:hAnsi="Arial"/>
          <w:sz w:val="17"/>
          <w:szCs w:val="17"/>
          <w:color w:val="auto"/>
        </w:rPr>
        <w:t xml:space="preserve">any accident, injury or damage occurring outside the Premises causing injury to persons or damage to property and due to the act or omission of Tenant or Tenant’s Agents (or any person or entity claiming by, through or under Tenant or Tenant’s Agents); and (iii) the breach or default by Tenant or Tenant’s Agents of any representation, covenant, or other term contained in this Lease, including without limitation the breach of any legal requirements. The provisions of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shall survive the expiration or earlier termination of this Lease.</w:t>
      </w:r>
    </w:p>
    <w:p>
      <w:pPr>
        <w:spacing w:after="0" w:line="108" w:lineRule="exact"/>
        <w:rPr>
          <w:rFonts w:ascii="Arial" w:cs="Arial" w:eastAsia="Arial" w:hAnsi="Arial"/>
          <w:sz w:val="17"/>
          <w:szCs w:val="17"/>
          <w:color w:val="auto"/>
        </w:rPr>
      </w:pPr>
    </w:p>
    <w:p>
      <w:pPr>
        <w:ind w:left="5424" w:hanging="111"/>
        <w:spacing w:after="0"/>
        <w:tabs>
          <w:tab w:leader="none" w:pos="5424" w:val="left"/>
        </w:tabs>
        <w:numPr>
          <w:ilvl w:val="1"/>
          <w:numId w:val="442"/>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024"/>
          </w:cols>
          <w:pgMar w:left="436" w:top="273" w:right="439" w:bottom="1440" w:gutter="0" w:footer="0" w:header="0"/>
        </w:sectPr>
      </w:pPr>
    </w:p>
    <w:bookmarkStart w:id="590" w:name="page591"/>
    <w:bookmarkEnd w:id="590"/>
    <w:p>
      <w:pPr>
        <w:ind w:left="4"/>
        <w:spacing w:after="0"/>
        <w:tabs>
          <w:tab w:leader="none" w:pos="1184"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w:t>
      </w:r>
      <w:r>
        <w:rPr>
          <w:sz w:val="20"/>
          <w:szCs w:val="20"/>
          <w:color w:val="auto"/>
        </w:rPr>
        <w:tab/>
      </w:r>
      <w:r>
        <w:rPr>
          <w:rFonts w:ascii="Arial" w:cs="Arial" w:eastAsia="Arial" w:hAnsi="Arial"/>
          <w:sz w:val="16"/>
          <w:szCs w:val="16"/>
          <w:u w:val="single" w:color="auto"/>
          <w:color w:val="auto"/>
        </w:rPr>
        <w:t>TENANT’S PROPERTY.</w:t>
      </w:r>
    </w:p>
    <w:p>
      <w:pPr>
        <w:spacing w:after="0" w:line="117"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Tenant shall pay, prior to delinquency, all taxes assessed against and levied upon Tenant’s Property. If any of Tenant’s Property shall be assessed with Landlord’s real or personal property, Tenant shall pay to Landlord the taxes attributable to Tenant within ten ( 10) days after receipt of a written statement from Landlord setting forth the taxes applicable to Tenant’s Property. As used herein, “</w:t>
      </w:r>
      <w:r>
        <w:rPr>
          <w:rFonts w:ascii="Arial" w:cs="Arial" w:eastAsia="Arial" w:hAnsi="Arial"/>
          <w:sz w:val="18"/>
          <w:szCs w:val="18"/>
          <w:u w:val="single" w:color="auto"/>
          <w:color w:val="auto"/>
        </w:rPr>
        <w:t>Tenant’s Property</w:t>
      </w:r>
      <w:r>
        <w:rPr>
          <w:rFonts w:ascii="Arial" w:cs="Arial" w:eastAsia="Arial" w:hAnsi="Arial"/>
          <w:sz w:val="18"/>
          <w:szCs w:val="18"/>
          <w:color w:val="auto"/>
        </w:rPr>
        <w:t>” includes, but is not limited to, all inventory, merchandise, furniture, fixtures, equipment (including computer equipment and any data stored thereon), and personal property placed in the Premises by Tenant and all computer, telecommunications or other cabling and wiring installed in the Premises or elsewhere in the Building by or for the benefit of Tenant.</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Tenant hereby acknowledges and agrees that Landlord’s insurance policies do not cover Tenant’s Property.</w:t>
      </w:r>
    </w:p>
    <w:p>
      <w:pPr>
        <w:spacing w:after="0" w:line="333"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u w:val="single" w:color="auto"/>
          <w:color w:val="auto"/>
        </w:rPr>
        <w:t>SECTION 18.</w:t>
      </w:r>
      <w:r>
        <w:rPr>
          <w:sz w:val="20"/>
          <w:szCs w:val="20"/>
          <w:color w:val="auto"/>
        </w:rPr>
        <w:tab/>
      </w:r>
      <w:r>
        <w:rPr>
          <w:rFonts w:ascii="Arial" w:cs="Arial" w:eastAsia="Arial" w:hAnsi="Arial"/>
          <w:sz w:val="17"/>
          <w:szCs w:val="17"/>
          <w:u w:val="single" w:color="auto"/>
          <w:color w:val="auto"/>
        </w:rPr>
        <w:t>ASSIGNMENT AND SUBLETTING.</w:t>
      </w:r>
    </w:p>
    <w:p>
      <w:pPr>
        <w:spacing w:after="0" w:line="117" w:lineRule="exact"/>
        <w:rPr>
          <w:sz w:val="20"/>
          <w:szCs w:val="20"/>
          <w:color w:val="auto"/>
        </w:rPr>
      </w:pPr>
    </w:p>
    <w:p>
      <w:pPr>
        <w:ind w:left="4" w:right="80" w:firstLine="440"/>
        <w:spacing w:after="0" w:line="289"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u w:val="single" w:color="auto"/>
          <w:color w:val="auto"/>
        </w:rPr>
        <w:t>Assignment and Subletting</w:t>
      </w:r>
      <w:r>
        <w:rPr>
          <w:rFonts w:ascii="Arial" w:cs="Arial" w:eastAsia="Arial" w:hAnsi="Arial"/>
          <w:sz w:val="16"/>
          <w:szCs w:val="16"/>
          <w:color w:val="auto"/>
        </w:rPr>
        <w:t>. Tenant shall not, without the prior written consent of Landlord, which consent shall not be unreasonably withheld, conditioned or delayed, assign, mortgage, encumber or otherwise transfer this Lease or any interest herein directly or indirectly, by operation of law or otherwise, or sublet the Premises or any part thereof, or permit the use or occupancy of the Premises by any party other than Tenant (any such action, a “</w:t>
      </w:r>
      <w:r>
        <w:rPr>
          <w:rFonts w:ascii="Arial" w:cs="Arial" w:eastAsia="Arial" w:hAnsi="Arial"/>
          <w:sz w:val="16"/>
          <w:szCs w:val="16"/>
          <w:u w:val="single" w:color="auto"/>
          <w:color w:val="auto"/>
        </w:rPr>
        <w:t>Transfer</w:t>
      </w:r>
      <w:r>
        <w:rPr>
          <w:rFonts w:ascii="Arial" w:cs="Arial" w:eastAsia="Arial" w:hAnsi="Arial"/>
          <w:sz w:val="16"/>
          <w:szCs w:val="16"/>
          <w:color w:val="auto"/>
        </w:rPr>
        <w:t>”). If at any time or from time to time during the Term, when no Event of Default has occurred and is continuing, Tenant desires to effect a Transfer, Tenant shall deliver to Landlord written notice (“</w:t>
      </w:r>
      <w:r>
        <w:rPr>
          <w:rFonts w:ascii="Arial" w:cs="Arial" w:eastAsia="Arial" w:hAnsi="Arial"/>
          <w:sz w:val="16"/>
          <w:szCs w:val="16"/>
          <w:u w:val="single" w:color="auto"/>
          <w:color w:val="auto"/>
        </w:rPr>
        <w:t>Transfer Notice</w:t>
      </w:r>
      <w:r>
        <w:rPr>
          <w:rFonts w:ascii="Arial" w:cs="Arial" w:eastAsia="Arial" w:hAnsi="Arial"/>
          <w:sz w:val="16"/>
          <w:szCs w:val="16"/>
          <w:color w:val="auto"/>
        </w:rPr>
        <w:t>”) setting forth the terms of the proposed Transfer and the identity of the proposed assignee, sublessee or other transferee (each a “</w:t>
      </w:r>
      <w:r>
        <w:rPr>
          <w:rFonts w:ascii="Arial" w:cs="Arial" w:eastAsia="Arial" w:hAnsi="Arial"/>
          <w:sz w:val="16"/>
          <w:szCs w:val="16"/>
          <w:u w:val="single" w:color="auto"/>
          <w:color w:val="auto"/>
        </w:rPr>
        <w:t>Transferee</w:t>
      </w:r>
      <w:r>
        <w:rPr>
          <w:rFonts w:ascii="Arial" w:cs="Arial" w:eastAsia="Arial" w:hAnsi="Arial"/>
          <w:sz w:val="16"/>
          <w:szCs w:val="16"/>
          <w:color w:val="auto"/>
        </w:rPr>
        <w:t>”). Tenant shall also deliver to Landlord with the Transfer Notice an acceptable assumption agreement for Tenant’s obligations under this Lease (in the case where the Transfer is a proposed assignment of this Lease) together with all relevant information requested by Landlord concerning the proposed Transferee to assist Landlord in making an informed judgment regarding the financial responsibility, creditworthiness, reputation, and business experience of the Transferee.</w:t>
      </w:r>
    </w:p>
    <w:p>
      <w:pPr>
        <w:spacing w:after="0" w:line="166" w:lineRule="exact"/>
        <w:rPr>
          <w:sz w:val="20"/>
          <w:szCs w:val="20"/>
          <w:color w:val="auto"/>
        </w:rPr>
      </w:pPr>
    </w:p>
    <w:p>
      <w:pPr>
        <w:ind w:left="4" w:right="600" w:firstLine="440"/>
        <w:spacing w:after="0" w:line="291"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Landlord’s Options</w:t>
      </w:r>
      <w:r>
        <w:rPr>
          <w:rFonts w:ascii="Arial" w:cs="Arial" w:eastAsia="Arial" w:hAnsi="Arial"/>
          <w:sz w:val="16"/>
          <w:szCs w:val="16"/>
          <w:color w:val="auto"/>
        </w:rPr>
        <w:t xml:space="preserve">. Landlord shall have the option, exercisable by written notice delivered to Tenant within fifteen (15) days after Landlord’s receipt of a Transfer Notice accompanied by the other information described in </w:t>
      </w:r>
      <w:r>
        <w:rPr>
          <w:rFonts w:ascii="Arial" w:cs="Arial" w:eastAsia="Arial" w:hAnsi="Arial"/>
          <w:sz w:val="16"/>
          <w:szCs w:val="16"/>
          <w:u w:val="single" w:color="auto"/>
          <w:color w:val="auto"/>
        </w:rPr>
        <w:t>Section 18.1</w:t>
      </w:r>
      <w:r>
        <w:rPr>
          <w:rFonts w:ascii="Arial" w:cs="Arial" w:eastAsia="Arial" w:hAnsi="Arial"/>
          <w:sz w:val="16"/>
          <w:szCs w:val="16"/>
          <w:color w:val="auto"/>
        </w:rPr>
        <w:t>, to (a) approve the proposed Transfer; or</w:t>
      </w:r>
    </w:p>
    <w:p>
      <w:pPr>
        <w:ind w:left="264" w:hanging="264"/>
        <w:spacing w:after="0"/>
        <w:tabs>
          <w:tab w:leader="none" w:pos="264" w:val="left"/>
        </w:tabs>
        <w:numPr>
          <w:ilvl w:val="0"/>
          <w:numId w:val="443"/>
        </w:numPr>
        <w:rPr>
          <w:rFonts w:ascii="Arial" w:cs="Arial" w:eastAsia="Arial" w:hAnsi="Arial"/>
          <w:sz w:val="16"/>
          <w:szCs w:val="16"/>
          <w:color w:val="auto"/>
        </w:rPr>
      </w:pPr>
      <w:r>
        <w:rPr>
          <w:rFonts w:ascii="Arial" w:cs="Arial" w:eastAsia="Arial" w:hAnsi="Arial"/>
          <w:sz w:val="16"/>
          <w:szCs w:val="16"/>
          <w:color w:val="auto"/>
        </w:rPr>
        <w:t>disapprove the proposed Transfer and continue the Lease in full force and effect; or (c) if the proposed Transfer is for a sublease of fifty percent</w:t>
      </w:r>
    </w:p>
    <w:p>
      <w:pPr>
        <w:spacing w:after="0" w:line="32" w:lineRule="exact"/>
        <w:rPr>
          <w:rFonts w:ascii="Arial" w:cs="Arial" w:eastAsia="Arial" w:hAnsi="Arial"/>
          <w:sz w:val="16"/>
          <w:szCs w:val="16"/>
          <w:color w:val="auto"/>
        </w:rPr>
      </w:pPr>
    </w:p>
    <w:p>
      <w:pPr>
        <w:ind w:left="4"/>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(50%) or more of the rentable square footage of the Premises, terminate the Lease with respect to the portion of the Premises affected as of the date set forth in Landlord’s notice of exercise of such option, which date shall not be less than thirty (30) days nor more than ninety (90) days following the giving of such notice; or (d) if the proposed Transfer is for a sublease of sixty percent (60%) or more of the rentable square footage of the Premises, terminate the Lease with respect to the portion of the Premises affected or, at Landlord’s option, the entire Premises (it being specifically agreed that Landlord may terminate the Lease with respect to the entire Premises even if Tenant proposes to sublease only sixty percent (60%) of the Premises) as of the date set forth in Landlord’s notice of exercise of such option, which date shall not be less than thirty (30) days nor more than ninety (90) days following the giving of such notice. If Landlord approves of the proposed Transfer pursuant to </w:t>
      </w:r>
      <w:r>
        <w:rPr>
          <w:rFonts w:ascii="Arial" w:cs="Arial" w:eastAsia="Arial" w:hAnsi="Arial"/>
          <w:sz w:val="16"/>
          <w:szCs w:val="16"/>
          <w:u w:val="single" w:color="auto"/>
          <w:color w:val="auto"/>
        </w:rPr>
        <w:t>Section 18.1</w:t>
      </w:r>
      <w:r>
        <w:rPr>
          <w:rFonts w:ascii="Arial" w:cs="Arial" w:eastAsia="Arial" w:hAnsi="Arial"/>
          <w:sz w:val="16"/>
          <w:szCs w:val="16"/>
          <w:color w:val="auto"/>
        </w:rPr>
        <w:t xml:space="preserve"> above, Tenant may enter into the proposed Transfer with such proposed Transferee subject to the following conditions: (i) the Transfer shall be on the same terms set forth in the Transfer Notice;</w:t>
      </w:r>
    </w:p>
    <w:p>
      <w:pPr>
        <w:spacing w:after="0" w:line="4" w:lineRule="exact"/>
        <w:rPr>
          <w:rFonts w:ascii="Arial" w:cs="Arial" w:eastAsia="Arial" w:hAnsi="Arial"/>
          <w:sz w:val="16"/>
          <w:szCs w:val="16"/>
          <w:color w:val="auto"/>
        </w:rPr>
      </w:pPr>
    </w:p>
    <w:p>
      <w:pPr>
        <w:ind w:left="4" w:right="100" w:hanging="4"/>
        <w:spacing w:after="0" w:line="269" w:lineRule="auto"/>
        <w:tabs>
          <w:tab w:leader="none" w:pos="269" w:val="left"/>
        </w:tabs>
        <w:numPr>
          <w:ilvl w:val="0"/>
          <w:numId w:val="444"/>
        </w:numPr>
        <w:rPr>
          <w:rFonts w:ascii="Arial" w:cs="Arial" w:eastAsia="Arial" w:hAnsi="Arial"/>
          <w:sz w:val="17"/>
          <w:szCs w:val="17"/>
          <w:color w:val="auto"/>
        </w:rPr>
      </w:pPr>
      <w:r>
        <w:rPr>
          <w:rFonts w:ascii="Arial" w:cs="Arial" w:eastAsia="Arial" w:hAnsi="Arial"/>
          <w:sz w:val="17"/>
          <w:szCs w:val="17"/>
          <w:color w:val="auto"/>
        </w:rPr>
        <w:t>no Transfer shall be valid and no Transferee shall take possession of the Premises until an executed counterpart of the assignment, sublease or other instrument effecting the Transfer (in the form reasonably approved by Landlord) has been delivered to Landlord pursuant to which the Transferee shall expressly assume all of Tenant’s obligations under this Lease; and (iii) Tenant shall provide Landlord with a written ratification agreement from each guarantor (if any) of this Lease in form and substance satisfactory to Landlord. In addition, Tenant agrees to reimburse Landlord for its reasonable costs and expenses (including, without limitation, reasonable attorneys’ fees) incurred by Landlord in connection with Landlord’s review of any (x) proposed Transfer whether or not Landlord approves the same and (y) Permitted Transfer (as hereinafter defined); provided, however, that such costs and expenses shall not exceed $2,500.00 per Transfer request.</w:t>
      </w:r>
    </w:p>
    <w:p>
      <w:pPr>
        <w:spacing w:after="0" w:line="112" w:lineRule="exact"/>
        <w:rPr>
          <w:rFonts w:ascii="Arial" w:cs="Arial" w:eastAsia="Arial" w:hAnsi="Arial"/>
          <w:sz w:val="17"/>
          <w:szCs w:val="17"/>
          <w:color w:val="auto"/>
        </w:rPr>
      </w:pPr>
    </w:p>
    <w:p>
      <w:pPr>
        <w:ind w:left="5424" w:hanging="111"/>
        <w:spacing w:after="0"/>
        <w:tabs>
          <w:tab w:leader="none" w:pos="5424" w:val="left"/>
        </w:tabs>
        <w:numPr>
          <w:ilvl w:val="1"/>
          <w:numId w:val="444"/>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024"/>
          </w:cols>
          <w:pgMar w:left="436" w:top="273" w:right="439" w:bottom="1440" w:gutter="0" w:footer="0" w:header="0"/>
        </w:sectPr>
      </w:pPr>
    </w:p>
    <w:bookmarkStart w:id="591" w:name="page592"/>
    <w:bookmarkEnd w:id="591"/>
    <w:p>
      <w:pPr>
        <w:ind w:left="4"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Landlord exercises its option to terminate this Lease in its entirety or with respect to the portion of the Premises affected (as set forth above), Tenant shall surrender possession of the Premises or portion thereof on the date set forth in Landlord’s notice, and thereafter neither Landlord nor Tenant shall have any further liability with respect thereto. If this Lease shall be terminated as to a portion of the Premises only, Base Rent and Tenant’s parking allocation (if any) shall be readjusted proportionately according to the ratio that the number of square feet and the portion of the space surrendered compare to the floor area of Tenant’s Premises during the Term of the proposed sublet. Landlord acknowledges and agrees that Landlord’s termination rights in Section 18.2 shall not apply to a Permitted Transfer.</w:t>
      </w:r>
    </w:p>
    <w:p>
      <w:pPr>
        <w:spacing w:after="0" w:line="178"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18.3 </w:t>
      </w:r>
      <w:r>
        <w:rPr>
          <w:rFonts w:ascii="Arial" w:cs="Arial" w:eastAsia="Arial" w:hAnsi="Arial"/>
          <w:sz w:val="16"/>
          <w:szCs w:val="16"/>
          <w:u w:val="single" w:color="auto"/>
          <w:color w:val="auto"/>
        </w:rPr>
        <w:t>Additional Conditions</w:t>
      </w:r>
      <w:r>
        <w:rPr>
          <w:rFonts w:ascii="Arial" w:cs="Arial" w:eastAsia="Arial" w:hAnsi="Arial"/>
          <w:sz w:val="16"/>
          <w:szCs w:val="16"/>
          <w:color w:val="auto"/>
        </w:rPr>
        <w:t>. Without limitation, it is agreed that Landlord’s consent shall not be considered unreasonably withheld, conditioned or delayed if: (a) in Landlord’s good faith opinion the proposed Transferee’s financial condition is not adequate for the obligations such Transferee is assuming in connection with the proposed Transfer; (b) in Landlord’s good faith opinion the proposed Transferee’s business or reputation is not suitable for the Property considering the business and reputation of the other tenants and the Property’s profile, or the proposed Transfer would result in a violation of another tenant’s rights under its lease at the Property; (c) the proposed Transferee is a governmental or quasi-governmental entity, agency, department or instrumentality; (d) the proposed Transferee is an occupant of the Property; (e) there is then occurring an Event of Default (or there is then occurring an event which with passage of time or the giving of notice, or both, would constitute an Event of Default) under this Lease; (f) any portion of the Property (including the Premises) would likely become subject to additional or different legal requirements as a consequence of the proposed Transfer; (g) Landlord or its agent have discussed with the proposed Transferee or its agent its need for space at the Property within six (6) months prior to Tenant’s delivery of written notice of the proposed Transfer to Landlord, and Landlord has similar space then available for rent at the Property;</w:t>
      </w:r>
    </w:p>
    <w:p>
      <w:pPr>
        <w:spacing w:after="0" w:line="5" w:lineRule="exact"/>
        <w:rPr>
          <w:sz w:val="20"/>
          <w:szCs w:val="20"/>
          <w:color w:val="auto"/>
        </w:rPr>
      </w:pPr>
    </w:p>
    <w:p>
      <w:pPr>
        <w:ind w:left="4" w:right="240" w:hanging="4"/>
        <w:spacing w:after="0" w:line="281" w:lineRule="auto"/>
        <w:tabs>
          <w:tab w:leader="none" w:pos="259" w:val="left"/>
        </w:tabs>
        <w:numPr>
          <w:ilvl w:val="0"/>
          <w:numId w:val="445"/>
        </w:numPr>
        <w:rPr>
          <w:rFonts w:ascii="Arial" w:cs="Arial" w:eastAsia="Arial" w:hAnsi="Arial"/>
          <w:sz w:val="16"/>
          <w:szCs w:val="16"/>
          <w:color w:val="auto"/>
        </w:rPr>
      </w:pPr>
      <w:r>
        <w:rPr>
          <w:rFonts w:ascii="Arial" w:cs="Arial" w:eastAsia="Arial" w:hAnsi="Arial"/>
          <w:sz w:val="16"/>
          <w:szCs w:val="16"/>
          <w:color w:val="auto"/>
        </w:rPr>
        <w:t>intentionally omitted; (i) the proposed Transfer is not approved of by any mortgagee; U) the proposed Transferee refuses to sign a commercially reasonable subordination and attornment agreement in favor of any Superior Lessor (as hereinafter defined) or Superior Mortgagee (as hereinafter defined); (k) any guarantor (if any) of this Lease refuses to approve the proposed Transfer or to execute a written agreement reaffirming the guaranty;</w:t>
      </w:r>
    </w:p>
    <w:p>
      <w:pPr>
        <w:spacing w:after="0" w:line="1" w:lineRule="exact"/>
        <w:rPr>
          <w:rFonts w:ascii="Arial" w:cs="Arial" w:eastAsia="Arial" w:hAnsi="Arial"/>
          <w:sz w:val="16"/>
          <w:szCs w:val="16"/>
          <w:color w:val="auto"/>
        </w:rPr>
      </w:pPr>
    </w:p>
    <w:p>
      <w:pPr>
        <w:jc w:val="both"/>
        <w:ind w:left="4" w:right="500"/>
        <w:spacing w:after="0" w:line="281" w:lineRule="auto"/>
        <w:rPr>
          <w:rFonts w:ascii="Arial" w:cs="Arial" w:eastAsia="Arial" w:hAnsi="Arial"/>
          <w:sz w:val="16"/>
          <w:szCs w:val="16"/>
          <w:color w:val="auto"/>
        </w:rPr>
      </w:pPr>
      <w:r>
        <w:rPr>
          <w:rFonts w:ascii="Arial" w:cs="Arial" w:eastAsia="Arial" w:hAnsi="Arial"/>
          <w:sz w:val="16"/>
          <w:szCs w:val="16"/>
          <w:color w:val="auto"/>
        </w:rPr>
        <w:t>(I) in Landlord’s good faith opinion the proposed Transferee’s business will impose a burden on the Common Areas or other facilities serving the Building or the Property that is greater than the burden imposed by Tenant; (m) Landlord has sued or been sued by the proposed Transferee or has otherwise been involved in a legal dispute with the proposed Transferee; or (n) the proposed Transfer will result in there being more than one</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(1) subtenant in the Premises.</w:t>
      </w:r>
    </w:p>
    <w:p>
      <w:pPr>
        <w:spacing w:after="0" w:line="211"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 xml:space="preserve">18.4 </w:t>
      </w:r>
      <w:r>
        <w:rPr>
          <w:rFonts w:ascii="Arial" w:cs="Arial" w:eastAsia="Arial" w:hAnsi="Arial"/>
          <w:sz w:val="16"/>
          <w:szCs w:val="16"/>
          <w:u w:val="single" w:color="auto"/>
          <w:color w:val="auto"/>
        </w:rPr>
        <w:t>No Release</w:t>
      </w:r>
      <w:r>
        <w:rPr>
          <w:rFonts w:ascii="Arial" w:cs="Arial" w:eastAsia="Arial" w:hAnsi="Arial"/>
          <w:sz w:val="16"/>
          <w:szCs w:val="16"/>
          <w:color w:val="auto"/>
        </w:rPr>
        <w:t>. Landlord’s consent to a Transfer shall not release Tenant of Tenant’s obligations under this Lease and this Lease and all of the obligations of Tenant under this Lease shall continue in full force and effect as the obligations of a principal (and not as the obligations of a guarantor or surety). From and after the date of any Transfer, the Lease obligations of the Transferee and of the original Tenant named in this Lease shall be joint and several. No acceptance of Base Rent by Landlord from or recognition in any way of the occupancy of the Premises by a Transferee shall be deemed a consent to such Transfer, or a release of Tenant from direct and primary liability for the further performance of Tenant’s covenants hereunder. Landlord’s consent to a particular Transfer shall not relieve Tenant from the requirement of obtaining Landlord’s consent to any further Transfer. Each violation of any of the covenants, agreements, terms or conditions of this Lease, whether by act or omission, by any of Tenant’s permitted Transferees, shall constitute a violation thereof by Tenant. In the event of default by any Transferee of Tenant or any successor of Tenant in the performance of any of the terms hereof, Landlord may proceed directly against Tenant without the necessity of exhausting remedies against such Transferee or successor.</w:t>
      </w:r>
    </w:p>
    <w:p>
      <w:pPr>
        <w:spacing w:after="0" w:line="166" w:lineRule="exact"/>
        <w:rPr>
          <w:sz w:val="20"/>
          <w:szCs w:val="20"/>
          <w:color w:val="auto"/>
        </w:rPr>
      </w:pPr>
    </w:p>
    <w:p>
      <w:pPr>
        <w:ind w:left="4" w:right="100" w:firstLine="440"/>
        <w:spacing w:after="0" w:line="290" w:lineRule="auto"/>
        <w:rPr>
          <w:sz w:val="20"/>
          <w:szCs w:val="20"/>
          <w:color w:val="auto"/>
        </w:rPr>
      </w:pPr>
      <w:r>
        <w:rPr>
          <w:rFonts w:ascii="Arial" w:cs="Arial" w:eastAsia="Arial" w:hAnsi="Arial"/>
          <w:sz w:val="16"/>
          <w:szCs w:val="16"/>
          <w:color w:val="auto"/>
        </w:rPr>
        <w:t>18.5 Transfer Profit. Tenant shall pay to Landlord, as Additional Rent, one-half of the amount (the “</w:t>
      </w:r>
      <w:r>
        <w:rPr>
          <w:rFonts w:ascii="Arial" w:cs="Arial" w:eastAsia="Arial" w:hAnsi="Arial"/>
          <w:sz w:val="16"/>
          <w:szCs w:val="16"/>
          <w:u w:val="single" w:color="auto"/>
          <w:color w:val="auto"/>
        </w:rPr>
        <w:t>Transfer Profit</w:t>
      </w:r>
      <w:r>
        <w:rPr>
          <w:rFonts w:ascii="Arial" w:cs="Arial" w:eastAsia="Arial" w:hAnsi="Arial"/>
          <w:sz w:val="16"/>
          <w:szCs w:val="16"/>
          <w:color w:val="auto"/>
        </w:rPr>
        <w:t>”) equal to any rent and other economic consideration received by Tenant as a result of any Transfer which exceeds, in the aggregate: (a) the total of the remaining Base Rent which Tenant is obligated to pay Landlord under this Lease (prorated to reflect obligations allocable to any portion of the Premises subleased) plus (b) any reasonable tenant fit-up costs, brokerage commissions, marketing expenses, tenant allowances, economic concessions and attorneys’ fees actually paid by Tenant in connection with such Transfer amortized on a straight-line basis over the term of the Transfer (specifically excluding moving or relocation costs paid to the Transferee). Tenant shall pay such Transfer Profit to Landlord on a monthly basis within ten (10) days after receipt thereof, without affecting or reducing any other obligations of Tenant hereunder. Each such payment shall be sent with a detailed statement reasonably acceptable to Landlord. Landlord acknowledges and agrees that the provisions of this Section 18.5 shall not apply to a Permitted Transfer.</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04"/>
          </w:cols>
          <w:pgMar w:left="436" w:top="273" w:right="459" w:bottom="1440" w:gutter="0" w:footer="0" w:header="0"/>
        </w:sectPr>
      </w:pPr>
    </w:p>
    <w:bookmarkStart w:id="592" w:name="page593"/>
    <w:bookmarkEnd w:id="592"/>
    <w:p>
      <w:pPr>
        <w:ind w:left="4"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18.6 </w:t>
      </w:r>
      <w:r>
        <w:rPr>
          <w:rFonts w:ascii="Arial" w:cs="Arial" w:eastAsia="Arial" w:hAnsi="Arial"/>
          <w:sz w:val="18"/>
          <w:szCs w:val="18"/>
          <w:u w:val="single" w:color="auto"/>
          <w:color w:val="auto"/>
        </w:rPr>
        <w:t>Effect on Personal Rights of Tenant</w:t>
      </w:r>
      <w:r>
        <w:rPr>
          <w:rFonts w:ascii="Arial" w:cs="Arial" w:eastAsia="Arial" w:hAnsi="Arial"/>
          <w:sz w:val="18"/>
          <w:szCs w:val="18"/>
          <w:color w:val="auto"/>
        </w:rPr>
        <w:t>. Except in the event of a Permitted Transfer, any rights and options of Tenant shall be ex1inguished (except as otherwise agreed to by Landlord) and shall not be transferred to the assignee, transferee or subtenant, all such rights being personal to Tenant named herein.</w:t>
      </w:r>
    </w:p>
    <w:p>
      <w:pPr>
        <w:spacing w:after="0" w:line="2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u w:val="single" w:color="auto"/>
          <w:color w:val="auto"/>
        </w:rPr>
        <w:t>Permitted Transfers</w:t>
      </w:r>
      <w:r>
        <w:rPr>
          <w:rFonts w:ascii="Arial" w:cs="Arial" w:eastAsia="Arial" w:hAnsi="Arial"/>
          <w:sz w:val="18"/>
          <w:szCs w:val="18"/>
          <w:color w:val="auto"/>
        </w:rPr>
        <w:t>.</w:t>
      </w:r>
    </w:p>
    <w:p>
      <w:pPr>
        <w:spacing w:after="0" w:line="117" w:lineRule="exact"/>
        <w:rPr>
          <w:sz w:val="20"/>
          <w:szCs w:val="20"/>
          <w:color w:val="auto"/>
        </w:rPr>
      </w:pPr>
    </w:p>
    <w:p>
      <w:pPr>
        <w:ind w:left="4" w:right="120" w:firstLine="987"/>
        <w:spacing w:after="0" w:line="291" w:lineRule="auto"/>
        <w:tabs>
          <w:tab w:leader="none" w:pos="1425" w:val="left"/>
        </w:tabs>
        <w:numPr>
          <w:ilvl w:val="1"/>
          <w:numId w:val="44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Section 18, (a) a Transfer (by one or more Transfers) of a controlling portion of or interest in the stock, partnership interests, membership interests or other equity interests of Tenant shall not require the consent of Landlord, and</w:t>
      </w:r>
    </w:p>
    <w:p>
      <w:pPr>
        <w:ind w:left="4" w:right="40" w:hanging="4"/>
        <w:spacing w:after="0" w:line="284" w:lineRule="auto"/>
        <w:tabs>
          <w:tab w:leader="none" w:pos="256" w:val="left"/>
        </w:tabs>
        <w:numPr>
          <w:ilvl w:val="0"/>
          <w:numId w:val="447"/>
        </w:numPr>
        <w:rPr>
          <w:rFonts w:ascii="Arial" w:cs="Arial" w:eastAsia="Arial" w:hAnsi="Arial"/>
          <w:sz w:val="16"/>
          <w:szCs w:val="16"/>
          <w:color w:val="auto"/>
        </w:rPr>
      </w:pPr>
      <w:r>
        <w:rPr>
          <w:rFonts w:ascii="Arial" w:cs="Arial" w:eastAsia="Arial" w:hAnsi="Arial"/>
          <w:sz w:val="16"/>
          <w:szCs w:val="16"/>
          <w:color w:val="auto"/>
        </w:rPr>
        <w:t>Tenant may assign its interest in this Lease or sublet all or any part of the Premises (1) to any entity controlling, controlled by, or under common control with Tenant, or (2) to any successor to Tenant by purchase, merger, consolidation or similar business reorganization (each a “</w:t>
      </w:r>
      <w:r>
        <w:rPr>
          <w:rFonts w:ascii="Arial" w:cs="Arial" w:eastAsia="Arial" w:hAnsi="Arial"/>
          <w:sz w:val="16"/>
          <w:szCs w:val="16"/>
          <w:u w:val="single" w:color="auto"/>
          <w:color w:val="auto"/>
        </w:rPr>
        <w:t>Permitted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Transfer</w:t>
      </w:r>
      <w:r>
        <w:rPr>
          <w:rFonts w:ascii="Arial" w:cs="Arial" w:eastAsia="Arial" w:hAnsi="Arial"/>
          <w:sz w:val="16"/>
          <w:szCs w:val="16"/>
          <w:color w:val="auto"/>
        </w:rPr>
        <w:t>”) without the consent of Landlord; provided, however, that (i) there is not then occurring an Event of Default (or there is not then occurring an event which with passage of time or the giving of notice, or both, would constitute an Event of Default) under this Lease; (ii) if the proposed transferee is a successor to Tenant by purchase, said proposed transferee shall acquire all or substantially all of the stock or assets of Tenant’s business or, if the proposed transferee is a successor to Tenant by merger, consolidation or similar business reorganization, the continuing or surviving entity shall own all or substantially all of the assets of Tenant’s business; (iii) such proposed transferee shall have a Net Worth (as hereinafter defined) which is sufficient, in Landlord’s commercially reasonable opinion, to enable the proposed transferee to satisfy the obligations of Tenant under this Lease, as evidenced to Landlord’s reasonable satisfaction; (iv) Tenant shall not be released from any obligation under this Lease or any liability hereunder; and (v) Tenant shall give Landlord written notice as soon as reasonably practicable and in no event more than ten (10) days after the effective date of the Permitted Transfer, along with all applicable documentation and other information necessary for Landlord to determine that the requirements of this provision have been satisfied. As used herein, “</w:t>
      </w:r>
      <w:r>
        <w:rPr>
          <w:rFonts w:ascii="Arial" w:cs="Arial" w:eastAsia="Arial" w:hAnsi="Arial"/>
          <w:sz w:val="16"/>
          <w:szCs w:val="16"/>
          <w:u w:val="single" w:color="auto"/>
          <w:color w:val="auto"/>
        </w:rPr>
        <w:t>Net Worth</w:t>
      </w:r>
      <w:r>
        <w:rPr>
          <w:rFonts w:ascii="Arial" w:cs="Arial" w:eastAsia="Arial" w:hAnsi="Arial"/>
          <w:sz w:val="16"/>
          <w:szCs w:val="16"/>
          <w:color w:val="auto"/>
        </w:rPr>
        <w:t>” shall be the tangible net worth of Tenant (excluding any guarantors) established under generally accepted accounting principles consistently applied. Notwithstanding the foregoing, if equity interests in Tenant at any time are or become traded on a public stock exchange, the transfer of equity interests in Tenant on a public stock exchange shall not be deemed an assignment for the purposes of Section 18. If requested by Landlord, the transferee shall sign Landlord’s commercially reasonable form of assumption agreement. Tenant acknowledges and agrees that Section 18.4 (No Release) and Section 41 (OFAC List) shall also apply in connection with a Permitted Transfer.</w:t>
      </w:r>
    </w:p>
    <w:p>
      <w:pPr>
        <w:spacing w:after="0" w:line="174" w:lineRule="exact"/>
        <w:rPr>
          <w:rFonts w:ascii="Arial" w:cs="Arial" w:eastAsia="Arial" w:hAnsi="Arial"/>
          <w:sz w:val="16"/>
          <w:szCs w:val="16"/>
          <w:color w:val="auto"/>
        </w:rPr>
      </w:pPr>
    </w:p>
    <w:p>
      <w:pPr>
        <w:ind w:left="4" w:right="340" w:firstLine="987"/>
        <w:spacing w:after="0" w:line="259" w:lineRule="auto"/>
        <w:tabs>
          <w:tab w:leader="none" w:pos="1415" w:val="left"/>
        </w:tabs>
        <w:numPr>
          <w:ilvl w:val="1"/>
          <w:numId w:val="447"/>
        </w:numPr>
        <w:rPr>
          <w:rFonts w:ascii="Arial" w:cs="Arial" w:eastAsia="Arial" w:hAnsi="Arial"/>
          <w:sz w:val="18"/>
          <w:szCs w:val="18"/>
          <w:color w:val="auto"/>
        </w:rPr>
      </w:pPr>
      <w:r>
        <w:rPr>
          <w:rFonts w:ascii="Arial" w:cs="Arial" w:eastAsia="Arial" w:hAnsi="Arial"/>
          <w:sz w:val="18"/>
          <w:szCs w:val="18"/>
          <w:color w:val="auto"/>
        </w:rPr>
        <w:t>In addition to the foregoing, it shall be a condition of the validity of any such Transfer (or Permitted Transfer) that the proposed transferee agrees directly with Landlord, in form satisfactory to Landlord, to be bound by all the obligations of Tenant hereunder, including, without limitation, the obligation to pay Rent and other amounts provided for under this Lease, the covenant regarding use and the covenant against further assignment and subletting.</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18.8 </w:t>
      </w:r>
      <w:r>
        <w:rPr>
          <w:rFonts w:ascii="Arial" w:cs="Arial" w:eastAsia="Arial" w:hAnsi="Arial"/>
          <w:sz w:val="17"/>
          <w:szCs w:val="17"/>
          <w:u w:val="single" w:color="auto"/>
          <w:color w:val="auto"/>
        </w:rPr>
        <w:t>Applicable Terms and Conditions</w:t>
      </w:r>
      <w:r>
        <w:rPr>
          <w:rFonts w:ascii="Arial" w:cs="Arial" w:eastAsia="Arial" w:hAnsi="Arial"/>
          <w:sz w:val="17"/>
          <w:szCs w:val="17"/>
          <w:color w:val="auto"/>
        </w:rPr>
        <w:t>. The following terms and conditions shall apply to any subletting by Tenant of all or any part of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Premises and shall be deemed included in all subleases under this Lease whether or not expressly incorporated therein:</w:t>
      </w:r>
    </w:p>
    <w:p>
      <w:pPr>
        <w:spacing w:after="0" w:line="211" w:lineRule="exact"/>
        <w:rPr>
          <w:sz w:val="20"/>
          <w:szCs w:val="20"/>
          <w:color w:val="auto"/>
        </w:rPr>
      </w:pPr>
    </w:p>
    <w:p>
      <w:pPr>
        <w:ind w:left="4" w:firstLine="436"/>
        <w:spacing w:after="0" w:line="271" w:lineRule="auto"/>
        <w:tabs>
          <w:tab w:leader="none" w:pos="689" w:val="left"/>
        </w:tabs>
        <w:numPr>
          <w:ilvl w:val="0"/>
          <w:numId w:val="448"/>
        </w:numPr>
        <w:rPr>
          <w:rFonts w:ascii="Arial" w:cs="Arial" w:eastAsia="Arial" w:hAnsi="Arial"/>
          <w:sz w:val="17"/>
          <w:szCs w:val="17"/>
          <w:color w:val="auto"/>
        </w:rPr>
      </w:pPr>
      <w:r>
        <w:rPr>
          <w:rFonts w:ascii="Arial" w:cs="Arial" w:eastAsia="Arial" w:hAnsi="Arial"/>
          <w:sz w:val="17"/>
          <w:szCs w:val="17"/>
          <w:color w:val="auto"/>
        </w:rPr>
        <w:t>Tenant hereby assigns and transfers to Landlord all of Tenant’s interest in all rentals and income arising from any sublease of all or a portion of the Premises heretofore or hereafter made by Tenant, and Landlord may collect such rent and income and apply the same towards Tenant’s obligations under this Lease; provided, however, that until an Event of Default by Tenant shall occur hereunder which is not cured within the applicable cure period (if any), Tenant may, except as otherwise provided in this Lease, receive, collect and enjoy the rents accruing under such sublease. Landlord shall not, by reason of this or any other assignment of such sublease to Landlord, nor by reason of the collection of the rents from a subtenant, be deemed liable to the subtenant for any failure of Tenant to perform and comply with any of Tenant’s obligations to such subtenant under such sublease. Tenant hereby irrevocably authorizes and directs any such subtenant, upon receipt of a written notice from Landlord stating that a default hereunder exists under this Lease, to pay to Landlord the rents and other charges due and to become</w:t>
      </w:r>
    </w:p>
    <w:p>
      <w:pPr>
        <w:spacing w:after="0" w:line="110" w:lineRule="exact"/>
        <w:rPr>
          <w:rFonts w:ascii="Arial" w:cs="Arial" w:eastAsia="Arial" w:hAnsi="Arial"/>
          <w:sz w:val="17"/>
          <w:szCs w:val="17"/>
          <w:color w:val="auto"/>
        </w:rPr>
      </w:pPr>
    </w:p>
    <w:p>
      <w:pPr>
        <w:ind w:left="5424" w:hanging="111"/>
        <w:spacing w:after="0"/>
        <w:tabs>
          <w:tab w:leader="none" w:pos="542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004"/>
          </w:cols>
          <w:pgMar w:left="436" w:top="273" w:right="459" w:bottom="1440" w:gutter="0" w:footer="0" w:header="0"/>
        </w:sectPr>
      </w:pPr>
    </w:p>
    <w:bookmarkStart w:id="593" w:name="page594"/>
    <w:bookmarkEnd w:id="593"/>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under the sublease. The subtenant shall rely upon any such statement and request from Landlord and shall pay such rents and other charges to Landlord without any obligation or right to inquire as to whether such breach exists and notwithstanding any notice from or claim from Tenant to the contrary. Tenant shall have no right or claim against said subtenant, or, until the breach has been cured, against Landlord, for any such rents and other charges so paid by said subtenant to Landlord.</w:t>
      </w:r>
    </w:p>
    <w:p>
      <w:pPr>
        <w:spacing w:after="0" w:line="187" w:lineRule="exact"/>
        <w:rPr>
          <w:sz w:val="20"/>
          <w:szCs w:val="20"/>
          <w:color w:val="auto"/>
        </w:rPr>
      </w:pPr>
    </w:p>
    <w:p>
      <w:pPr>
        <w:jc w:val="both"/>
        <w:ind w:right="100" w:firstLine="436"/>
        <w:spacing w:after="0" w:line="275" w:lineRule="auto"/>
        <w:tabs>
          <w:tab w:leader="none" w:pos="695" w:val="left"/>
        </w:tabs>
        <w:numPr>
          <w:ilvl w:val="0"/>
          <w:numId w:val="449"/>
        </w:numPr>
        <w:rPr>
          <w:rFonts w:ascii="Arial" w:cs="Arial" w:eastAsia="Arial" w:hAnsi="Arial"/>
          <w:sz w:val="17"/>
          <w:szCs w:val="17"/>
          <w:color w:val="auto"/>
        </w:rPr>
      </w:pPr>
      <w:r>
        <w:rPr>
          <w:rFonts w:ascii="Arial" w:cs="Arial" w:eastAsia="Arial" w:hAnsi="Arial"/>
          <w:sz w:val="17"/>
          <w:szCs w:val="17"/>
          <w:color w:val="auto"/>
        </w:rPr>
        <w:t>In the event of a default by Tenant in the performance of its obligations under this Lease, Landlord, at its option and without any obligation to do so, may require any subtenant to attorn to Landlord, in which event Landlord shall undertake the obligations of the sublandlord under such sublease from the time of the exercise of said option to the expiration of such sublease; provided, however, Landlord shall not be liable for any prepaid rent or security deposit paid by such subtenant to Tenant or for any other prior defaults or breaches of Tenant as sublandlord under such sublease, unless and then to the extent any such prepaid rent and security deposit have been delivered to Landlord.</w:t>
      </w:r>
    </w:p>
    <w:p>
      <w:pPr>
        <w:spacing w:after="0" w:line="28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SECTION 19.</w:t>
      </w:r>
      <w:r>
        <w:rPr>
          <w:sz w:val="20"/>
          <w:szCs w:val="20"/>
          <w:color w:val="auto"/>
        </w:rPr>
        <w:tab/>
      </w:r>
      <w:r>
        <w:rPr>
          <w:rFonts w:ascii="Arial" w:cs="Arial" w:eastAsia="Arial" w:hAnsi="Arial"/>
          <w:sz w:val="17"/>
          <w:szCs w:val="17"/>
          <w:u w:val="single" w:color="auto"/>
          <w:color w:val="auto"/>
        </w:rPr>
        <w:t>SIGNS, WINDOW TREATMENTS, AND ADVERTISING.</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Except as hereinafter provided, Tenant may not place on the interior or exterior of the Premises (including on both interior and exterior surfaces or doors and interior surfaces of windows) or on any part of the Building outside of the Premises, any signs, symbol, advertisement, or the like, visible to public view from outside of the Premises. Any signs or letters in the public corridors or on the doors must be in accordance with a plan or sketch of the sign submitted to Landlord for written approval before installation, which installation shall be at the sole expense of Tenant. All signage must be in accordance with all applicable laws. regulations, ordinances, and codes. No signs may be installed in or on any window. Tenant may install its own window treatments, only if the same shall not in any way interfere with the Building standard blinds or be visible from the exterior of the Building.</w:t>
      </w:r>
    </w:p>
    <w:p>
      <w:pPr>
        <w:spacing w:after="0" w:line="164"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Landlord shall provide and maintain at Landlord’s cost (a) in the main lobby of the Building, an alphabetical directory board or other directory device listing all tenants in the Building, including Tenant. and/or (b) in the elevator lobby of the floor on which the Premises are located. an alphabetical directory board or other directory device listing all tenants on the floor, including Tenant. Tenant shall have the option to install its own signage at the entrance of the Premises, subject to Landlord’s prior written consent not to be unreasonably withheld, conditioned or delayed.</w:t>
      </w:r>
    </w:p>
    <w:p>
      <w:pPr>
        <w:spacing w:after="0" w:line="26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SECTION 20.</w:t>
      </w:r>
      <w:r>
        <w:rPr>
          <w:sz w:val="20"/>
          <w:szCs w:val="20"/>
          <w:color w:val="auto"/>
        </w:rPr>
        <w:tab/>
      </w:r>
      <w:r>
        <w:rPr>
          <w:rFonts w:ascii="Arial" w:cs="Arial" w:eastAsia="Arial" w:hAnsi="Arial"/>
          <w:sz w:val="17"/>
          <w:szCs w:val="17"/>
          <w:u w:val="single" w:color="auto"/>
          <w:color w:val="auto"/>
        </w:rPr>
        <w:t>INFLAMMABLES ODORS.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Tenant shall not bring, permit to be brought, keep, or permit to be kept in or on the Premises or elsewhere in the Building or on the Property, any inflammable, combustible, or explosive fluids, materials, chemicals, or substances (other than small quantities of industrial solvents used in the normal course of cleaning and maintenance), or cause or permit any odors of cooking or other processes, or any unusual or other objectionable odors to emanate from or permeate the Premises.</w:t>
      </w:r>
    </w:p>
    <w:p>
      <w:pPr>
        <w:spacing w:after="0" w:line="29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SECTION 21.</w:t>
      </w:r>
      <w:r>
        <w:rPr>
          <w:sz w:val="20"/>
          <w:szCs w:val="20"/>
          <w:color w:val="auto"/>
        </w:rPr>
        <w:tab/>
      </w:r>
      <w:r>
        <w:rPr>
          <w:rFonts w:ascii="Arial" w:cs="Arial" w:eastAsia="Arial" w:hAnsi="Arial"/>
          <w:sz w:val="17"/>
          <w:szCs w:val="17"/>
          <w:u w:val="single" w:color="auto"/>
          <w:color w:val="auto"/>
        </w:rPr>
        <w:t>INSURANCE.</w:t>
      </w:r>
    </w:p>
    <w:p>
      <w:pPr>
        <w:spacing w:after="0" w:line="117"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Tenant’s Insurance</w:t>
      </w:r>
      <w:r>
        <w:rPr>
          <w:rFonts w:ascii="Arial" w:cs="Arial" w:eastAsia="Arial" w:hAnsi="Arial"/>
          <w:sz w:val="16"/>
          <w:szCs w:val="16"/>
          <w:color w:val="auto"/>
        </w:rPr>
        <w:t>. Tenant shall, at all times during the Term of this Lease (or such earlier or later period as Tenant is in possession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Premises or any portion thereof), procure and maintain at its sole cost and expense:</w:t>
      </w:r>
    </w:p>
    <w:p>
      <w:pPr>
        <w:spacing w:after="0" w:line="211" w:lineRule="exact"/>
        <w:rPr>
          <w:sz w:val="20"/>
          <w:szCs w:val="20"/>
          <w:color w:val="auto"/>
        </w:rPr>
      </w:pPr>
    </w:p>
    <w:p>
      <w:pPr>
        <w:ind w:right="220" w:firstLine="987"/>
        <w:spacing w:after="0" w:line="263" w:lineRule="auto"/>
        <w:tabs>
          <w:tab w:leader="none" w:pos="1331" w:val="left"/>
        </w:tabs>
        <w:numPr>
          <w:ilvl w:val="0"/>
          <w:numId w:val="450"/>
        </w:numPr>
        <w:rPr>
          <w:rFonts w:ascii="Arial" w:cs="Arial" w:eastAsia="Arial" w:hAnsi="Arial"/>
          <w:sz w:val="18"/>
          <w:szCs w:val="18"/>
          <w:color w:val="auto"/>
        </w:rPr>
      </w:pPr>
      <w:r>
        <w:rPr>
          <w:rFonts w:ascii="Arial" w:cs="Arial" w:eastAsia="Arial" w:hAnsi="Arial"/>
          <w:sz w:val="18"/>
          <w:szCs w:val="18"/>
          <w:u w:val="single" w:color="auto"/>
          <w:color w:val="auto"/>
        </w:rPr>
        <w:t>Property</w:t>
      </w:r>
      <w:r>
        <w:rPr>
          <w:rFonts w:ascii="Arial" w:cs="Arial" w:eastAsia="Arial" w:hAnsi="Arial"/>
          <w:sz w:val="18"/>
          <w:szCs w:val="18"/>
          <w:color w:val="auto"/>
        </w:rPr>
        <w:t>. Property insurance in an amount equal to the full replacement cost of Tenant’s Work, Alterations and Tenant’s Property located in the Premises, which shall provide protection against loss by fire and other casualties and risks, on the special causes of loss form, including earthquake and flood.</w:t>
      </w:r>
    </w:p>
    <w:p>
      <w:pPr>
        <w:spacing w:after="0" w:line="183" w:lineRule="exact"/>
        <w:rPr>
          <w:rFonts w:ascii="Arial" w:cs="Arial" w:eastAsia="Arial" w:hAnsi="Arial"/>
          <w:sz w:val="18"/>
          <w:szCs w:val="18"/>
          <w:color w:val="auto"/>
        </w:rPr>
      </w:pPr>
    </w:p>
    <w:p>
      <w:pPr>
        <w:ind w:firstLine="987"/>
        <w:spacing w:after="0" w:line="286" w:lineRule="auto"/>
        <w:tabs>
          <w:tab w:leader="none" w:pos="1321" w:val="left"/>
        </w:tabs>
        <w:numPr>
          <w:ilvl w:val="0"/>
          <w:numId w:val="450"/>
        </w:numPr>
        <w:rPr>
          <w:rFonts w:ascii="Arial" w:cs="Arial" w:eastAsia="Arial" w:hAnsi="Arial"/>
          <w:sz w:val="17"/>
          <w:szCs w:val="17"/>
          <w:color w:val="auto"/>
        </w:rPr>
      </w:pPr>
      <w:r>
        <w:rPr>
          <w:rFonts w:ascii="Arial" w:cs="Arial" w:eastAsia="Arial" w:hAnsi="Arial"/>
          <w:sz w:val="17"/>
          <w:szCs w:val="17"/>
          <w:u w:val="single" w:color="auto"/>
          <w:color w:val="auto"/>
        </w:rPr>
        <w:t>Commercial General Liability</w:t>
      </w:r>
      <w:r>
        <w:rPr>
          <w:rFonts w:ascii="Arial" w:cs="Arial" w:eastAsia="Arial" w:hAnsi="Arial"/>
          <w:sz w:val="17"/>
          <w:szCs w:val="17"/>
          <w:color w:val="auto"/>
        </w:rPr>
        <w:t>. Commercial general liability insurance (including contractual and personal injury liability insurance) in an amount not less than $1,000,000.00 per occurrence and $2,000,000.00 annual aggregate (or such commercially reasonable higher limits as required by landlords of other comparable commercial office properties located in the greater Boston area where the Building is located).</w:t>
      </w:r>
    </w:p>
    <w:p>
      <w:pPr>
        <w:spacing w:after="0" w:line="97" w:lineRule="exact"/>
        <w:rPr>
          <w:rFonts w:ascii="Arial" w:cs="Arial" w:eastAsia="Arial" w:hAnsi="Arial"/>
          <w:sz w:val="17"/>
          <w:szCs w:val="17"/>
          <w:color w:val="auto"/>
        </w:rPr>
      </w:pPr>
    </w:p>
    <w:p>
      <w:pPr>
        <w:ind w:left="5420" w:hanging="111"/>
        <w:spacing w:after="0"/>
        <w:tabs>
          <w:tab w:leader="none" w:pos="5420" w:val="left"/>
        </w:tabs>
        <w:numPr>
          <w:ilvl w:val="1"/>
          <w:numId w:val="450"/>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000"/>
          </w:cols>
          <w:pgMar w:left="440" w:top="273" w:right="459" w:bottom="1440" w:gutter="0" w:footer="0" w:header="0"/>
        </w:sectPr>
      </w:pPr>
    </w:p>
    <w:bookmarkStart w:id="594" w:name="page595"/>
    <w:bookmarkEnd w:id="594"/>
    <w:p>
      <w:pPr>
        <w:ind w:right="900" w:firstLine="987"/>
        <w:spacing w:after="0" w:line="277" w:lineRule="auto"/>
        <w:tabs>
          <w:tab w:leader="none" w:pos="1321" w:val="left"/>
        </w:tabs>
        <w:numPr>
          <w:ilvl w:val="0"/>
          <w:numId w:val="4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Automobile Liability</w:t>
      </w:r>
      <w:r>
        <w:rPr>
          <w:rFonts w:ascii="Arial" w:cs="Arial" w:eastAsia="Arial" w:hAnsi="Arial"/>
          <w:sz w:val="18"/>
          <w:szCs w:val="18"/>
          <w:color w:val="auto"/>
        </w:rPr>
        <w:t>. Automobile liability insurance for owned, non-owned and hired vehicles in an amount not less than $1,000,000.00 per occurrence.</w:t>
      </w:r>
    </w:p>
    <w:p>
      <w:pPr>
        <w:spacing w:after="0" w:line="170" w:lineRule="exact"/>
        <w:rPr>
          <w:rFonts w:ascii="Arial" w:cs="Arial" w:eastAsia="Arial" w:hAnsi="Arial"/>
          <w:sz w:val="18"/>
          <w:szCs w:val="18"/>
          <w:color w:val="auto"/>
        </w:rPr>
      </w:pPr>
    </w:p>
    <w:p>
      <w:pPr>
        <w:ind w:right="140" w:firstLine="987"/>
        <w:spacing w:after="0" w:line="277" w:lineRule="auto"/>
        <w:tabs>
          <w:tab w:leader="none" w:pos="1331" w:val="left"/>
        </w:tabs>
        <w:numPr>
          <w:ilvl w:val="0"/>
          <w:numId w:val="451"/>
        </w:numPr>
        <w:rPr>
          <w:rFonts w:ascii="Arial" w:cs="Arial" w:eastAsia="Arial" w:hAnsi="Arial"/>
          <w:sz w:val="18"/>
          <w:szCs w:val="18"/>
          <w:color w:val="auto"/>
        </w:rPr>
      </w:pPr>
      <w:r>
        <w:rPr>
          <w:rFonts w:ascii="Arial" w:cs="Arial" w:eastAsia="Arial" w:hAnsi="Arial"/>
          <w:sz w:val="18"/>
          <w:szCs w:val="18"/>
          <w:u w:val="single" w:color="auto"/>
          <w:color w:val="auto"/>
        </w:rPr>
        <w:t>Workers’ Compensation and Employers’ Liability</w:t>
      </w:r>
      <w:r>
        <w:rPr>
          <w:rFonts w:ascii="Arial" w:cs="Arial" w:eastAsia="Arial" w:hAnsi="Arial"/>
          <w:sz w:val="18"/>
          <w:szCs w:val="18"/>
          <w:color w:val="auto"/>
        </w:rPr>
        <w:t>. The statutory limits of workers’ compensation and employers’ liability insurance in amounts adequate to satisfy the umbrella underlying requirements.</w:t>
      </w:r>
    </w:p>
    <w:p>
      <w:pPr>
        <w:spacing w:after="0" w:line="170" w:lineRule="exact"/>
        <w:rPr>
          <w:rFonts w:ascii="Arial" w:cs="Arial" w:eastAsia="Arial" w:hAnsi="Arial"/>
          <w:sz w:val="18"/>
          <w:szCs w:val="18"/>
          <w:color w:val="auto"/>
        </w:rPr>
      </w:pPr>
    </w:p>
    <w:p>
      <w:pPr>
        <w:ind w:right="220" w:firstLine="987"/>
        <w:spacing w:after="0" w:line="263" w:lineRule="auto"/>
        <w:tabs>
          <w:tab w:leader="none" w:pos="1311" w:val="left"/>
        </w:tabs>
        <w:numPr>
          <w:ilvl w:val="0"/>
          <w:numId w:val="451"/>
        </w:numPr>
        <w:rPr>
          <w:rFonts w:ascii="Arial" w:cs="Arial" w:eastAsia="Arial" w:hAnsi="Arial"/>
          <w:sz w:val="18"/>
          <w:szCs w:val="18"/>
          <w:color w:val="auto"/>
        </w:rPr>
      </w:pPr>
      <w:r>
        <w:rPr>
          <w:rFonts w:ascii="Arial" w:cs="Arial" w:eastAsia="Arial" w:hAnsi="Arial"/>
          <w:sz w:val="18"/>
          <w:szCs w:val="18"/>
          <w:u w:val="single" w:color="auto"/>
          <w:color w:val="auto"/>
        </w:rPr>
        <w:t>Excess/Umbrella Liability</w:t>
      </w:r>
      <w:r>
        <w:rPr>
          <w:rFonts w:ascii="Arial" w:cs="Arial" w:eastAsia="Arial" w:hAnsi="Arial"/>
          <w:sz w:val="18"/>
          <w:szCs w:val="18"/>
          <w:color w:val="auto"/>
        </w:rPr>
        <w:t>. Umbrella liability coverage in an amount not less than $3,000,000.00 per occurrence and $3,000,000.00 annual aggregate. Umbrella liability coverage is to be in excess of the commercial general liability, automobile liability, and employers’ liability requirements outlined in Sections 21.2(8), (C) and (D) above.</w:t>
      </w:r>
    </w:p>
    <w:p>
      <w:pPr>
        <w:spacing w:after="0" w:line="183" w:lineRule="exact"/>
        <w:rPr>
          <w:rFonts w:ascii="Arial" w:cs="Arial" w:eastAsia="Arial" w:hAnsi="Arial"/>
          <w:sz w:val="18"/>
          <w:szCs w:val="18"/>
          <w:color w:val="auto"/>
        </w:rPr>
      </w:pPr>
    </w:p>
    <w:p>
      <w:pPr>
        <w:ind w:right="20" w:firstLine="987"/>
        <w:spacing w:after="0" w:line="290" w:lineRule="auto"/>
        <w:tabs>
          <w:tab w:leader="none" w:pos="1298"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liability coverage in the insurance policies required in Sections 21.2(B), (C) and (E) above shall name Landlord, together with Landlord’s Insured Parties, as additional insureds on a primary non-contributing basis. All insurance policies required in Sections 21.2(A) – (E) above shall be issued by companies authorized to do business in Massachusetts with an A.M. Best’s financial rating of at least A- and a size class rating of at least VIII (8) or otherwise acceptable to Landlord. At or prior to the Commencement Date, Tenant shall deposit with Landlord countersigned certificates of insurance, accompanied by a letter from the placing insurance broker evidencing Tenant’s certificates of insurance reflect the coverage placed by the broker for Tenant In the event Tenant’s insurer cancels or refuses to renew the policy, or changes in any material and adverse way the nature or extent of the coverage provided by such policy, Tenant shall notify Landlord of such fact in writing promptly thereafter. Tenant’s failure to comply with its insurance obligations under this Lease shall constitute an Event of Default under this Lease.</w:t>
      </w:r>
    </w:p>
    <w:p>
      <w:pPr>
        <w:spacing w:after="0" w:line="16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Insurance During Construction</w:t>
      </w:r>
      <w:r>
        <w:rPr>
          <w:rFonts w:ascii="Arial" w:cs="Arial" w:eastAsia="Arial" w:hAnsi="Arial"/>
          <w:sz w:val="17"/>
          <w:szCs w:val="17"/>
          <w:color w:val="auto"/>
        </w:rPr>
        <w:t>. In addition, during the performance of any construction by Tenant on the Premises, in addition to the above coverage required to be maintained by Tenant, Tenant shall cause any contractors and sub-contractors performing work to carry: (A) commercial general liability insurance in an amount not less than $1,000,000.00 per occurrence and $3,000,000.00 annual aggregate (or such commercially reasonable higher limits as required by landlords of other comparable commercial office properties located in the greater Boston area where the Building is located); (B) the statutory limits of workers’ compensation and employers’ liability insurance in amounts adequate to satisfy the umbrella underlying requirements; (C) umbrella liability coverage in an amount not less than $1,000,000.00 per occurrence and $3,000,000.00 annual aggregate (to be in excess of the commercial general liability and employers’ liability requirements outlined in Sections 21.3(A) and (B) above); and (D) property insurance to include the betterments and improvements on the special causes of loss form, including earthquake and flood, to protect Landlord’s and Tenant’s interests during the course of construction with a limit of not less than the total replacement cost of the completed improvements under construction. The liability coverage in the insurance policies required in Sections 21.3(A) and (C) above shall name Landlord, together with Landlord’s Insured Parties, as additional insureds on a primary non-contributing basis.</w:t>
      </w:r>
    </w:p>
    <w:p>
      <w:pPr>
        <w:spacing w:after="0" w:line="182"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 xml:space="preserve">21 .4 </w:t>
      </w:r>
      <w:r>
        <w:rPr>
          <w:rFonts w:ascii="Arial" w:cs="Arial" w:eastAsia="Arial" w:hAnsi="Arial"/>
          <w:sz w:val="17"/>
          <w:szCs w:val="17"/>
          <w:u w:val="single" w:color="auto"/>
          <w:color w:val="auto"/>
        </w:rPr>
        <w:t>Waiver of Subrogation</w:t>
      </w:r>
      <w:r>
        <w:rPr>
          <w:rFonts w:ascii="Arial" w:cs="Arial" w:eastAsia="Arial" w:hAnsi="Arial"/>
          <w:sz w:val="17"/>
          <w:szCs w:val="17"/>
          <w:color w:val="auto"/>
        </w:rPr>
        <w:t>. Landlord and Tenant hereby release each other from any and all liability or responsibility to the other or anyone claiming by, through or under them by way of subrogation or otherwise for any loss or damage to property caused by fire or other casualty, even if such fire or other casualty shall have been caused by the fault or negligence of the other party, or anyone for whom such party may be responsible; provided, however, that this release shall be applicable and in full force and effect only to the extent permitted by law and only to the extent that the cost of repairing such damage is covered by insurance or would have been covered by insurance proceeds payable under any policy (including the deductible and/or uninsured portion thereof) required to be maintained under this Lease, but not so maintained. Each policy of such insurance shall contain a waiver of subrogation by the insurer against Landlord or Tenant, as the case may be.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000"/>
          </w:cols>
          <w:pgMar w:left="440" w:top="273" w:right="459" w:bottom="1440" w:gutter="0" w:footer="0" w:header="0"/>
        </w:sectPr>
      </w:pPr>
    </w:p>
    <w:bookmarkStart w:id="595" w:name="page596"/>
    <w:bookmarkEnd w:id="595"/>
    <w:p>
      <w:pPr>
        <w:spacing w:after="0"/>
        <w:tabs>
          <w:tab w:leader="none" w:pos="118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22.</w:t>
      </w:r>
      <w:r>
        <w:rPr>
          <w:sz w:val="20"/>
          <w:szCs w:val="20"/>
          <w:color w:val="auto"/>
        </w:rPr>
        <w:tab/>
      </w:r>
      <w:r>
        <w:rPr>
          <w:rFonts w:ascii="Arial" w:cs="Arial" w:eastAsia="Arial" w:hAnsi="Arial"/>
          <w:sz w:val="17"/>
          <w:szCs w:val="17"/>
          <w:u w:val="single" w:color="auto"/>
          <w:color w:val="auto"/>
        </w:rPr>
        <w:t>HAZARDOUS MATTER.</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22.1 Tenant and Tenant’s Agents shall not generate, use or store any Hazardous Matter (as hereinafter defined) in or on the Property (including the Premises) or introduce any Hazardous Matter in any manner into the Property (including the Premises). Tenant and Tenant’s Agents shall not dump, flush, release or dispose of any Hazardous Matter in, on or from the Property (including the Premises) whether by sewer, septic system, ground, air or otherwise.</w:t>
      </w:r>
    </w:p>
    <w:p>
      <w:pPr>
        <w:spacing w:after="0" w:line="18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22.2 Tenant shall promptly notify Landlord in writing of any incident in or on the Property (including the Premises) involving the presence of Hazardous Matter or violation (or possible violation) of Environmental Requirements (as hereinafter defined) by Tenant. Tenant shall promptly deliver to Landlord copies of any notices, orders or other communications received from any government agency or official concerning the presence of Hazardous Matter or violation (or alleged violation) of Environmental Requirements.</w:t>
      </w:r>
    </w:p>
    <w:p>
      <w:pPr>
        <w:spacing w:after="0" w:line="187"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 xml:space="preserve">22.3 To the maximum extent enforceable by law, Tenant covenants and agrees to exonerate, indemnify, defend (with counsel reasonably acceptable to Landlord), protect and save Landlord, together with (A) Landlord’s Agents and (8) Landlord’s Insured Parties, from and against any and all Environmental Damages (as hereinafter defined) which may be asserted by any person or entity, or government agency, or which the indemnified parties may sustain or be put to on account of: (1) the introduction or release of any Hazardous Matter in, on or from the Property (including the Premises) caused by the act or omission of Tenant or Tenant’s Agents; (2) the act or omission of Tenant or Tenant’s Agents in violation of Environmental Requirements; and (3) the breach of any of Tenant’s obligations under </w:t>
      </w:r>
      <w:r>
        <w:rPr>
          <w:rFonts w:ascii="Arial" w:cs="Arial" w:eastAsia="Arial" w:hAnsi="Arial"/>
          <w:sz w:val="17"/>
          <w:szCs w:val="17"/>
          <w:u w:val="single" w:color="auto"/>
          <w:color w:val="auto"/>
        </w:rPr>
        <w:t>Section 22</w:t>
      </w:r>
      <w:r>
        <w:rPr>
          <w:rFonts w:ascii="Arial" w:cs="Arial" w:eastAsia="Arial" w:hAnsi="Arial"/>
          <w:sz w:val="17"/>
          <w:szCs w:val="17"/>
          <w:color w:val="auto"/>
        </w:rPr>
        <w:t>. Landlord covenants and agrees to exonerate, indemnify, defend, protect and save Tenant from and against any and all Environmental Damages which may be asserted by any person or entity, or government agency, or which the indemnified parties may sustain or be put to on account of the violation of Environmental Requirements to the extent caused by Landlord or Landlord’s Agents.</w:t>
      </w:r>
    </w:p>
    <w:p>
      <w:pPr>
        <w:spacing w:after="0" w:line="181"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 xml:space="preserve">22.4 The provisions of this Section shall be in addition to any other obligations and liabilities Tenant may have to Landlord under this Lease or otherwise at law or in equity, and in the case of conflict between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and any other provision of this Lease, the provision imposing the most stringent requirement on Tenant shall control. The provisions of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survive the expiration or earlier termination of this Lease.</w:t>
      </w:r>
    </w:p>
    <w:p>
      <w:pPr>
        <w:spacing w:after="0" w:line="149"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The following terms as used herein shall have the meanings set forth below:</w:t>
      </w:r>
    </w:p>
    <w:p>
      <w:pPr>
        <w:spacing w:after="0" w:line="225" w:lineRule="exact"/>
        <w:rPr>
          <w:sz w:val="20"/>
          <w:szCs w:val="20"/>
          <w:color w:val="auto"/>
        </w:rPr>
      </w:pPr>
    </w:p>
    <w:p>
      <w:pPr>
        <w:ind w:right="40" w:firstLine="987"/>
        <w:spacing w:after="0" w:line="257" w:lineRule="auto"/>
        <w:tabs>
          <w:tab w:leader="none" w:pos="1331" w:val="left"/>
        </w:tabs>
        <w:numPr>
          <w:ilvl w:val="0"/>
          <w:numId w:val="4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Matter</w:t>
      </w:r>
      <w:r>
        <w:rPr>
          <w:rFonts w:ascii="Arial" w:cs="Arial" w:eastAsia="Arial" w:hAnsi="Arial"/>
          <w:sz w:val="18"/>
          <w:szCs w:val="18"/>
          <w:color w:val="auto"/>
        </w:rPr>
        <w:t>” shall mean any substance: (1) which is or becomes defined as “hazardous waste,” “hazardous material,” “hazardous substance,” “toxic substance,” “oil,” “infectious medical waste,” “hazardous medical waste” or similar in any federal, state, or local law, ordinance, regulation, code, order, or otherwise; or (2) which is toxic, explosive, corrosive, flammable, infectious, radioactive, carcinogenic, mutagenic or otherwise hazardous to health or the environment and which is or becomes regulated and the presence of which requires investigation or remediation pursuant to all applicable law.</w:t>
      </w:r>
    </w:p>
    <w:p>
      <w:pPr>
        <w:spacing w:after="0" w:line="188" w:lineRule="exact"/>
        <w:rPr>
          <w:sz w:val="20"/>
          <w:szCs w:val="20"/>
          <w:color w:val="auto"/>
        </w:rPr>
      </w:pPr>
    </w:p>
    <w:p>
      <w:pPr>
        <w:ind w:firstLine="987"/>
        <w:spacing w:after="0" w:line="259" w:lineRule="auto"/>
        <w:tabs>
          <w:tab w:leader="none" w:pos="1291"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Requirements</w:t>
      </w:r>
      <w:r>
        <w:rPr>
          <w:rFonts w:ascii="Arial" w:cs="Arial" w:eastAsia="Arial" w:hAnsi="Arial"/>
          <w:sz w:val="18"/>
          <w:szCs w:val="18"/>
          <w:color w:val="auto"/>
        </w:rPr>
        <w:t>” shall mean all applicable law, the provisions of any and all approvals, and the terms, covenants and conditions of this Lease insofar as the same relate to the release, maintenance, use, keeping in place, transportation, disposal or generation of Hazardous Matter, including, without limitation, those pertaining to reporting, licensing, permitting, health and safety of persons, investigation, containment, remediation, and disposal.</w:t>
      </w:r>
    </w:p>
    <w:p>
      <w:pPr>
        <w:spacing w:after="0" w:line="187" w:lineRule="exact"/>
        <w:rPr>
          <w:sz w:val="20"/>
          <w:szCs w:val="20"/>
          <w:color w:val="auto"/>
        </w:rPr>
      </w:pPr>
    </w:p>
    <w:p>
      <w:pPr>
        <w:ind w:right="220" w:firstLine="987"/>
        <w:spacing w:after="0" w:line="293" w:lineRule="auto"/>
        <w:tabs>
          <w:tab w:leader="none" w:pos="1321" w:val="left"/>
        </w:tabs>
        <w:numPr>
          <w:ilvl w:val="0"/>
          <w:numId w:val="4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Damages</w:t>
      </w:r>
      <w:r>
        <w:rPr>
          <w:rFonts w:ascii="Arial" w:cs="Arial" w:eastAsia="Arial" w:hAnsi="Arial"/>
          <w:sz w:val="16"/>
          <w:szCs w:val="16"/>
          <w:color w:val="auto"/>
        </w:rPr>
        <w:t>” shall mean all liabilities, injuries, losses, claims, damages (whether punitive, special, consequential or otherwise), settlements, attorneys’ and consultants’ fees, fines and penalties, interest and expenses, and costs of environmental site investigations, reports and cleanup, including, without limitation, costs incurred in connection with any investigation or assessment of site conditions or of health of persons using the Building or the Property; risk assessment and monitoring; any cleanup, remedial, removal or restoration work required by any governmental agency or recommended by Landlord’s environmental consultant; any decrease in value of the Property; any damage caused by loss or restriction of rentable or usable space in the Property; or any damage caused by adverse impact on marketing or financing of the Property.</w:t>
      </w:r>
    </w:p>
    <w:p>
      <w:pPr>
        <w:spacing w:after="0" w:line="96" w:lineRule="exact"/>
        <w:rPr>
          <w:rFonts w:ascii="Arial" w:cs="Arial" w:eastAsia="Arial" w:hAnsi="Arial"/>
          <w:sz w:val="16"/>
          <w:szCs w:val="16"/>
          <w:color w:val="auto"/>
        </w:rPr>
      </w:pPr>
    </w:p>
    <w:p>
      <w:pPr>
        <w:ind w:left="5420" w:hanging="111"/>
        <w:spacing w:after="0"/>
        <w:tabs>
          <w:tab w:leader="none" w:pos="542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940"/>
          </w:cols>
          <w:pgMar w:left="440" w:top="273" w:right="519" w:bottom="1440" w:gutter="0" w:footer="0" w:header="0"/>
        </w:sectPr>
      </w:pPr>
    </w:p>
    <w:bookmarkStart w:id="596" w:name="page597"/>
    <w:bookmarkEnd w:id="596"/>
    <w:p>
      <w:pPr>
        <w:spacing w:after="0"/>
        <w:tabs>
          <w:tab w:leader="none" w:pos="118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23.</w:t>
      </w:r>
      <w:r>
        <w:rPr>
          <w:sz w:val="20"/>
          <w:szCs w:val="20"/>
          <w:color w:val="auto"/>
        </w:rPr>
        <w:tab/>
      </w:r>
      <w:r>
        <w:rPr>
          <w:rFonts w:ascii="Arial" w:cs="Arial" w:eastAsia="Arial" w:hAnsi="Arial"/>
          <w:sz w:val="16"/>
          <w:szCs w:val="16"/>
          <w:u w:val="single" w:color="auto"/>
          <w:color w:val="auto"/>
        </w:rPr>
        <w:t>TENANT ESTOPPEL CERTIFICATES.</w:t>
      </w:r>
    </w:p>
    <w:p>
      <w:pPr>
        <w:spacing w:after="0" w:line="11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23.1 Upon request, and within ten (10) Business Days after written notice given by or on behalf of Landlord, Tenant shall furnish Landlord with a tenant estoppel certificate signed by Tenant certifying to the best of Tenant’s knowledge as to such matters relating to the then current status of this Lease as may be reasonably requested by Landlord (or any Superior Lessor (as hereinafter defined), Superior Mortgagee (as hereinafter defined), prospective lessor, prospective mortgagee, prospective purchaser or other party), including, without limitation:</w:t>
      </w:r>
    </w:p>
    <w:p>
      <w:pPr>
        <w:spacing w:after="0" w:line="171" w:lineRule="exact"/>
        <w:rPr>
          <w:sz w:val="20"/>
          <w:szCs w:val="20"/>
          <w:color w:val="auto"/>
        </w:rPr>
      </w:pPr>
    </w:p>
    <w:p>
      <w:pPr>
        <w:ind w:left="1320" w:hanging="333"/>
        <w:spacing w:after="0"/>
        <w:tabs>
          <w:tab w:leader="none" w:pos="13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Commencement Date and Expiration Date of this Lease;</w:t>
      </w:r>
    </w:p>
    <w:p>
      <w:pPr>
        <w:spacing w:after="0" w:line="225" w:lineRule="exact"/>
        <w:rPr>
          <w:rFonts w:ascii="Arial" w:cs="Arial" w:eastAsia="Arial" w:hAnsi="Arial"/>
          <w:sz w:val="18"/>
          <w:szCs w:val="18"/>
          <w:color w:val="auto"/>
        </w:rPr>
      </w:pPr>
    </w:p>
    <w:p>
      <w:pPr>
        <w:ind w:right="120" w:firstLine="987"/>
        <w:spacing w:after="0" w:line="277" w:lineRule="auto"/>
        <w:tabs>
          <w:tab w:leader="none" w:pos="1318"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That this Lease is unmodified and in full force and effect or, if there has been a modification, that the same is in full force and effect, as modified, and stating such modification;</w:t>
      </w:r>
    </w:p>
    <w:p>
      <w:pPr>
        <w:spacing w:after="0" w:line="170" w:lineRule="exact"/>
        <w:rPr>
          <w:rFonts w:ascii="Arial" w:cs="Arial" w:eastAsia="Arial" w:hAnsi="Arial"/>
          <w:sz w:val="18"/>
          <w:szCs w:val="18"/>
          <w:color w:val="auto"/>
        </w:rPr>
      </w:pPr>
    </w:p>
    <w:p>
      <w:pPr>
        <w:ind w:right="40" w:firstLine="987"/>
        <w:spacing w:after="0" w:line="308" w:lineRule="auto"/>
        <w:tabs>
          <w:tab w:leader="none" w:pos="1318" w:val="left"/>
        </w:tabs>
        <w:numPr>
          <w:ilvl w:val="0"/>
          <w:numId w:val="455"/>
        </w:numPr>
        <w:rPr>
          <w:rFonts w:ascii="Arial" w:cs="Arial" w:eastAsia="Arial" w:hAnsi="Arial"/>
          <w:sz w:val="17"/>
          <w:szCs w:val="17"/>
          <w:color w:val="auto"/>
        </w:rPr>
      </w:pPr>
      <w:r>
        <w:rPr>
          <w:rFonts w:ascii="Arial" w:cs="Arial" w:eastAsia="Arial" w:hAnsi="Arial"/>
          <w:sz w:val="17"/>
          <w:szCs w:val="17"/>
          <w:color w:val="auto"/>
        </w:rPr>
        <w:t>Whether or not there are any existing setoffs or defenses against the enforcement of any of the terms, covenants and conditions of this Lease and whether there are any obligations of Landlord or Tenant to be performed or complied with and, if so, specifying the same;</w:t>
      </w:r>
    </w:p>
    <w:p>
      <w:pPr>
        <w:spacing w:after="0" w:line="146" w:lineRule="exact"/>
        <w:rPr>
          <w:rFonts w:ascii="Arial" w:cs="Arial" w:eastAsia="Arial" w:hAnsi="Arial"/>
          <w:sz w:val="17"/>
          <w:szCs w:val="17"/>
          <w:color w:val="auto"/>
        </w:rPr>
      </w:pPr>
    </w:p>
    <w:p>
      <w:pPr>
        <w:ind w:left="1320" w:hanging="333"/>
        <w:spacing w:after="0"/>
        <w:tabs>
          <w:tab w:leader="none" w:pos="13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date to which Base Rent, Additional Rent and all other charges have been paid;</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amount of any security deposit or letter of credit hereunder; and</w:t>
      </w:r>
    </w:p>
    <w:p>
      <w:pPr>
        <w:spacing w:after="0" w:line="225" w:lineRule="exact"/>
        <w:rPr>
          <w:rFonts w:ascii="Arial" w:cs="Arial" w:eastAsia="Arial" w:hAnsi="Arial"/>
          <w:sz w:val="18"/>
          <w:szCs w:val="18"/>
          <w:color w:val="auto"/>
        </w:rPr>
      </w:pPr>
    </w:p>
    <w:p>
      <w:pPr>
        <w:ind w:left="1280" w:hanging="293"/>
        <w:spacing w:after="0"/>
        <w:tabs>
          <w:tab w:leader="none" w:pos="128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Any other matters reasonably requested.</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23.2 Any statement furnished pursuant to this Section may be relied upon by Landlord (or any Superior Lessor, Superior Mortgagee, prospective lessor, prospective mortgagee, prospective purchaser or other party). In addition to any other right or remedy Landlord may have, if Tenant fails to execute any tenant estoppel certificate within the time-frame required by this Section, such failure shall be deemed an Event of Default hereunder, and Tenant shall irrevocably constitute Landlord as its attorney-in-fact to execute such instrument in Tenant’s name, place and stead, it being agreed that such power is coupled with an interest in Landlord and is accordingly irrevocable.</w:t>
      </w:r>
    </w:p>
    <w:p>
      <w:pPr>
        <w:spacing w:after="0" w:line="29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SECTION 24.</w:t>
      </w:r>
      <w:r>
        <w:rPr>
          <w:sz w:val="20"/>
          <w:szCs w:val="20"/>
          <w:color w:val="auto"/>
        </w:rPr>
        <w:tab/>
      </w:r>
      <w:r>
        <w:rPr>
          <w:rFonts w:ascii="Arial" w:cs="Arial" w:eastAsia="Arial" w:hAnsi="Arial"/>
          <w:sz w:val="17"/>
          <w:szCs w:val="17"/>
          <w:u w:val="single" w:color="auto"/>
          <w:color w:val="auto"/>
        </w:rPr>
        <w:t>SUBORDINATION.</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24.1 At the option of Landlord, this Lease, and all rights of Tenant hereunder, are and shall be subject and subordinate to all ground leases, overriding leases and underlying leases, now or hereafter affecting the Building or the Property, and each of the terms, covenants and conditions thereto (the “</w:t>
      </w:r>
      <w:r>
        <w:rPr>
          <w:rFonts w:ascii="Arial" w:cs="Arial" w:eastAsia="Arial" w:hAnsi="Arial"/>
          <w:sz w:val="18"/>
          <w:szCs w:val="18"/>
          <w:u w:val="single" w:color="auto"/>
          <w:color w:val="auto"/>
        </w:rPr>
        <w:t>Superior Leases</w:t>
      </w:r>
      <w:r>
        <w:rPr>
          <w:rFonts w:ascii="Arial" w:cs="Arial" w:eastAsia="Arial" w:hAnsi="Arial"/>
          <w:sz w:val="18"/>
          <w:szCs w:val="18"/>
          <w:color w:val="auto"/>
        </w:rPr>
        <w:t>”), and to all mortgages and deeds of trust, now or hereafter affecting the Building or the Property or the Superior Leases, and each of the terms, covenants and conditions thereto (the “</w:t>
      </w:r>
      <w:r>
        <w:rPr>
          <w:rFonts w:ascii="Arial" w:cs="Arial" w:eastAsia="Arial" w:hAnsi="Arial"/>
          <w:sz w:val="18"/>
          <w:szCs w:val="18"/>
          <w:u w:val="single" w:color="auto"/>
          <w:color w:val="auto"/>
        </w:rPr>
        <w:t>Superior Mortgages</w:t>
      </w:r>
      <w:r>
        <w:rPr>
          <w:rFonts w:ascii="Arial" w:cs="Arial" w:eastAsia="Arial" w:hAnsi="Arial"/>
          <w:sz w:val="18"/>
          <w:szCs w:val="18"/>
          <w:color w:val="auto"/>
        </w:rPr>
        <w:t>”), whether or not such Superior Mortgages shall also cover other land, buildings or leases, to each and every advance made or hereafter to be made under such Superior Mortgages, and to all renewals, modifications, replacements and extensions of such Superior Leases and Superior Mortgages. This Section shall be self-operative and no further instrument of subordination shall be required.</w:t>
      </w:r>
    </w:p>
    <w:p>
      <w:pPr>
        <w:spacing w:after="0" w:line="19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24.2 Upon request, and within ten (10) Business Days after written notice given by or on behalf of Landlord, Tenant shall execute, acknowledge and deliver to Landlord any commercially reasonable instrument of subordination that Landlord (or any Superior Lessor, Superior Mortgagee, prospective lessor, prospective mortgagee, prospective purchaser or other party) may reasonably request. In addition to any other right or remedy Landlord may have, if Tenant fails to execute any instrument of subordination within the time-frame required by this Section, such failure shall be deemed an Event of Default hereunder, and Tenant shall irrevocably constitute Landlord as its attorney-in-fact to execute such instrument in Tenant’s name, place and stead, it being agreed that such power is coupled with an interest in Landlord and is accordingly irrevocable. As used herein, “</w:t>
      </w:r>
      <w:r>
        <w:rPr>
          <w:rFonts w:ascii="Arial" w:cs="Arial" w:eastAsia="Arial" w:hAnsi="Arial"/>
          <w:sz w:val="18"/>
          <w:szCs w:val="18"/>
          <w:u w:val="single" w:color="auto"/>
          <w:color w:val="auto"/>
        </w:rPr>
        <w:t>Superior</w:t>
      </w:r>
      <w:r>
        <w:rPr>
          <w:rFonts w:ascii="Arial" w:cs="Arial" w:eastAsia="Arial" w:hAnsi="Arial"/>
          <w:sz w:val="18"/>
          <w:szCs w:val="18"/>
          <w:color w:val="auto"/>
        </w:rPr>
        <w:t xml:space="preserve"> </w:t>
      </w:r>
      <w:r>
        <w:rPr>
          <w:rFonts w:ascii="Arial" w:cs="Arial" w:eastAsia="Arial" w:hAnsi="Arial"/>
          <w:sz w:val="18"/>
          <w:szCs w:val="18"/>
          <w:u w:val="single" w:color="auto"/>
          <w:color w:val="auto"/>
        </w:rPr>
        <w:t>Lessor</w:t>
      </w:r>
      <w:r>
        <w:rPr>
          <w:rFonts w:ascii="Arial" w:cs="Arial" w:eastAsia="Arial" w:hAnsi="Arial"/>
          <w:sz w:val="18"/>
          <w:szCs w:val="18"/>
          <w:color w:val="auto"/>
        </w:rPr>
        <w:t>” shall mean the lessor of a Superior Lease or its successor in interest. As used herein, “</w:t>
      </w:r>
      <w:r>
        <w:rPr>
          <w:rFonts w:ascii="Arial" w:cs="Arial" w:eastAsia="Arial" w:hAnsi="Arial"/>
          <w:sz w:val="18"/>
          <w:szCs w:val="18"/>
          <w:u w:val="single" w:color="auto"/>
          <w:color w:val="auto"/>
        </w:rPr>
        <w:t>Superior Mortgagee</w:t>
      </w:r>
      <w:r>
        <w:rPr>
          <w:rFonts w:ascii="Arial" w:cs="Arial" w:eastAsia="Arial" w:hAnsi="Arial"/>
          <w:sz w:val="18"/>
          <w:szCs w:val="18"/>
          <w:color w:val="auto"/>
        </w:rPr>
        <w:t>” shall mean the holder of a Superior Mortgage or its successor in interest.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980"/>
          </w:cols>
          <w:pgMar w:left="440" w:top="273" w:right="479" w:bottom="1440" w:gutter="0" w:footer="0" w:header="0"/>
        </w:sectPr>
      </w:pPr>
    </w:p>
    <w:bookmarkStart w:id="597" w:name="page598"/>
    <w:bookmarkEnd w:id="597"/>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24.3 If any Superior Lessor or Superior Mortgagee shall succeed to the rights of Landlord under this Lease, whether through possession or foreclosure action or delivery of a new lease or deed (such party so succeeding to Landlord’s rights herein called the “</w:t>
      </w:r>
      <w:r>
        <w:rPr>
          <w:rFonts w:ascii="Arial" w:cs="Arial" w:eastAsia="Arial" w:hAnsi="Arial"/>
          <w:sz w:val="17"/>
          <w:szCs w:val="17"/>
          <w:u w:val="single" w:color="auto"/>
          <w:color w:val="auto"/>
        </w:rPr>
        <w:t>Successor Landlord</w:t>
      </w:r>
      <w:r>
        <w:rPr>
          <w:rFonts w:ascii="Arial" w:cs="Arial" w:eastAsia="Arial" w:hAnsi="Arial"/>
          <w:sz w:val="17"/>
          <w:szCs w:val="17"/>
          <w:color w:val="auto"/>
        </w:rPr>
        <w:t>”), then Tenant shall attorn to and recognize such Successor Landlord as Tenant’s landlord under this Lease (without the need for further agreement) and shall promptly execute and deliver any reasonable instrument that such Successor Landlord may reasonably request to evidence such attornment. If any Superior Lessor or Superior Mortgagee shall succeed to the rights of Landlord under this Lease, then this Lease shall continue in full force and effect as a direct lease between the Successor Landlord and Tenant upon all of the terms, covenants and conditions as are set forth in this Lease, except that the Successor Landlord shall not (A) be liable for any previous act or omission of Landlord under this Lease, except to the extent such act or omission shall constitute a continuing Landlord default hereunder; (B) be subject to any offset, not expressly provided for in this Lease; (C) be bound by any Base Rent or Additional Rent which Tenant might have paid for more than the then current rental period; or (D) be bound by any security deposit or letter of credit hereunder not actually received by the Successor Landlord (or predecessor in interest).</w:t>
      </w:r>
    </w:p>
    <w:p>
      <w:pPr>
        <w:spacing w:after="0" w:line="1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SECTION 25.</w:t>
      </w:r>
      <w:r>
        <w:rPr>
          <w:sz w:val="20"/>
          <w:szCs w:val="20"/>
          <w:color w:val="auto"/>
        </w:rPr>
        <w:tab/>
      </w:r>
      <w:r>
        <w:rPr>
          <w:rFonts w:ascii="Arial" w:cs="Arial" w:eastAsia="Arial" w:hAnsi="Arial"/>
          <w:sz w:val="17"/>
          <w:szCs w:val="17"/>
          <w:u w:val="single" w:color="auto"/>
          <w:color w:val="auto"/>
        </w:rPr>
        <w:t>DEFAULT</w:t>
      </w:r>
      <w:r>
        <w:rPr>
          <w:rFonts w:ascii="Arial" w:cs="Arial" w:eastAsia="Arial" w:hAnsi="Arial"/>
          <w:sz w:val="17"/>
          <w:szCs w:val="17"/>
          <w:color w:val="auto"/>
        </w:rPr>
        <w:t>.</w:t>
      </w:r>
    </w:p>
    <w:p>
      <w:pPr>
        <w:spacing w:after="0" w:line="11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The occurrence of any one or more of the following events shall constitute an event of default (each an “Event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Default”) hereunder:</w:t>
      </w:r>
    </w:p>
    <w:p>
      <w:pPr>
        <w:spacing w:after="0" w:line="103" w:lineRule="exact"/>
        <w:rPr>
          <w:sz w:val="20"/>
          <w:szCs w:val="20"/>
          <w:color w:val="auto"/>
        </w:rPr>
      </w:pPr>
    </w:p>
    <w:p>
      <w:pPr>
        <w:jc w:val="both"/>
        <w:ind w:left="440" w:right="120" w:firstLine="423"/>
        <w:spacing w:after="0" w:line="259" w:lineRule="auto"/>
        <w:rPr>
          <w:sz w:val="20"/>
          <w:szCs w:val="20"/>
          <w:color w:val="auto"/>
        </w:rPr>
      </w:pPr>
      <w:r>
        <w:rPr>
          <w:rFonts w:ascii="Arial" w:cs="Arial" w:eastAsia="Arial" w:hAnsi="Arial"/>
          <w:sz w:val="18"/>
          <w:szCs w:val="18"/>
          <w:color w:val="auto"/>
        </w:rPr>
        <w:t xml:space="preserve">25.1.1 </w:t>
      </w:r>
      <w:r>
        <w:rPr>
          <w:rFonts w:ascii="Arial" w:cs="Arial" w:eastAsia="Arial" w:hAnsi="Arial"/>
          <w:sz w:val="18"/>
          <w:szCs w:val="18"/>
          <w:u w:val="single" w:color="auto"/>
          <w:color w:val="auto"/>
        </w:rPr>
        <w:t>Nonpayment of Base Rent or Additional Rent</w:t>
      </w:r>
      <w:r>
        <w:rPr>
          <w:rFonts w:ascii="Arial" w:cs="Arial" w:eastAsia="Arial" w:hAnsi="Arial"/>
          <w:sz w:val="18"/>
          <w:szCs w:val="18"/>
          <w:color w:val="auto"/>
        </w:rPr>
        <w:t>. Failure by Tenant to pay any installment of Base Rent, Additional Rent or any other amount, deposit, reimbursement or sum due and payable hereunder, upon the date when said payment is due; provided, however, that on the first (1st) occasion only during any Lease Year with respect to Base Rent, Landlord shall furnish Tenant with written notice of such failure and permit Tenant a five (5)-day period to cure such failure.</w:t>
      </w:r>
    </w:p>
    <w:p>
      <w:pPr>
        <w:spacing w:after="0" w:line="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25.1.2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17" w:lineRule="exact"/>
        <w:rPr>
          <w:sz w:val="20"/>
          <w:szCs w:val="20"/>
          <w:color w:val="auto"/>
        </w:rPr>
      </w:pPr>
    </w:p>
    <w:p>
      <w:pPr>
        <w:ind w:left="440" w:right="60" w:firstLine="423"/>
        <w:spacing w:after="0" w:line="257" w:lineRule="auto"/>
        <w:rPr>
          <w:sz w:val="20"/>
          <w:szCs w:val="20"/>
          <w:color w:val="auto"/>
        </w:rPr>
      </w:pPr>
      <w:r>
        <w:rPr>
          <w:rFonts w:ascii="Arial" w:cs="Arial" w:eastAsia="Arial" w:hAnsi="Arial"/>
          <w:sz w:val="18"/>
          <w:szCs w:val="18"/>
          <w:color w:val="auto"/>
        </w:rPr>
        <w:t xml:space="preserve">25.1.3 </w:t>
      </w:r>
      <w:r>
        <w:rPr>
          <w:rFonts w:ascii="Arial" w:cs="Arial" w:eastAsia="Arial" w:hAnsi="Arial"/>
          <w:sz w:val="18"/>
          <w:szCs w:val="18"/>
          <w:u w:val="single" w:color="auto"/>
          <w:color w:val="auto"/>
        </w:rPr>
        <w:t>Other Obligations</w:t>
      </w:r>
      <w:r>
        <w:rPr>
          <w:rFonts w:ascii="Arial" w:cs="Arial" w:eastAsia="Arial" w:hAnsi="Arial"/>
          <w:sz w:val="18"/>
          <w:szCs w:val="18"/>
          <w:color w:val="auto"/>
        </w:rPr>
        <w:t>. Failure by Tenant to perform or observe any other covenant, condition or agreement of this Lease and such failure continues, after written notice given by or on behalf of Landlord to Tenant, for more than thirty (30) days (or such longer period as may be necessary to cure such default, provided that Tenant commences such cure within the thirty (30) day period and thereafter diligently pursues the same to completion); provided, however, that if the applicable covenant, condition or agreement of this Lease provides for a shorter time period for performance, the shorter time period for performance shall apply.</w:t>
      </w:r>
    </w:p>
    <w:p>
      <w:pPr>
        <w:spacing w:after="0" w:line="8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 xml:space="preserve">25.1.4 </w:t>
      </w:r>
      <w:r>
        <w:rPr>
          <w:rFonts w:ascii="Arial" w:cs="Arial" w:eastAsia="Arial" w:hAnsi="Arial"/>
          <w:sz w:val="17"/>
          <w:szCs w:val="17"/>
          <w:u w:val="single" w:color="auto"/>
          <w:color w:val="auto"/>
        </w:rPr>
        <w:t>Assignment; Receivership; Attachment</w:t>
      </w:r>
      <w:r>
        <w:rPr>
          <w:rFonts w:ascii="Arial" w:cs="Arial" w:eastAsia="Arial" w:hAnsi="Arial"/>
          <w:sz w:val="17"/>
          <w:szCs w:val="17"/>
          <w:color w:val="auto"/>
        </w:rPr>
        <w:t>. (a) The making by Tenant of any arrangement or assignment for the benefit of creditors;</w:t>
      </w:r>
    </w:p>
    <w:p>
      <w:pPr>
        <w:spacing w:after="0" w:line="35" w:lineRule="exact"/>
        <w:rPr>
          <w:sz w:val="20"/>
          <w:szCs w:val="20"/>
          <w:color w:val="auto"/>
        </w:rPr>
      </w:pPr>
    </w:p>
    <w:p>
      <w:pPr>
        <w:ind w:left="440" w:right="140" w:hanging="4"/>
        <w:spacing w:after="0" w:line="253" w:lineRule="auto"/>
        <w:tabs>
          <w:tab w:leader="none" w:pos="695"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appointment of a trustee or receiver to take possession of substantially all of Tenant’s assets located at the Premises or of Tenant’s interest in this Lease, where possession is not restored to Tenant within thirty (30) days; or (iii) the attachment, execution, or other judicial seizure of substantially all of Tenant’s assets located at the Premises or of Tenant’s interest in this Lease, where such seizure is not discharged within thirty (30) days.</w:t>
      </w:r>
    </w:p>
    <w:p>
      <w:pPr>
        <w:spacing w:after="0" w:line="85" w:lineRule="exact"/>
        <w:rPr>
          <w:sz w:val="20"/>
          <w:szCs w:val="20"/>
          <w:color w:val="auto"/>
        </w:rPr>
      </w:pPr>
    </w:p>
    <w:p>
      <w:pPr>
        <w:ind w:left="440" w:firstLine="423"/>
        <w:spacing w:after="0" w:line="291" w:lineRule="auto"/>
        <w:rPr>
          <w:sz w:val="20"/>
          <w:szCs w:val="20"/>
          <w:color w:val="auto"/>
        </w:rPr>
      </w:pPr>
      <w:r>
        <w:rPr>
          <w:rFonts w:ascii="Arial" w:cs="Arial" w:eastAsia="Arial" w:hAnsi="Arial"/>
          <w:sz w:val="16"/>
          <w:szCs w:val="16"/>
          <w:color w:val="auto"/>
        </w:rPr>
        <w:t xml:space="preserve">25.1.5 </w:t>
      </w:r>
      <w:r>
        <w:rPr>
          <w:rFonts w:ascii="Arial" w:cs="Arial" w:eastAsia="Arial" w:hAnsi="Arial"/>
          <w:sz w:val="16"/>
          <w:szCs w:val="16"/>
          <w:u w:val="single" w:color="auto"/>
          <w:color w:val="auto"/>
        </w:rPr>
        <w:t>Bankruptcy</w:t>
      </w:r>
      <w:r>
        <w:rPr>
          <w:rFonts w:ascii="Arial" w:cs="Arial" w:eastAsia="Arial" w:hAnsi="Arial"/>
          <w:sz w:val="16"/>
          <w:szCs w:val="16"/>
          <w:color w:val="auto"/>
        </w:rPr>
        <w:t>. The admission by Tenant or Tenant’s guarantor (if any) in writing of its inability to pay its debts as they become due, the filing by Tenant or Tenant’s guarantor (if any) of a petition in bankruptcy seeking any reorganization, arrangement, composition, readjustment, liquidation, dissolution or similar relief under any present or future statute, law or regulation, the filing by Tenant or Tenant’s guarantor (if any) of an answer admitting or failing timely to contest a material allegation of a petition filed against Tenant or Tenant’s guarantor (if any) in any such proceeding or, if within forty-five (45) days after the commencement of any proceeding against Tenant or Tenant’s guarantor (if any) seeking any involuntary reorganization, or arrangement, composition, readjustment, liquidation, dissolution or similar relief under any present or future statute, law or regulation by any of Tenant’s creditors or such guarantor’s creditors, such proceeding shall not have been dismissed.</w:t>
      </w:r>
    </w:p>
    <w:p>
      <w:pPr>
        <w:spacing w:after="0" w:line="5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25.1.6 </w:t>
      </w:r>
      <w:r>
        <w:rPr>
          <w:rFonts w:ascii="Arial" w:cs="Arial" w:eastAsia="Arial" w:hAnsi="Arial"/>
          <w:sz w:val="16"/>
          <w:szCs w:val="16"/>
          <w:u w:val="single" w:color="auto"/>
          <w:color w:val="auto"/>
        </w:rPr>
        <w:t>Abandonment</w:t>
      </w:r>
      <w:r>
        <w:rPr>
          <w:rFonts w:ascii="Arial" w:cs="Arial" w:eastAsia="Arial" w:hAnsi="Arial"/>
          <w:sz w:val="16"/>
          <w:szCs w:val="16"/>
          <w:color w:val="auto"/>
        </w:rPr>
        <w:t>. Abandonment of the Premises by Tenant for a continuous period in excess of ninety (90) days without payment of</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000"/>
          </w:cols>
          <w:pgMar w:left="440" w:top="273" w:right="459" w:bottom="1440" w:gutter="0" w:footer="0" w:header="0"/>
        </w:sectPr>
      </w:pPr>
    </w:p>
    <w:bookmarkStart w:id="598" w:name="page599"/>
    <w:bookmarkEnd w:id="598"/>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25.1.7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u w:val="single" w:color="auto"/>
          <w:color w:val="auto"/>
        </w:rPr>
        <w:t>Remedies</w:t>
      </w:r>
      <w:r>
        <w:rPr>
          <w:rFonts w:ascii="Arial" w:cs="Arial" w:eastAsia="Arial" w:hAnsi="Arial"/>
          <w:sz w:val="18"/>
          <w:szCs w:val="18"/>
          <w:color w:val="auto"/>
        </w:rPr>
        <w:t>. If an Event of Default occurs, Landlord shall have the following rights and remedies, in addition to any and all other rights and remedies available to Landlord in law or equity:</w:t>
      </w:r>
    </w:p>
    <w:p>
      <w:pPr>
        <w:spacing w:after="0" w:line="62" w:lineRule="exact"/>
        <w:rPr>
          <w:sz w:val="20"/>
          <w:szCs w:val="20"/>
          <w:color w:val="auto"/>
        </w:rPr>
      </w:pPr>
    </w:p>
    <w:p>
      <w:pPr>
        <w:ind w:left="440" w:firstLine="423"/>
        <w:spacing w:after="0" w:line="311" w:lineRule="auto"/>
        <w:rPr>
          <w:sz w:val="20"/>
          <w:szCs w:val="20"/>
          <w:color w:val="auto"/>
        </w:rPr>
      </w:pPr>
      <w:r>
        <w:rPr>
          <w:rFonts w:ascii="Arial" w:cs="Arial" w:eastAsia="Arial" w:hAnsi="Arial"/>
          <w:sz w:val="16"/>
          <w:szCs w:val="16"/>
          <w:color w:val="auto"/>
        </w:rPr>
        <w:t xml:space="preserve">25.2.1 </w:t>
      </w:r>
      <w:r>
        <w:rPr>
          <w:rFonts w:ascii="Arial" w:cs="Arial" w:eastAsia="Arial" w:hAnsi="Arial"/>
          <w:sz w:val="16"/>
          <w:szCs w:val="16"/>
          <w:u w:val="single" w:color="auto"/>
          <w:color w:val="auto"/>
        </w:rPr>
        <w:t>Notice to Quit</w:t>
      </w:r>
      <w:r>
        <w:rPr>
          <w:rFonts w:ascii="Arial" w:cs="Arial" w:eastAsia="Arial" w:hAnsi="Arial"/>
          <w:sz w:val="16"/>
          <w:szCs w:val="16"/>
          <w:color w:val="auto"/>
        </w:rPr>
        <w:t>. Landlord shall have the right to deliver written notice to Tenant to quit possession and occupancy of the Premises and to declare the Lease terminated. Upon Landlord’s termination of this Lease, Tenant shall quit and peaceably surrender the Premises, and all portions thereof, to Landlord, and Landlord shall have the right to receive all rental and other income of and from the same.</w:t>
      </w:r>
    </w:p>
    <w:p>
      <w:pPr>
        <w:spacing w:after="0" w:line="41" w:lineRule="exact"/>
        <w:rPr>
          <w:sz w:val="20"/>
          <w:szCs w:val="20"/>
          <w:color w:val="auto"/>
        </w:rPr>
      </w:pPr>
    </w:p>
    <w:p>
      <w:pPr>
        <w:ind w:left="440" w:right="20" w:firstLine="423"/>
        <w:spacing w:after="0" w:line="272" w:lineRule="auto"/>
        <w:rPr>
          <w:sz w:val="20"/>
          <w:szCs w:val="20"/>
          <w:color w:val="auto"/>
        </w:rPr>
      </w:pPr>
      <w:r>
        <w:rPr>
          <w:rFonts w:ascii="Arial" w:cs="Arial" w:eastAsia="Arial" w:hAnsi="Arial"/>
          <w:sz w:val="17"/>
          <w:szCs w:val="17"/>
          <w:color w:val="auto"/>
        </w:rPr>
        <w:t xml:space="preserve">25.2.2 </w:t>
      </w:r>
      <w:r>
        <w:rPr>
          <w:rFonts w:ascii="Arial" w:cs="Arial" w:eastAsia="Arial" w:hAnsi="Arial"/>
          <w:sz w:val="17"/>
          <w:szCs w:val="17"/>
          <w:u w:val="single" w:color="auto"/>
          <w:color w:val="auto"/>
        </w:rPr>
        <w:t>Right of Re-Entry</w:t>
      </w:r>
      <w:r>
        <w:rPr>
          <w:rFonts w:ascii="Arial" w:cs="Arial" w:eastAsia="Arial" w:hAnsi="Arial"/>
          <w:sz w:val="17"/>
          <w:szCs w:val="17"/>
          <w:color w:val="auto"/>
        </w:rPr>
        <w:t xml:space="preserve">. Landlord shall have the right, with or without terminating this Lease, to re-enter the Premises and take possession thereof by summary proceeding, eviction, ejectment or otherwise and may dispossess all persons and property from the Premises. Tenant’s property may be removed and stored in a public warehouse or elsewhere at the cost of and for the account of Tenant. No re-entry or taking possession of the Premises by Landlord pursuant to this </w:t>
      </w:r>
      <w:r>
        <w:rPr>
          <w:rFonts w:ascii="Arial" w:cs="Arial" w:eastAsia="Arial" w:hAnsi="Arial"/>
          <w:sz w:val="17"/>
          <w:szCs w:val="17"/>
          <w:u w:val="single" w:color="auto"/>
          <w:color w:val="auto"/>
        </w:rPr>
        <w:t>Section 25.2.2</w:t>
      </w:r>
      <w:r>
        <w:rPr>
          <w:rFonts w:ascii="Arial" w:cs="Arial" w:eastAsia="Arial" w:hAnsi="Arial"/>
          <w:sz w:val="17"/>
          <w:szCs w:val="17"/>
          <w:color w:val="auto"/>
        </w:rPr>
        <w:t xml:space="preserve"> shall be construed as an election to terminate this Lease unless a written notice of such intention is given to Tenant or unless the termination thereof is decreed by a court of competent jurisdiction. Tenant thereby waives all statutory rights, including without limitation the right to a notice to quit, notice before exercise of any prejudgment remedy, and any rights of redemption, all to the extent such rights may be lawfully waived.</w:t>
      </w:r>
    </w:p>
    <w:p>
      <w:pPr>
        <w:spacing w:after="0" w:line="69" w:lineRule="exact"/>
        <w:rPr>
          <w:sz w:val="20"/>
          <w:szCs w:val="20"/>
          <w:color w:val="auto"/>
        </w:rPr>
      </w:pPr>
    </w:p>
    <w:p>
      <w:pPr>
        <w:ind w:left="440" w:right="60" w:firstLine="423"/>
        <w:spacing w:after="0" w:line="288" w:lineRule="auto"/>
        <w:rPr>
          <w:sz w:val="20"/>
          <w:szCs w:val="20"/>
          <w:color w:val="auto"/>
        </w:rPr>
      </w:pPr>
      <w:r>
        <w:rPr>
          <w:rFonts w:ascii="Arial" w:cs="Arial" w:eastAsia="Arial" w:hAnsi="Arial"/>
          <w:sz w:val="16"/>
          <w:szCs w:val="16"/>
          <w:color w:val="auto"/>
        </w:rPr>
        <w:t xml:space="preserve">25.2.3 </w:t>
      </w:r>
      <w:r>
        <w:rPr>
          <w:rFonts w:ascii="Arial" w:cs="Arial" w:eastAsia="Arial" w:hAnsi="Arial"/>
          <w:sz w:val="16"/>
          <w:szCs w:val="16"/>
          <w:u w:val="single" w:color="auto"/>
          <w:color w:val="auto"/>
        </w:rPr>
        <w:t>Recovery of Base Rent and Damages</w:t>
      </w:r>
      <w:r>
        <w:rPr>
          <w:rFonts w:ascii="Arial" w:cs="Arial" w:eastAsia="Arial" w:hAnsi="Arial"/>
          <w:sz w:val="16"/>
          <w:szCs w:val="16"/>
          <w:color w:val="auto"/>
        </w:rPr>
        <w:t>. Landlord shall have the right to recover from Tenant all loss of Base Rent and other payments that Landlord may incur by reason of termination of the Lease, including, without limitation: (a) all Base Rent, Additional Rent and other sums due and payable by Tenant as of the date of termination; (b) all Base Rent and Additional Rent that would otherwise be payable for the remainder of the Term in accordance with the terms of this Lease; (c) all of Landlord’s then unamortized costs of special inducements provided to Tenant (including without limitation rent concessions, tenant construction allowances, rent waivers, above building standard Landlord’s Work, and the like); (d) the costs of collecting amounts due from Tenant under the Lease and the costs of recovering possession of the Premises (including attorneys’ fees and litigation costs); (e) the costs of curing Tenant’s defaults existing at or prior to the date of termination; (f) all Reletting Expenses (as hereinafter defined); and (g) all Landlord’s other reasonable expenditures arising from the termination. Tenant shall reimburse Landlord for all such items, and the same shall be due and payable immediately from time to time upon notice from Landlord that an expense has been incurred, without regard to whether the expense was incurred before or after the termination.</w:t>
      </w:r>
    </w:p>
    <w:p>
      <w:pPr>
        <w:spacing w:after="0" w:line="60" w:lineRule="exact"/>
        <w:rPr>
          <w:sz w:val="20"/>
          <w:szCs w:val="20"/>
          <w:color w:val="auto"/>
        </w:rPr>
      </w:pPr>
    </w:p>
    <w:p>
      <w:pPr>
        <w:ind w:left="440" w:right="100" w:firstLine="423"/>
        <w:spacing w:after="0" w:line="290" w:lineRule="auto"/>
        <w:rPr>
          <w:sz w:val="20"/>
          <w:szCs w:val="20"/>
          <w:color w:val="auto"/>
        </w:rPr>
      </w:pPr>
      <w:r>
        <w:rPr>
          <w:rFonts w:ascii="Arial" w:cs="Arial" w:eastAsia="Arial" w:hAnsi="Arial"/>
          <w:sz w:val="16"/>
          <w:szCs w:val="16"/>
          <w:color w:val="auto"/>
        </w:rPr>
        <w:t xml:space="preserve">25.2.4 </w:t>
      </w:r>
      <w:r>
        <w:rPr>
          <w:rFonts w:ascii="Arial" w:cs="Arial" w:eastAsia="Arial" w:hAnsi="Arial"/>
          <w:sz w:val="16"/>
          <w:szCs w:val="16"/>
          <w:u w:val="single" w:color="auto"/>
          <w:color w:val="auto"/>
        </w:rPr>
        <w:t>Acceleration of Future Rentals</w:t>
      </w:r>
      <w:r>
        <w:rPr>
          <w:rFonts w:ascii="Arial" w:cs="Arial" w:eastAsia="Arial" w:hAnsi="Arial"/>
          <w:sz w:val="16"/>
          <w:szCs w:val="16"/>
          <w:color w:val="auto"/>
        </w:rPr>
        <w:t xml:space="preserve">. Following termination of this Lease, Landlord, at its election, may demand to be indemnified for its loss of Base Rent (with respect to the period following such termination) by a lump sum payment representing the then present value of the amount of Base Rent that would have been paid in accordance with this Lease for the remainder of the Term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then present value of the aggregate fair market rent and additional charges payable for the Premises for the remainder of the Term (if less than the Base Rent payable hereunder) estimated as of the date of termination, and taking into account Landlord’s reasonable projections of vacancy and time required to re-lease the Premises. Landlord shall be entitled to recover from Tenant, and Tenant shall pay to Landlord, on demand, such amount as final damages for Tenant’s default with respect to the rents payable for the remainder of the Term as described above. In the computation of present value, a discount at the then market discount rate as reasonably determined by Landlord shall be employed.</w:t>
      </w:r>
    </w:p>
    <w:p>
      <w:pPr>
        <w:spacing w:after="0" w:line="57" w:lineRule="exact"/>
        <w:rPr>
          <w:sz w:val="20"/>
          <w:szCs w:val="20"/>
          <w:color w:val="auto"/>
        </w:rPr>
      </w:pPr>
    </w:p>
    <w:p>
      <w:pPr>
        <w:ind w:left="440" w:right="40" w:firstLine="423"/>
        <w:spacing w:after="0" w:line="293" w:lineRule="auto"/>
        <w:rPr>
          <w:sz w:val="20"/>
          <w:szCs w:val="20"/>
          <w:color w:val="auto"/>
        </w:rPr>
      </w:pPr>
      <w:r>
        <w:rPr>
          <w:rFonts w:ascii="Arial" w:cs="Arial" w:eastAsia="Arial" w:hAnsi="Arial"/>
          <w:sz w:val="16"/>
          <w:szCs w:val="16"/>
          <w:color w:val="auto"/>
        </w:rPr>
        <w:t xml:space="preserve">25.2.5 </w:t>
      </w:r>
      <w:r>
        <w:rPr>
          <w:rFonts w:ascii="Arial" w:cs="Arial" w:eastAsia="Arial" w:hAnsi="Arial"/>
          <w:sz w:val="16"/>
          <w:szCs w:val="16"/>
          <w:u w:val="single" w:color="auto"/>
          <w:color w:val="auto"/>
        </w:rPr>
        <w:t>Base Rent Due After Re-Entry by Landlord</w:t>
      </w:r>
      <w:r>
        <w:rPr>
          <w:rFonts w:ascii="Arial" w:cs="Arial" w:eastAsia="Arial" w:hAnsi="Arial"/>
          <w:sz w:val="16"/>
          <w:szCs w:val="16"/>
          <w:color w:val="auto"/>
        </w:rPr>
        <w:t xml:space="preserve">. If Landlord re-enters or otherwise takes possession of the Premises without terminating this Lease (but terminating only Tenant’s right of possession in the Premises), then the Lease and Tenant’s liabilities and obligations thereunder shall survive such action. In the event of any such termination of Tenant’s right of possession, whether or not the Premises, or any portion thereof, shall have been relet, Tenant shall pay Landlord a sum equal to the Base Rent and any other charges required to be paid by Tenant up to the time of such termination of such right of possession and thereafter Tenant, until the end of the Term, shall be liable to Landlord for and shall pay to Landlord: (a) the equivalent of the amount of the Base Rent payable under this Lease,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(b) the net proceeds of any reletting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980"/>
          </w:cols>
          <w:pgMar w:left="440" w:top="273" w:right="479" w:bottom="1440" w:gutter="0" w:footer="0" w:header="0"/>
        </w:sectPr>
      </w:pPr>
    </w:p>
    <w:bookmarkStart w:id="599" w:name="page600"/>
    <w:bookmarkEnd w:id="599"/>
    <w:p>
      <w:pPr>
        <w:ind w:left="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effected pursuant to the provisions hereof after deducting all of Landlord’s Reletting Expenses. Tenant shall pay such amounts in accordance with the terms of this </w:t>
      </w:r>
      <w:r>
        <w:rPr>
          <w:rFonts w:ascii="Arial" w:cs="Arial" w:eastAsia="Arial" w:hAnsi="Arial"/>
          <w:sz w:val="18"/>
          <w:szCs w:val="18"/>
          <w:u w:val="single" w:color="auto"/>
          <w:color w:val="auto"/>
        </w:rPr>
        <w:t>Section 25.2.5</w:t>
      </w:r>
      <w:r>
        <w:rPr>
          <w:rFonts w:ascii="Arial" w:cs="Arial" w:eastAsia="Arial" w:hAnsi="Arial"/>
          <w:sz w:val="18"/>
          <w:szCs w:val="18"/>
          <w:color w:val="auto"/>
        </w:rPr>
        <w:t xml:space="preserve"> as set forth in a written statement thereof from Landlord to Tenant (the “</w:t>
      </w:r>
      <w:r>
        <w:rPr>
          <w:rFonts w:ascii="Arial" w:cs="Arial" w:eastAsia="Arial" w:hAnsi="Arial"/>
          <w:sz w:val="18"/>
          <w:szCs w:val="18"/>
          <w:u w:val="single" w:color="auto"/>
          <w:color w:val="auto"/>
        </w:rPr>
        <w:t>Deficiency</w:t>
      </w:r>
      <w:r>
        <w:rPr>
          <w:rFonts w:ascii="Arial" w:cs="Arial" w:eastAsia="Arial" w:hAnsi="Arial"/>
          <w:sz w:val="18"/>
          <w:szCs w:val="18"/>
          <w:color w:val="auto"/>
        </w:rPr>
        <w:t>”) to Landlord in monthly installments on the days on which the Base Rent is payable under this Lease, and Landlord shall be entitled to recover from Tenant each monthly installment of the Deficiency as the same shall arise. Tenant shall also pay to Landlord upon demand the costs incurred by Landlord in curing Tenant’s default(s) existing at or prior to the date of such termination, the cost of recovering possession of the Premises and the Reletting Expenses. Tenant agrees that Landlord may file suit to recover any sums that become due under the terms of this Section from time to time, and all reasonable costs and expenses of Landlord, including attorneys’ fees and costs incurred in connection with such suits shall be payable by Tenant on demand.</w:t>
      </w:r>
    </w:p>
    <w:p>
      <w:pPr>
        <w:spacing w:after="0" w:line="84" w:lineRule="exact"/>
        <w:rPr>
          <w:sz w:val="20"/>
          <w:szCs w:val="20"/>
          <w:color w:val="auto"/>
        </w:rPr>
      </w:pPr>
    </w:p>
    <w:p>
      <w:pPr>
        <w:ind w:left="440" w:right="60" w:firstLine="423"/>
        <w:spacing w:after="0" w:line="275" w:lineRule="auto"/>
        <w:rPr>
          <w:sz w:val="20"/>
          <w:szCs w:val="20"/>
          <w:color w:val="auto"/>
        </w:rPr>
      </w:pPr>
      <w:r>
        <w:rPr>
          <w:rFonts w:ascii="Arial" w:cs="Arial" w:eastAsia="Arial" w:hAnsi="Arial"/>
          <w:sz w:val="17"/>
          <w:szCs w:val="17"/>
          <w:color w:val="auto"/>
        </w:rPr>
        <w:t xml:space="preserve">25.2.6 </w:t>
      </w:r>
      <w:r>
        <w:rPr>
          <w:rFonts w:ascii="Arial" w:cs="Arial" w:eastAsia="Arial" w:hAnsi="Arial"/>
          <w:sz w:val="17"/>
          <w:szCs w:val="17"/>
          <w:u w:val="single" w:color="auto"/>
          <w:color w:val="auto"/>
        </w:rPr>
        <w:t>Certain Terms Defined</w:t>
      </w:r>
      <w:r>
        <w:rPr>
          <w:rFonts w:ascii="Arial" w:cs="Arial" w:eastAsia="Arial" w:hAnsi="Arial"/>
          <w:sz w:val="17"/>
          <w:szCs w:val="17"/>
          <w:color w:val="auto"/>
        </w:rPr>
        <w:t>. “</w:t>
      </w:r>
      <w:r>
        <w:rPr>
          <w:rFonts w:ascii="Arial" w:cs="Arial" w:eastAsia="Arial" w:hAnsi="Arial"/>
          <w:sz w:val="17"/>
          <w:szCs w:val="17"/>
          <w:u w:val="single" w:color="auto"/>
          <w:color w:val="auto"/>
        </w:rPr>
        <w:t>Reletting Alterations</w:t>
      </w:r>
      <w:r>
        <w:rPr>
          <w:rFonts w:ascii="Arial" w:cs="Arial" w:eastAsia="Arial" w:hAnsi="Arial"/>
          <w:sz w:val="17"/>
          <w:szCs w:val="17"/>
          <w:color w:val="auto"/>
        </w:rPr>
        <w:t>” shall mean all repairs, changes, improvements, alterations or additions made by Landlord in or to the Premises to the extent deemed reasonably necessary by Landlord to prepare the Premises for the re-leasing following an Event of Default; and “</w:t>
      </w:r>
      <w:r>
        <w:rPr>
          <w:rFonts w:ascii="Arial" w:cs="Arial" w:eastAsia="Arial" w:hAnsi="Arial"/>
          <w:sz w:val="17"/>
          <w:szCs w:val="17"/>
          <w:u w:val="single" w:color="auto"/>
          <w:color w:val="auto"/>
        </w:rPr>
        <w:t>Reletting Expenses</w:t>
      </w:r>
      <w:r>
        <w:rPr>
          <w:rFonts w:ascii="Arial" w:cs="Arial" w:eastAsia="Arial" w:hAnsi="Arial"/>
          <w:sz w:val="17"/>
          <w:szCs w:val="17"/>
          <w:color w:val="auto"/>
        </w:rPr>
        <w:t>” shall mean the reasonable expenses paid or incurred by Landlord in connection with any re-leasing of the Premises following an Event of Default, including, without limitation, marketing expenses, brokerage commissions, attorneys’ fees, the costs of Reletting Alterations, tenant allowances and other economic concessions provided to the new tenant.</w:t>
      </w:r>
    </w:p>
    <w:p>
      <w:pPr>
        <w:spacing w:after="0" w:line="176"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25.3 </w:t>
      </w:r>
      <w:r>
        <w:rPr>
          <w:rFonts w:ascii="Arial" w:cs="Arial" w:eastAsia="Arial" w:hAnsi="Arial"/>
          <w:sz w:val="17"/>
          <w:szCs w:val="17"/>
          <w:u w:val="single" w:color="auto"/>
          <w:color w:val="auto"/>
        </w:rPr>
        <w:t>Landlord’s Right to Cure Defaults</w:t>
      </w:r>
      <w:r>
        <w:rPr>
          <w:rFonts w:ascii="Arial" w:cs="Arial" w:eastAsia="Arial" w:hAnsi="Arial"/>
          <w:sz w:val="17"/>
          <w:szCs w:val="17"/>
          <w:color w:val="auto"/>
        </w:rPr>
        <w:t xml:space="preserve">. If Tenant shall default in the observance or performance of any condition or covenant on Tenant’s part to be observed or performed under or by virtue of any of the provisions of this Lease, and such default continues beyond any applicable notice and cure period or Landlord reasonably determines that an emergency exists, Landlord, without being under any obligation to do so and without thereby waiving such default, may remedy such default for the account and at the expense of Tenant. If Landlord makes any expenditures or incurs any obligations for the payment of money in connection therewith, including but not limited to reasonable attorneys’ fees in instituting, prosecuting or defending any action or proceeding, such sums paid or obligation incurred and costs, shall be paid upon demand to Landlord by Tenant as Additional Rent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and if not so paid with interest from the date due until the date paid at the lesser of eighteen percent (18%) per annum or the maximum legal rate that Landlord may charge Tenant (the “</w:t>
      </w:r>
      <w:r>
        <w:rPr>
          <w:rFonts w:ascii="Arial" w:cs="Arial" w:eastAsia="Arial" w:hAnsi="Arial"/>
          <w:sz w:val="17"/>
          <w:szCs w:val="17"/>
          <w:u w:val="single" w:color="auto"/>
          <w:color w:val="auto"/>
        </w:rPr>
        <w:t>Default Rate</w:t>
      </w:r>
      <w:r>
        <w:rPr>
          <w:rFonts w:ascii="Arial" w:cs="Arial" w:eastAsia="Arial" w:hAnsi="Arial"/>
          <w:sz w:val="17"/>
          <w:szCs w:val="17"/>
          <w:color w:val="auto"/>
        </w:rPr>
        <w:t>”).</w:t>
      </w:r>
    </w:p>
    <w:p>
      <w:pPr>
        <w:spacing w:after="0" w:line="178"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25.4 </w:t>
      </w:r>
      <w:r>
        <w:rPr>
          <w:rFonts w:ascii="Arial" w:cs="Arial" w:eastAsia="Arial" w:hAnsi="Arial"/>
          <w:sz w:val="18"/>
          <w:szCs w:val="18"/>
          <w:u w:val="single" w:color="auto"/>
          <w:color w:val="auto"/>
        </w:rPr>
        <w:t>Disposition of Tenant’s Property</w:t>
      </w:r>
      <w:r>
        <w:rPr>
          <w:rFonts w:ascii="Arial" w:cs="Arial" w:eastAsia="Arial" w:hAnsi="Arial"/>
          <w:sz w:val="18"/>
          <w:szCs w:val="18"/>
          <w:color w:val="auto"/>
        </w:rPr>
        <w:t xml:space="preserve">. In addition to Landlord’s rights under </w:t>
      </w:r>
      <w:r>
        <w:rPr>
          <w:rFonts w:ascii="Arial" w:cs="Arial" w:eastAsia="Arial" w:hAnsi="Arial"/>
          <w:sz w:val="18"/>
          <w:szCs w:val="18"/>
          <w:u w:val="single" w:color="auto"/>
          <w:color w:val="auto"/>
        </w:rPr>
        <w:t>Section 25.3</w:t>
      </w:r>
      <w:r>
        <w:rPr>
          <w:rFonts w:ascii="Arial" w:cs="Arial" w:eastAsia="Arial" w:hAnsi="Arial"/>
          <w:sz w:val="18"/>
          <w:szCs w:val="18"/>
          <w:color w:val="auto"/>
        </w:rPr>
        <w:t xml:space="preserve"> hereof, Landlord shall have the right to handle, remove, discard or store in a commercial warehouse or otherwise, at Tenant’s sole risk and expense, any of Tenant’s Property that is not removed by Tenant at the end of the Term or other termination of this Lease. Landlord shall in no event be responsible for the value, preservation or safekeeping thereof. Tenant shall pay to Landlord, upon demand, any and all expenses incurred in such removal and all storage charges for such property so long as the same shall be in Landlord’s possession or under Landlord’s control.</w:t>
      </w:r>
    </w:p>
    <w:p>
      <w:pPr>
        <w:spacing w:after="0" w:line="188"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6"/>
          <w:szCs w:val="16"/>
          <w:u w:val="single" w:color="auto"/>
          <w:color w:val="auto"/>
        </w:rPr>
        <w:t>Mitigation of Damages; Reletting of Premises</w:t>
      </w:r>
      <w:r>
        <w:rPr>
          <w:rFonts w:ascii="Arial" w:cs="Arial" w:eastAsia="Arial" w:hAnsi="Arial"/>
          <w:sz w:val="16"/>
          <w:szCs w:val="16"/>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Landlord shall have no obligation to mitigate any damages resulting from an Event of Default by Tenant under this Lease other than to list the Premises as available for rent and to use commercially reasonable efforts to rent the Premises; provided, however, that (A) Landlord shall not be obligated to solicit or entertain negotiations with a replacement tenant for the Premises unless and until Landlord obtains full and complete possession of the Premises, including, without limitation, the final and unappealable legal right to relet the Premises free of any claim of Tenant; (B) Landlord shall not be obligated to lease or show the Premises, on a priority basis, or offer the Premises to a prospective tenant when other premises at the Property suitable for the replacement tenant’s use are (or soon will be) available; (C) Landlord shall not be obligated to lease the Premises to a replacement tenant at a rate that is less than the rate that Landlord is advertising space at the Property (on a per rentable square foot basis); (D) Landlord shall not be obligated to enter into a lease with a replacement tenant under terms, covenants and conditions that are unacceptable to Landlord, including, without limitation, a replacement tenant whose use would: (1) violate any restriction, covenant, or requirement contained in the lease of another tenant of the Property, (2) adversely affect, in Landlord’s good faith opinion, the reputation of the Property, or (3) be incompatible, in Landlord’s good faith opinion, with the operation of the Property; and (E) Landlord shall not be obligated to enter into a lease with a replacement tenant who does not have, in Landlord’s good faith opinion, sufficient financial resources to operate the Premises in a first class manner and to fulfill all of the obligations in connection with the lease thereof as and when the same become due.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000"/>
          </w:cols>
          <w:pgMar w:left="440" w:top="273" w:right="459" w:bottom="1440" w:gutter="0" w:footer="0" w:header="0"/>
        </w:sectPr>
      </w:pPr>
    </w:p>
    <w:bookmarkStart w:id="600" w:name="page601"/>
    <w:bookmarkEnd w:id="600"/>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attempting to relet the Premises, Landlord may perform Reletting Alterations, and Tenant upon demand shall pay the reasonable cost of the foregoing as part of the Reletting Expenses. The rents from any reletting shall be applied first to the payment of the Reletting Expenses, and second to the payment of Rent herein provided to be paid by Tenant Any excess or residue shall operate only as an offsetting credit against the amount of Rent due and owing as the same thereafter becomes due and payable hereunder.</w:t>
      </w:r>
    </w:p>
    <w:p>
      <w:pPr>
        <w:spacing w:after="0" w:line="18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25.6 </w:t>
      </w:r>
      <w:r>
        <w:rPr>
          <w:rFonts w:ascii="Arial" w:cs="Arial" w:eastAsia="Arial" w:hAnsi="Arial"/>
          <w:sz w:val="17"/>
          <w:szCs w:val="17"/>
          <w:u w:val="single" w:color="auto"/>
          <w:color w:val="auto"/>
        </w:rPr>
        <w:t>No Accord and Satisfaction</w:t>
      </w:r>
      <w:r>
        <w:rPr>
          <w:rFonts w:ascii="Arial" w:cs="Arial" w:eastAsia="Arial" w:hAnsi="Arial"/>
          <w:sz w:val="17"/>
          <w:szCs w:val="17"/>
          <w:color w:val="auto"/>
        </w:rPr>
        <w:t>. Landlord may collect and receive any rent due from Tenant, and the payment thereof shall not constitute a waiver of or affect any notice or demand given, suit instituted or judgment obtained by Landlord, or be held to waive, affect, change, modify or alter the rights or remedies that Landlord has against Tenant in equity, at law, or by virtue of this Lease. No receipt or acceptance by Landlord from Tenant of less than the rent herein stipulated shall be deemed to be other than a partial payment on account for any due and unpaid stipulated rent; no endorsement or statement on any check or any letter or other writing accompanying any check or payment of rent to Landlord shall be deemed an accord and satisfaction, and Landlord may accept and negotiate such check or payment without prejudice to Landlord’s rights to (a) recover the remaining balance of such unpaid rent, or (b) pursue any other remedy provided in this Lease.</w:t>
      </w:r>
    </w:p>
    <w:p>
      <w:pPr>
        <w:spacing w:after="0" w:line="17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25.7 </w:t>
      </w:r>
      <w:r>
        <w:rPr>
          <w:rFonts w:ascii="Arial" w:cs="Arial" w:eastAsia="Arial" w:hAnsi="Arial"/>
          <w:sz w:val="16"/>
          <w:szCs w:val="16"/>
          <w:u w:val="single" w:color="auto"/>
          <w:color w:val="auto"/>
        </w:rPr>
        <w:t>Claims in Bankruptcy</w:t>
      </w:r>
      <w:r>
        <w:rPr>
          <w:rFonts w:ascii="Arial" w:cs="Arial" w:eastAsia="Arial" w:hAnsi="Arial"/>
          <w:sz w:val="16"/>
          <w:szCs w:val="16"/>
          <w:color w:val="auto"/>
        </w:rPr>
        <w:t xml:space="preserve">. Nothing herein shall limit or prejudice the right of Landlord to prove and obtain in a proceeding for bankruptcy, insolvency, arrangement or reorganization by reason of the termination of this Lease, an amount equal to the maximum allowed by any statute or rule of law in effect at the time when, and governing the proceedings in which, the damages are to be proved, whether or not the amount is greater, equal to or less than the amount of the loss or damage that Landlord has suffered. Without limiting any of the provisions of </w:t>
      </w:r>
      <w:r>
        <w:rPr>
          <w:rFonts w:ascii="Arial" w:cs="Arial" w:eastAsia="Arial" w:hAnsi="Arial"/>
          <w:sz w:val="16"/>
          <w:szCs w:val="16"/>
          <w:u w:val="single" w:color="auto"/>
          <w:color w:val="auto"/>
        </w:rPr>
        <w:t>Section 25</w:t>
      </w:r>
      <w:r>
        <w:rPr>
          <w:rFonts w:ascii="Arial" w:cs="Arial" w:eastAsia="Arial" w:hAnsi="Arial"/>
          <w:sz w:val="16"/>
          <w:szCs w:val="16"/>
          <w:color w:val="auto"/>
        </w:rPr>
        <w:t>, if pursuant to the Bankruptcy Code, as the same may be amended, Tenant is permitted to assign this Lease in disregard of the restrictions contained in Section 18, Tenant agrees that adequate assurance of future performance by the assignee permitted under the Bankruptcy Code shall mean the deposit of cash security with Landlord in any amount equal to all Base Rent payable under this Lease for the calendar year preceding the year in which such assignment is intended to become effective, which deposit shall be held by Landlord, without interest, for the balance of the Term as security for the full and faithful performance of all of the obligations under this Lease on the part of Tenant yet to be performed. If Tenant receives or is to receive any valuable consideration for such an assignment of this Lease, such consideration, after deducting therefrom (a) the brokerage commissions, if any, and other expenses reasonably designated by the assignee as paid for the purchase of Tenant’s property in the Premises, shall be and become the sole exclusive property of Landlord and shall be paid over to Landlord directly by such assignee. In addition, adequate assurance shall mean that any such assignee of this Lease shall have a net worth indicating said assignee’s reasonable ability to pay the rent, and abide by the terms of this Lease for the remaining portion thereof applying commercially reasonable standards.</w:t>
      </w:r>
    </w:p>
    <w:p>
      <w:pPr>
        <w:spacing w:after="0" w:line="171"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25.8 </w:t>
      </w:r>
      <w:r>
        <w:rPr>
          <w:rFonts w:ascii="Arial" w:cs="Arial" w:eastAsia="Arial" w:hAnsi="Arial"/>
          <w:sz w:val="17"/>
          <w:szCs w:val="17"/>
          <w:u w:val="single" w:color="auto"/>
          <w:color w:val="auto"/>
        </w:rPr>
        <w:t>Waiver of Trial By Jury</w:t>
      </w:r>
      <w:r>
        <w:rPr>
          <w:rFonts w:ascii="Arial" w:cs="Arial" w:eastAsia="Arial" w:hAnsi="Arial"/>
          <w:sz w:val="17"/>
          <w:szCs w:val="17"/>
          <w:color w:val="auto"/>
        </w:rPr>
        <w:t>. TO THE EXTENT PERMITTED BY APPLICABLE LAW, LANDLORD AND TENANT HEREBY WAIVE THE RIGHT TO TRIAL BY JURY IN ANY ACTION, PROCEEDING OR COUNTERCLAIM, WHETHER IN CONTRACT, TORT OR OTHERWISE, BROUGHT BY EITHER AGAINST THE OTHER ON ANY MATTER WHATSOEVER ARISING OUT OF OR IN ANY WAY CONNECTED WITH THIS LEASE, THE RELATIONSHIP OF LANDLORD AND TENANT, OR TENANT’S USE OR OCCUPANCY OF THE PREMISES, OR ANY SUMMARY PROCESS, EVICTION OR OTHER STATUTORY REMEDY WITH RESPECT THERETO. EACH PARTY HAS BEEN REPRESENTED BY, AND HAS RECEIVED THE ADVICE OF, LEGAL COUNSEL WITH RESPECT TO THIS WAIVER.</w:t>
      </w:r>
    </w:p>
    <w:p>
      <w:pPr>
        <w:spacing w:after="0" w:line="28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SECTION 26.</w:t>
      </w:r>
      <w:r>
        <w:rPr>
          <w:sz w:val="20"/>
          <w:szCs w:val="20"/>
          <w:color w:val="auto"/>
        </w:rPr>
        <w:tab/>
      </w:r>
      <w:r>
        <w:rPr>
          <w:rFonts w:ascii="Arial" w:cs="Arial" w:eastAsia="Arial" w:hAnsi="Arial"/>
          <w:sz w:val="16"/>
          <w:szCs w:val="16"/>
          <w:u w:val="single" w:color="auto"/>
          <w:color w:val="auto"/>
        </w:rPr>
        <w:t>SECURITY DEPOSIT.</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26.1 Simultaneously with the execution and delivery of this Lease, Tenant shall deliver to Landlord the sum identified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Lease in the form of a check or wire transfer (the “</w:t>
      </w:r>
      <w:r>
        <w:rPr>
          <w:rFonts w:ascii="Arial" w:cs="Arial" w:eastAsia="Arial" w:hAnsi="Arial"/>
          <w:sz w:val="18"/>
          <w:szCs w:val="18"/>
          <w:u w:val="single" w:color="auto"/>
          <w:color w:val="auto"/>
        </w:rPr>
        <w:t>Security Deposit</w:t>
      </w:r>
      <w:r>
        <w:rPr>
          <w:rFonts w:ascii="Arial" w:cs="Arial" w:eastAsia="Arial" w:hAnsi="Arial"/>
          <w:sz w:val="18"/>
          <w:szCs w:val="18"/>
          <w:color w:val="auto"/>
        </w:rPr>
        <w:t>”). During the Term of this Lease, including any extensions thereof, and for sixty (60) days after the expiration of the Term of this Lease, or for so long thereafter as Tenant is in possession of the Premises (or any portion thereof) or has unsatisfied obligations hereunder to Landlord, the Security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000"/>
          </w:cols>
          <w:pgMar w:left="440" w:top="273" w:right="459" w:bottom="1440" w:gutter="0" w:footer="0" w:header="0"/>
        </w:sectPr>
      </w:pPr>
    </w:p>
    <w:bookmarkStart w:id="601" w:name="page602"/>
    <w:bookmarkEnd w:id="60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Deposit shall be held by Landlord without liability for interest and as security for the full and timely performance by Tenant of Tenant’s covenants and obligations under this Lease, it being expressly understood that the Security Deposit shall not be considered an advance payment of Rent or a measure of Tenant’s liability for damages in case of any failure by Tenant to perform any of Tenant’s covenants or obligations hereunder. Landlord shall not be required to keep the Security Deposit separate from its other accounts, and shall have no fiduciary responsibilities or trust obligations whatsoever with regard to the Security Deposit. Tenant shall have no right to require Landlord to so draw and apply the Security Deposit, nor shall Tenant be entitled to credit the same against Rent or other sums payable hereunder. Landlord may, from time to time, without prejudice to any other remedy, use the Security Deposit to the extent necessary to cure or attempt to cure, in whole or in part, any failure by Tenant to perform any of Tenant’s covenants or obligations hereunder, without waiving any rights or remedies as a result of such failure. Following any such application of the Security Deposit, Tenant shall pay to Landlord within five (5) days after demand the amount so applied in order to restore the Security Deposit to its original amount, and failure to so restore within such time period shall be an Event of Default hereunder giving rise to all of Landlord’s rights and remedies applicable to an Event of Default in the payment of Rent. If Tenant does not have any unsatisfied obligations hereunder at the termination of this Lease (or thereafter if Tenant is in possession of the Premises (or any portion thereof)), the balance of the Security Deposit remaining after any such application shall be returned by Landlord to Tenant within sixty (60) days thereafter. If Landlord transfers its interest in the Premises during the Term of this Lease, Landlord shall assign the Security Deposit to the transferee and so long as Landlord actually effectuates such assignment thereafter shall have no further liability for the return of such Security Deposit.</w:t>
      </w:r>
    </w:p>
    <w:p>
      <w:pPr>
        <w:spacing w:after="0" w:line="182"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26.2 Notwithstanding anything to the contrary contained herein, provided that Tenant shall not be in an Event of Default beyond any applicable notice and grace period on the Reduction Date (as hereinafter defined), the Security Deposit shall be decreased to $37,398.84 (the “</w:t>
      </w:r>
      <w:r>
        <w:rPr>
          <w:rFonts w:ascii="Arial" w:cs="Arial" w:eastAsia="Arial" w:hAnsi="Arial"/>
          <w:sz w:val="18"/>
          <w:szCs w:val="18"/>
          <w:u w:val="single" w:color="auto"/>
          <w:color w:val="auto"/>
        </w:rPr>
        <w:t>Reduced Amount</w:t>
      </w:r>
      <w:r>
        <w:rPr>
          <w:rFonts w:ascii="Arial" w:cs="Arial" w:eastAsia="Arial" w:hAnsi="Arial"/>
          <w:sz w:val="18"/>
          <w:szCs w:val="18"/>
          <w:color w:val="auto"/>
        </w:rPr>
        <w:t>”) after the twenty-six (26) month anniversary of the Commencement Date (the “</w:t>
      </w:r>
      <w:r>
        <w:rPr>
          <w:rFonts w:ascii="Arial" w:cs="Arial" w:eastAsia="Arial" w:hAnsi="Arial"/>
          <w:sz w:val="18"/>
          <w:szCs w:val="18"/>
          <w:u w:val="single" w:color="auto"/>
          <w:color w:val="auto"/>
        </w:rPr>
        <w:t>Reduction Date</w:t>
      </w:r>
      <w:r>
        <w:rPr>
          <w:rFonts w:ascii="Arial" w:cs="Arial" w:eastAsia="Arial" w:hAnsi="Arial"/>
          <w:sz w:val="18"/>
          <w:szCs w:val="18"/>
          <w:color w:val="auto"/>
        </w:rPr>
        <w:t>”). Landlord shall promptly following the Reduction Date refund to Tenant the amount necessary to reduce the Security Deposit to the Reduced Amount. Should Tenant be in an Event of Default beyond any applicable notice and grace period on the Reduction Date, the Security Deposit then in effect shall remain in place (without reduction) for the balance of the Term of the Lease.</w:t>
      </w:r>
    </w:p>
    <w:p>
      <w:pPr>
        <w:spacing w:after="0" w:line="30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SECTION 27.</w:t>
      </w:r>
      <w:r>
        <w:rPr>
          <w:sz w:val="20"/>
          <w:szCs w:val="20"/>
          <w:color w:val="auto"/>
        </w:rPr>
        <w:tab/>
      </w:r>
      <w:r>
        <w:rPr>
          <w:rFonts w:ascii="Arial" w:cs="Arial" w:eastAsia="Arial" w:hAnsi="Arial"/>
          <w:sz w:val="17"/>
          <w:szCs w:val="17"/>
          <w:u w:val="single" w:color="auto"/>
          <w:color w:val="auto"/>
        </w:rPr>
        <w:t>NO LIENS.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Tenant agrees to immediately discharge (either by payment or by filing of the necessary bond or otherwise) any mechanic’s, materialman’s or other lien or encumbrance against the Premises or the Property which arises out of any payment due for, or purported to be due for, any labor, services, materials, supplies or equipment furnished, or alleged to have been furnished, to or for Tenant. If Tenant shall fail to so discharge such lien or encumbrance then, in addition to any other right or remedy of Landlord, Landlord may, but shall not be obligated to, discharge the same (either by payment or by filing of the necessary bond or otherwise), and any payment, costs and expenses incurred by Landlord in connection therewith, including reasonable attorneys’ fees, shall be repaid by Tenant to Landlord on demand, together with interest thereon at the Default Rate. Any claim to, or lien upon, the Premises or the Property described herein shall accrue only against the leasehold estate of Tenant and shall be subject and subordinate to the paramount title and rights of Landlord in and to the Premises and the Property.</w:t>
      </w:r>
    </w:p>
    <w:p>
      <w:pPr>
        <w:spacing w:after="0" w:line="28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SECTION 28.</w:t>
      </w:r>
      <w:r>
        <w:rPr>
          <w:sz w:val="20"/>
          <w:szCs w:val="20"/>
          <w:color w:val="auto"/>
        </w:rPr>
        <w:tab/>
      </w:r>
      <w:r>
        <w:rPr>
          <w:rFonts w:ascii="Arial" w:cs="Arial" w:eastAsia="Arial" w:hAnsi="Arial"/>
          <w:sz w:val="17"/>
          <w:szCs w:val="17"/>
          <w:u w:val="single" w:color="auto"/>
          <w:color w:val="auto"/>
        </w:rPr>
        <w:t>FINANCIAL STATEMENTS.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Ten ant acknowledges that the capability of Tenant to perform its financial obligations under this Lease is material to Landlord, and that Landlord would not enter into this Lease but for its belief, based on its review of Tenant’s financial statements, that Tenant is capable of performing such financial obligations. Tenant hereby represents and warrants to Landlord that any financial statements previously furnished to Landlord were at the time given true and correct in all material respects, and that there have been no material changes thereto as of the date of this Lease (which representations and warranties shall be deemed to be continuing and re-made at all times during the Term of this Lease). In addition, within ten (10) days after written request given by or on behalf of Landlord, Tenant shall furnish Landlord with Tenant’s most recent financial statements (audited, if available, or otherwise certified as being true and correct by Tenant) reflecting Tenant’s current financial condition and providing detail sufficient for Landlord to verify the accuracy of any Transfer Profit applicable under Section 18.5 of this Lease.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000"/>
          </w:cols>
          <w:pgMar w:left="440" w:top="273" w:right="459" w:bottom="1440" w:gutter="0" w:footer="0" w:header="0"/>
        </w:sectPr>
      </w:pPr>
    </w:p>
    <w:bookmarkStart w:id="602" w:name="page603"/>
    <w:bookmarkEnd w:id="602"/>
    <w:p>
      <w:pPr>
        <w:ind w:left="4"/>
        <w:spacing w:after="0"/>
        <w:tabs>
          <w:tab w:leader="none" w:pos="1184"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29.</w:t>
      </w:r>
      <w:r>
        <w:rPr>
          <w:sz w:val="20"/>
          <w:szCs w:val="20"/>
          <w:color w:val="auto"/>
        </w:rPr>
        <w:tab/>
      </w:r>
      <w:r>
        <w:rPr>
          <w:rFonts w:ascii="Arial" w:cs="Arial" w:eastAsia="Arial" w:hAnsi="Arial"/>
          <w:sz w:val="17"/>
          <w:szCs w:val="17"/>
          <w:u w:val="single" w:color="auto"/>
          <w:color w:val="auto"/>
        </w:rPr>
        <w:t>NOTICES.</w:t>
      </w:r>
    </w:p>
    <w:p>
      <w:pPr>
        <w:spacing w:after="0" w:line="117" w:lineRule="exact"/>
        <w:rPr>
          <w:sz w:val="20"/>
          <w:szCs w:val="20"/>
          <w:color w:val="auto"/>
        </w:rPr>
      </w:pPr>
    </w:p>
    <w:p>
      <w:pPr>
        <w:ind w:left="4" w:right="80"/>
        <w:spacing w:after="0" w:line="293" w:lineRule="auto"/>
        <w:rPr>
          <w:sz w:val="20"/>
          <w:szCs w:val="20"/>
          <w:color w:val="auto"/>
        </w:rPr>
      </w:pPr>
      <w:r>
        <w:rPr>
          <w:rFonts w:ascii="Arial" w:cs="Arial" w:eastAsia="Arial" w:hAnsi="Arial"/>
          <w:sz w:val="16"/>
          <w:szCs w:val="16"/>
          <w:color w:val="auto"/>
        </w:rPr>
        <w:t>All notices or other communications hereunder shall be in writing and shall be deemed to have been given (A) if delivered by hand, by messenger or by an express delivery service (FedEx, UPS, etc.), then if and when delivered (or if delivery is refused, when refused) to the respective parties at the below addresses (or at such other address as a party may hereafter designate for itself by notice to the other party as required hereby), or (8) if mailed, then on the third Business Day following the date on which such communication is deposited in the United States mails, by first class registered or certified mail, return receipt requested, postage prepaid, and addressed to the respective parties at the below addresses (or at such other address as a party may hereafter designate for itself by notice to the other party as required hereby). Notice by counsel to a party shall be deemed notice from such party.</w:t>
      </w:r>
    </w:p>
    <w:p>
      <w:pPr>
        <w:sectPr>
          <w:pgSz w:w="11900" w:h="16838" w:orient="portrait"/>
          <w:cols w:equalWidth="0" w:num="1">
            <w:col w:w="11004"/>
          </w:cols>
          <w:pgMar w:left="436" w:top="273" w:right="459" w:bottom="1440" w:gutter="0" w:footer="0" w:header="0"/>
        </w:sectPr>
      </w:pPr>
    </w:p>
    <w:p>
      <w:pPr>
        <w:spacing w:after="0" w:line="191" w:lineRule="exact"/>
        <w:rPr>
          <w:sz w:val="20"/>
          <w:szCs w:val="20"/>
          <w:color w:val="auto"/>
        </w:rPr>
      </w:pPr>
    </w:p>
    <w:p>
      <w:pPr>
        <w:ind w:left="724"/>
        <w:spacing w:after="0"/>
        <w:rPr>
          <w:sz w:val="20"/>
          <w:szCs w:val="20"/>
          <w:color w:val="auto"/>
        </w:rPr>
      </w:pPr>
      <w:r>
        <w:rPr>
          <w:rFonts w:ascii="Arial" w:cs="Arial" w:eastAsia="Arial" w:hAnsi="Arial"/>
          <w:sz w:val="17"/>
          <w:szCs w:val="17"/>
          <w:color w:val="auto"/>
        </w:rPr>
        <w:t>If to Landlord: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NS 141 Tremont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Synergy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Franklin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Senior Director of Leasing</w:t>
      </w:r>
    </w:p>
    <w:p>
      <w:pPr>
        <w:spacing w:after="0" w:line="200" w:lineRule="exact"/>
        <w:rPr>
          <w:sz w:val="20"/>
          <w:szCs w:val="20"/>
          <w:color w:val="auto"/>
        </w:rPr>
      </w:pPr>
    </w:p>
    <w:p>
      <w:pPr>
        <w:sectPr>
          <w:pgSz w:w="11900" w:h="16838" w:orient="portrait"/>
          <w:cols w:equalWidth="0" w:num="2">
            <w:col w:w="2044" w:space="720"/>
            <w:col w:w="8240"/>
          </w:cols>
          <w:pgMar w:left="436" w:top="273" w:right="459" w:bottom="1440" w:gutter="0" w:footer="0" w:header="0"/>
          <w:type w:val="continuous"/>
        </w:sectPr>
      </w:pPr>
    </w:p>
    <w:p>
      <w:pPr>
        <w:spacing w:after="0" w:line="34" w:lineRule="exact"/>
        <w:rPr>
          <w:sz w:val="20"/>
          <w:szCs w:val="20"/>
          <w:color w:val="auto"/>
        </w:rPr>
      </w:pPr>
    </w:p>
    <w:p>
      <w:pPr>
        <w:ind w:left="724"/>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Paul L Baccari, Esquire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Rubin and Rudman LLP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Rowes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MA02110</w:t>
      </w:r>
    </w:p>
    <w:p>
      <w:pPr>
        <w:spacing w:after="0" w:line="200" w:lineRule="exact"/>
        <w:rPr>
          <w:sz w:val="20"/>
          <w:szCs w:val="20"/>
          <w:color w:val="auto"/>
        </w:rPr>
      </w:pPr>
    </w:p>
    <w:p>
      <w:pPr>
        <w:sectPr>
          <w:pgSz w:w="11900" w:h="16838" w:orient="portrait"/>
          <w:cols w:equalWidth="0" w:num="2">
            <w:col w:w="2044" w:space="720"/>
            <w:col w:w="8240"/>
          </w:cols>
          <w:pgMar w:left="436" w:top="273" w:right="459" w:bottom="1440" w:gutter="0" w:footer="0" w:header="0"/>
          <w:type w:val="continuous"/>
        </w:sectPr>
      </w:pPr>
    </w:p>
    <w:p>
      <w:pPr>
        <w:spacing w:after="0" w:line="11" w:lineRule="exact"/>
        <w:rPr>
          <w:sz w:val="20"/>
          <w:szCs w:val="20"/>
          <w:color w:val="auto"/>
        </w:rPr>
      </w:pPr>
    </w:p>
    <w:p>
      <w:pPr>
        <w:ind w:left="724"/>
        <w:spacing w:after="0"/>
        <w:rPr>
          <w:sz w:val="20"/>
          <w:szCs w:val="20"/>
          <w:color w:val="auto"/>
        </w:rPr>
      </w:pPr>
      <w:r>
        <w:rPr>
          <w:rFonts w:ascii="Arial" w:cs="Arial" w:eastAsia="Arial" w:hAnsi="Arial"/>
          <w:sz w:val="16"/>
          <w:szCs w:val="16"/>
          <w:color w:val="auto"/>
        </w:rPr>
        <w:t>If 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And before the Commencement Date, then to:</w:t>
      </w:r>
    </w:p>
    <w:p>
      <w:pPr>
        <w:spacing w:after="0" w:line="200" w:lineRule="exact"/>
        <w:rPr>
          <w:sz w:val="20"/>
          <w:szCs w:val="20"/>
          <w:color w:val="auto"/>
        </w:rPr>
      </w:pPr>
    </w:p>
    <w:p>
      <w:pPr>
        <w:sectPr>
          <w:pgSz w:w="11900" w:h="16838" w:orient="portrait"/>
          <w:cols w:equalWidth="0" w:num="2">
            <w:col w:w="2044" w:space="720"/>
            <w:col w:w="8240"/>
          </w:cols>
          <w:pgMar w:left="436" w:top="273" w:right="459" w:bottom="1440" w:gutter="0" w:footer="0" w:header="0"/>
          <w:type w:val="continuous"/>
        </w:sectPr>
      </w:pPr>
    </w:p>
    <w:p>
      <w:pPr>
        <w:spacing w:after="0" w:line="48" w:lineRule="exact"/>
        <w:rPr>
          <w:sz w:val="20"/>
          <w:szCs w:val="20"/>
          <w:color w:val="auto"/>
        </w:rPr>
      </w:pPr>
    </w:p>
    <w:p>
      <w:pPr>
        <w:ind w:left="2764"/>
        <w:spacing w:after="0"/>
        <w:rPr>
          <w:sz w:val="20"/>
          <w:szCs w:val="20"/>
          <w:color w:val="auto"/>
        </w:rPr>
      </w:pPr>
      <w:r>
        <w:rPr>
          <w:rFonts w:ascii="Arial" w:cs="Arial" w:eastAsia="Arial" w:hAnsi="Arial"/>
          <w:sz w:val="18"/>
          <w:szCs w:val="18"/>
          <w:color w:val="auto"/>
        </w:rPr>
        <w:t>295 Devonshire Street</w:t>
      </w:r>
    </w:p>
    <w:p>
      <w:pPr>
        <w:spacing w:after="0" w:line="22" w:lineRule="exact"/>
        <w:rPr>
          <w:sz w:val="20"/>
          <w:szCs w:val="20"/>
          <w:color w:val="auto"/>
        </w:rPr>
      </w:pPr>
    </w:p>
    <w:p>
      <w:pPr>
        <w:ind w:left="2764"/>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2764"/>
        <w:spacing w:after="0"/>
        <w:rPr>
          <w:sz w:val="20"/>
          <w:szCs w:val="20"/>
          <w:color w:val="auto"/>
        </w:rPr>
      </w:pPr>
      <w:r>
        <w:rPr>
          <w:rFonts w:ascii="Arial" w:cs="Arial" w:eastAsia="Arial" w:hAnsi="Arial"/>
          <w:sz w:val="18"/>
          <w:szCs w:val="18"/>
          <w:color w:val="auto"/>
        </w:rPr>
        <w:t>Boston, MA 02110</w:t>
      </w:r>
    </w:p>
    <w:p>
      <w:pPr>
        <w:spacing w:after="0" w:line="211" w:lineRule="exact"/>
        <w:rPr>
          <w:sz w:val="20"/>
          <w:szCs w:val="20"/>
          <w:color w:val="auto"/>
        </w:rPr>
      </w:pPr>
    </w:p>
    <w:p>
      <w:pPr>
        <w:ind w:left="2764"/>
        <w:spacing w:after="0"/>
        <w:rPr>
          <w:sz w:val="20"/>
          <w:szCs w:val="20"/>
          <w:color w:val="auto"/>
        </w:rPr>
      </w:pPr>
      <w:r>
        <w:rPr>
          <w:rFonts w:ascii="Arial" w:cs="Arial" w:eastAsia="Arial" w:hAnsi="Arial"/>
          <w:sz w:val="16"/>
          <w:szCs w:val="16"/>
          <w:color w:val="auto"/>
        </w:rPr>
        <w:t>And on or after the Commencement Date, then to:</w:t>
      </w:r>
    </w:p>
    <w:p>
      <w:pPr>
        <w:spacing w:after="0" w:line="248" w:lineRule="exact"/>
        <w:rPr>
          <w:sz w:val="20"/>
          <w:szCs w:val="20"/>
          <w:color w:val="auto"/>
        </w:rPr>
      </w:pPr>
    </w:p>
    <w:p>
      <w:pPr>
        <w:ind w:left="2764"/>
        <w:spacing w:after="0"/>
        <w:rPr>
          <w:sz w:val="20"/>
          <w:szCs w:val="20"/>
          <w:color w:val="auto"/>
        </w:rPr>
      </w:pPr>
      <w:r>
        <w:rPr>
          <w:rFonts w:ascii="Arial" w:cs="Arial" w:eastAsia="Arial" w:hAnsi="Arial"/>
          <w:sz w:val="18"/>
          <w:szCs w:val="18"/>
          <w:color w:val="auto"/>
        </w:rPr>
        <w:t>The Premises</w:t>
      </w:r>
    </w:p>
    <w:p>
      <w:pPr>
        <w:sectPr>
          <w:pgSz w:w="11900" w:h="16838" w:orient="portrait"/>
          <w:cols w:equalWidth="0" w:num="1">
            <w:col w:w="11004"/>
          </w:cols>
          <w:pgMar w:left="436" w:top="273" w:right="459" w:bottom="1440" w:gutter="0" w:footer="0" w:header="0"/>
          <w:type w:val="continuous"/>
        </w:sectPr>
      </w:pPr>
    </w:p>
    <w:p>
      <w:pPr>
        <w:spacing w:after="0" w:line="333"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u w:val="single" w:color="auto"/>
          <w:color w:val="auto"/>
        </w:rPr>
        <w:t>SECTION 30.</w:t>
      </w:r>
      <w:r>
        <w:rPr>
          <w:sz w:val="20"/>
          <w:szCs w:val="20"/>
          <w:color w:val="auto"/>
        </w:rPr>
        <w:tab/>
      </w:r>
      <w:r>
        <w:rPr>
          <w:rFonts w:ascii="Arial" w:cs="Arial" w:eastAsia="Arial" w:hAnsi="Arial"/>
          <w:sz w:val="17"/>
          <w:szCs w:val="17"/>
          <w:u w:val="single" w:color="auto"/>
          <w:color w:val="auto"/>
        </w:rPr>
        <w:t>RULES AND REGULATIONS.</w:t>
      </w:r>
    </w:p>
    <w:p>
      <w:pPr>
        <w:spacing w:after="0" w:line="117"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Tenant shall faithfully observe and comply with the rules and regulations, if any as Landlord hereafter at any time or from time to time may make and may communicate in writing to Tenant (“</w:t>
      </w:r>
      <w:r>
        <w:rPr>
          <w:rFonts w:ascii="Arial" w:cs="Arial" w:eastAsia="Arial" w:hAnsi="Arial"/>
          <w:sz w:val="18"/>
          <w:szCs w:val="18"/>
          <w:u w:val="single" w:color="auto"/>
          <w:color w:val="auto"/>
        </w:rPr>
        <w:t>Rules and Regulations</w:t>
      </w:r>
      <w:r>
        <w:rPr>
          <w:rFonts w:ascii="Arial" w:cs="Arial" w:eastAsia="Arial" w:hAnsi="Arial"/>
          <w:sz w:val="18"/>
          <w:szCs w:val="18"/>
          <w:color w:val="auto"/>
        </w:rPr>
        <w:t>”). If the provisions of this Lease conflict with any such Rules and Regulations then the provisions of this Lease shall control. Nothing contained in this Lease shall be construed to impose upon Landlord any duty or obligation to enforce the Rules and Regulations or the terms, covenants, or conditions in any other lease as against any other tenant, and Landlord shall not be liable to Tenant for violation of the same by any other tenant, or any other tenant’s servants, employees, agents, visitors, invitees, or licensees. Landlord shall not enforce the Rules and Regulations arbitrarily.</w:t>
      </w:r>
    </w:p>
    <w:p>
      <w:pPr>
        <w:spacing w:after="0" w:line="30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u w:val="single" w:color="auto"/>
          <w:color w:val="auto"/>
        </w:rPr>
        <w:t>SECTION 31.</w:t>
      </w:r>
      <w:r>
        <w:rPr>
          <w:sz w:val="20"/>
          <w:szCs w:val="20"/>
          <w:color w:val="auto"/>
        </w:rPr>
        <w:tab/>
      </w:r>
      <w:r>
        <w:rPr>
          <w:rFonts w:ascii="Arial" w:cs="Arial" w:eastAsia="Arial" w:hAnsi="Arial"/>
          <w:sz w:val="17"/>
          <w:szCs w:val="17"/>
          <w:u w:val="single" w:color="auto"/>
          <w:color w:val="auto"/>
        </w:rPr>
        <w:t>QUIET ENJOYMENT.</w:t>
      </w:r>
    </w:p>
    <w:p>
      <w:pPr>
        <w:spacing w:after="0" w:line="117" w:lineRule="exact"/>
        <w:rPr>
          <w:sz w:val="20"/>
          <w:szCs w:val="20"/>
          <w:color w:val="auto"/>
        </w:rPr>
      </w:pPr>
    </w:p>
    <w:p>
      <w:pPr>
        <w:jc w:val="both"/>
        <w:ind w:left="4" w:right="120"/>
        <w:spacing w:after="0" w:line="263" w:lineRule="auto"/>
        <w:rPr>
          <w:sz w:val="20"/>
          <w:szCs w:val="20"/>
          <w:color w:val="auto"/>
        </w:rPr>
      </w:pPr>
      <w:r>
        <w:rPr>
          <w:rFonts w:ascii="Arial" w:cs="Arial" w:eastAsia="Arial" w:hAnsi="Arial"/>
          <w:sz w:val="18"/>
          <w:szCs w:val="18"/>
          <w:color w:val="auto"/>
        </w:rPr>
        <w:t>Tenant, on paying the Base Rent and Additional Rent and performing the covenants of this Lease on its part to be performed, shall and may peaceably and quietly have, hold, and enjoy the Premises in accordance with this Lease for the Term and any extension thereof free from disturbance by Landlord or anyone claiming by, through, or under Landlord.</w:t>
      </w:r>
    </w:p>
    <w:p>
      <w:pPr>
        <w:spacing w:after="0" w:line="29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u w:val="single" w:color="auto"/>
          <w:color w:val="auto"/>
        </w:rPr>
        <w:t>SECTION 32.</w:t>
      </w:r>
      <w:r>
        <w:rPr>
          <w:sz w:val="20"/>
          <w:szCs w:val="20"/>
          <w:color w:val="auto"/>
        </w:rPr>
        <w:tab/>
      </w:r>
      <w:r>
        <w:rPr>
          <w:rFonts w:ascii="Arial" w:cs="Arial" w:eastAsia="Arial" w:hAnsi="Arial"/>
          <w:sz w:val="17"/>
          <w:szCs w:val="17"/>
          <w:u w:val="single" w:color="auto"/>
          <w:color w:val="auto"/>
        </w:rPr>
        <w:t>LANDLORD’S DEFAULT.</w:t>
      </w:r>
    </w:p>
    <w:p>
      <w:pPr>
        <w:spacing w:after="0" w:line="117" w:lineRule="exact"/>
        <w:rPr>
          <w:sz w:val="20"/>
          <w:szCs w:val="20"/>
          <w:color w:val="auto"/>
        </w:rPr>
      </w:pPr>
    </w:p>
    <w:p>
      <w:pPr>
        <w:ind w:left="4" w:right="300"/>
        <w:spacing w:after="0" w:line="291" w:lineRule="auto"/>
        <w:rPr>
          <w:sz w:val="20"/>
          <w:szCs w:val="20"/>
          <w:color w:val="auto"/>
        </w:rPr>
      </w:pPr>
      <w:r>
        <w:rPr>
          <w:rFonts w:ascii="Arial" w:cs="Arial" w:eastAsia="Arial" w:hAnsi="Arial"/>
          <w:sz w:val="16"/>
          <w:szCs w:val="16"/>
          <w:color w:val="auto"/>
        </w:rPr>
        <w:t>Landlord shall in no event be in default in the performance of any of Landlord’s obligations hereunder unless and until Landlord fails to perform or observe any obligation of this Lease and such failure continues, after written notice given by or on behalf of Tenant to Landlord, for more than thirty</w:t>
      </w:r>
    </w:p>
    <w:p>
      <w:pPr>
        <w:ind w:left="4" w:hanging="4"/>
        <w:spacing w:after="0" w:line="260" w:lineRule="auto"/>
        <w:tabs>
          <w:tab w:leader="none" w:pos="349" w:val="left"/>
        </w:tabs>
        <w:numPr>
          <w:ilvl w:val="0"/>
          <w:numId w:val="457"/>
        </w:numPr>
        <w:rPr>
          <w:rFonts w:ascii="Arial" w:cs="Arial" w:eastAsia="Arial" w:hAnsi="Arial"/>
          <w:sz w:val="18"/>
          <w:szCs w:val="18"/>
          <w:color w:val="auto"/>
        </w:rPr>
      </w:pPr>
      <w:r>
        <w:rPr>
          <w:rFonts w:ascii="Arial" w:cs="Arial" w:eastAsia="Arial" w:hAnsi="Arial"/>
          <w:sz w:val="18"/>
          <w:szCs w:val="18"/>
          <w:color w:val="auto"/>
        </w:rPr>
        <w:t>days (or such longer period as may be necessary to cure such default, provided that Landlord commences such cure within the thirty (30) day period and thereafter diligently pursues the same to completion).</w:t>
      </w:r>
    </w:p>
    <w:p>
      <w:pPr>
        <w:spacing w:after="0" w:line="117" w:lineRule="exact"/>
        <w:rPr>
          <w:rFonts w:ascii="Arial" w:cs="Arial" w:eastAsia="Arial" w:hAnsi="Arial"/>
          <w:sz w:val="18"/>
          <w:szCs w:val="18"/>
          <w:color w:val="auto"/>
        </w:rPr>
      </w:pPr>
    </w:p>
    <w:p>
      <w:pPr>
        <w:ind w:left="5424" w:hanging="111"/>
        <w:spacing w:after="0"/>
        <w:tabs>
          <w:tab w:leader="none" w:pos="5424" w:val="left"/>
        </w:tabs>
        <w:numPr>
          <w:ilvl w:val="1"/>
          <w:numId w:val="457"/>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004"/>
          </w:cols>
          <w:pgMar w:left="436" w:top="273" w:right="459" w:bottom="1440" w:gutter="0" w:footer="0" w:header="0"/>
          <w:type w:val="continuous"/>
        </w:sectPr>
      </w:pPr>
    </w:p>
    <w:bookmarkStart w:id="603" w:name="page604"/>
    <w:bookmarkEnd w:id="603"/>
    <w:p>
      <w:pPr>
        <w:spacing w:after="0"/>
        <w:tabs>
          <w:tab w:leader="none" w:pos="118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33.</w:t>
        <w:tab/>
        <w:t>LIMITATION OF LIABILITY.</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The liability of Landlord and Landlord’s Agents to Tenant (or any person or entity claiming by, through or under Tenant) under the terms of this Lease or any matter relating to or arising out of the occupancy or use of the Premises and/or other areas of the Property shall be limited to Tenant’s actual direct, but not consequential, damages therefor and shall be recoverable only from Landlord’s interest in the Building. Tenant agrees to look solely to Landlord’s interest in the Building for the recovery of any judgment against Landlord or Landlord’s Agents. Neither Landlord, Landlord’s Agents nor Tenant shall be personally liable for any judgment, award or deficiency after execution thereon and Landlord and Tenant hereby waive and release such personal liability on behalf of itself and all persons claiming by, through or under Landlord or Tenant as applicable. The limitations of liability contained in this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shall apply equally and inure to the benefit of the Landlord and Landlord’s Agents, present and future advisors, beneficiaries, participants, representatives and their respective constituent partners, members, shareholders, trustees, heirs, successors and assigns. Under no circumstances shall any present or future general or limited partner of Landlord (if Landlord is a partnership), member of Landlord (if Landlord is a limited liability company) or trustee or beneficiary (if Landlord or any partner or member of Landlord is a trust) have any liability for the performance of Landlord’s obligations under this Lease, nor shall negative capital account of any constituent partner or member in Landlord (or in a constituent member or partner of Landlord) nor any obligation of any constituent member or partner of Landlord (or in any other constituent member or partner of Landlord) to restore a negative capital account or to contribute or loan capital to Landlord (or to any constituent member or partner of Landlord), at any time be deemed to be the property or an asset of Landlord or such other constituent member or partner (and neither Tenant nor any of its successors or assigns shall have any right to collect, enforce or proceed against or with respect to any such negative capital account of such a member’s or partner’s obligation to restore or contribute). Notwithstanding any contrary provision herein, neither Landlord nor Landlord’s Agents shall be liable for any injury or damage to, or interference with, Tenant’s business, including loss of profits, rents or other revenues, loss of business opportunity, loss of goodwill, loss of use, and, except as set forth in Section 22 and Section 39.3, neither Landlord nor Tenant shall be liable for any form of punitive, special or consequential damages, in each case however occurring. The foregoing shall be in addition to, and not in limitation of, any further limitation of liability that might otherwise apply. Notwithstanding the foregoing, none of the provisions of this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shall be deemed to release any insurance carrier that insures Landlord’s liability to Tenant or to third parties from any obligation to make any payment to Tenant pursuant to any such insurance policy, it being agreed that any release of Landlord for any obligation to Tenant is not intended to and does not release Landlord’s insurance carrier from the obligation of paying such loss on Landlord’s behalf. The provisions of this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shall survive the expiration or earlier termination of this Lease.</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SECTION 34.</w:t>
      </w:r>
      <w:r>
        <w:rPr>
          <w:sz w:val="20"/>
          <w:szCs w:val="20"/>
          <w:color w:val="auto"/>
        </w:rPr>
        <w:tab/>
      </w:r>
      <w:r>
        <w:rPr>
          <w:rFonts w:ascii="Arial" w:cs="Arial" w:eastAsia="Arial" w:hAnsi="Arial"/>
          <w:sz w:val="17"/>
          <w:szCs w:val="17"/>
          <w:u w:val="single" w:color="auto"/>
          <w:color w:val="auto"/>
        </w:rPr>
        <w:t>INDEPENDENT COVENANTS.</w:t>
      </w:r>
    </w:p>
    <w:p>
      <w:pPr>
        <w:spacing w:after="0" w:line="11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Each covenant and agreement in this Lease shall for all purposes be construed to be a separate and independent covenant or agreement, and Tenant hereby waives the benefit of any statute or case law to the contrary. Tenant acknowledges and agrees that its covenant to pay Base Rent and Additional Rent hereunder is independent of Landlord’s obligations hereunder, and that in the event that Tenant shall have a claim against Landlord, Tenant shall not have the right to deduct the amount allegedly owed to Tenant from any Base Rent or Additional Rent due hereunder or to terminate this Lease, it being understood that Tenant’s sole remedy for recovering upon such claim shall be to bring an independent legal action against Landlord.</w:t>
      </w:r>
    </w:p>
    <w:p>
      <w:pPr>
        <w:spacing w:after="0" w:line="26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SECTION 35.</w:t>
      </w:r>
      <w:r>
        <w:rPr>
          <w:sz w:val="20"/>
          <w:szCs w:val="20"/>
          <w:color w:val="auto"/>
        </w:rPr>
        <w:tab/>
      </w:r>
      <w:r>
        <w:rPr>
          <w:rFonts w:ascii="Arial" w:cs="Arial" w:eastAsia="Arial" w:hAnsi="Arial"/>
          <w:sz w:val="17"/>
          <w:szCs w:val="17"/>
          <w:u w:val="single" w:color="auto"/>
          <w:color w:val="auto"/>
        </w:rPr>
        <w:t>SEVERABILITY.</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any provision in this Lease or the application thereof shall to any extent be invalid, illegal or otherwise unenforceable, the remainder of this Lease, and the application of such provision other than as invalid, illegal or unenforceable, shall not be affected thereby; and such provisions of this Lease shall be valid and enforceable to the fullest extent permitted by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020"/>
          </w:cols>
          <w:pgMar w:left="440" w:top="273" w:right="439" w:bottom="1440" w:gutter="0" w:footer="0" w:header="0"/>
        </w:sectPr>
      </w:pPr>
    </w:p>
    <w:bookmarkStart w:id="604" w:name="page605"/>
    <w:bookmarkEnd w:id="604"/>
    <w:p>
      <w:pPr>
        <w:spacing w:after="0"/>
        <w:tabs>
          <w:tab w:leader="none" w:pos="118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36.</w:t>
      </w:r>
      <w:r>
        <w:rPr>
          <w:sz w:val="20"/>
          <w:szCs w:val="20"/>
          <w:color w:val="auto"/>
        </w:rPr>
        <w:tab/>
      </w:r>
      <w:r>
        <w:rPr>
          <w:rFonts w:ascii="Arial" w:cs="Arial" w:eastAsia="Arial" w:hAnsi="Arial"/>
          <w:sz w:val="17"/>
          <w:szCs w:val="17"/>
          <w:u w:val="single" w:color="auto"/>
          <w:color w:val="auto"/>
        </w:rPr>
        <w:t>WAIVER OF COUNTERCLAIMS.</w:t>
      </w:r>
    </w:p>
    <w:p>
      <w:pPr>
        <w:spacing w:after="0" w:line="11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If Landlord commences any summary proceeding for possession of the Premises based on an Event of Default by Ten ant hereunder, Tenant hereby waives the right to interpose any non-compulsory counterclaim of whatever nature or description in any such proceeding; provided, however, that Tenant shall have the right to bring a separate action against Landlord to the extent otherwise allowed under this Lease as long as Tenant does not attempt to have such action joined or otherwise consolidated with Landlord’s summary proceeding.</w:t>
      </w:r>
    </w:p>
    <w:p>
      <w:pPr>
        <w:spacing w:after="0" w:line="27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SECTION 37.</w:t>
      </w:r>
      <w:r>
        <w:rPr>
          <w:sz w:val="20"/>
          <w:szCs w:val="20"/>
          <w:color w:val="auto"/>
        </w:rPr>
        <w:tab/>
      </w:r>
      <w:r>
        <w:rPr>
          <w:rFonts w:ascii="Arial" w:cs="Arial" w:eastAsia="Arial" w:hAnsi="Arial"/>
          <w:sz w:val="16"/>
          <w:szCs w:val="16"/>
          <w:u w:val="single" w:color="auto"/>
          <w:color w:val="auto"/>
        </w:rPr>
        <w:t>COSTS AND EXPENSES.</w:t>
      </w:r>
    </w:p>
    <w:p>
      <w:pPr>
        <w:spacing w:after="0" w:line="117"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In the event of any litigation between Landlord and Tenant to enforce or interpret any provision of this Lease or to enforce any right of either party hereto, the unsuccessful party to such litigation shall pay to the successful party all costs and expenses incurred in connection therewith, including reasonable attorneys’ fees, through all appeals and in any bankruptcy proceedings.</w:t>
      </w:r>
    </w:p>
    <w:p>
      <w:pPr>
        <w:spacing w:after="0" w:line="29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SECTION 38.</w:t>
        <w:tab/>
        <w:t>INTENTIONALLY OMITTED.</w:t>
      </w:r>
    </w:p>
    <w:p>
      <w:pPr>
        <w:spacing w:after="0" w:line="11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SECTION 39.</w:t>
      </w:r>
      <w:r>
        <w:rPr>
          <w:sz w:val="20"/>
          <w:szCs w:val="20"/>
          <w:color w:val="auto"/>
        </w:rPr>
        <w:tab/>
      </w:r>
      <w:r>
        <w:rPr>
          <w:rFonts w:ascii="Arial" w:cs="Arial" w:eastAsia="Arial" w:hAnsi="Arial"/>
          <w:sz w:val="17"/>
          <w:szCs w:val="17"/>
          <w:u w:val="single" w:color="auto"/>
          <w:color w:val="auto"/>
        </w:rPr>
        <w:t>SURRENDER OF PREMISES; HOLDING OVER.</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39.1 Upon the expiration or earlier termination of this Lease, Tenant shall promptly surrender possession of the Premises to Landlord in good order and condition and in conformity with the applicable provisions of this Lease, excepting only reasonable wear and tear, casualty and condemnation. Tenant shall surrender to Landlord all keys, key cards, security and access codes to the Premises and make known to Landlord the combination of all combination locks which Tenant is required to leave on the Premises. For purposes of this Lease, the phrase “reasonable wear and tear” constitutes that normal, gradual deterioration which occurs due to aging and ordinary use of the Premises despite reasonable and timely maintenance and repair, but in no event shall the aforementioned phrase excuse Tenant from its duty to keep the Premises in good order and condition and otherwise usable, serviceable and tenantable as required by this Lease.</w:t>
      </w:r>
    </w:p>
    <w:p>
      <w:pPr>
        <w:spacing w:after="0" w:line="177"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 xml:space="preserve">39.2 Upon the expiration or earlier termination of this Lease, Tenant shall, at its sole cost and expense, remove (A) all Alterations that Tenant is required to remove pursuant to Section 12 of this Lease and (8) all of Tenant’s Property. Tenant shall not remove Landlord’s Work (if any). Tenant shall, at its sole cost and expense, repair any damage caused by the removal of Tenant’s Alterations and Tenant’s Property, and perform such other work as is reasonably necessary to restore the Premises to “move in” condition, excepting only reasonable wear and tear, casualty and condemnation. If Tenant fails to remove any of the foregoing items or to perform any required repairs and restoration, such failure shall be deemed a holding over by Tenant under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hereof, and Landlord may (without liability to Tenant for loss thereof), at Tenant’s sole cost and expense and in addition to Landlord’s other rights and remedies under this Lease, at law or in equity: (1) remove and store such items; and/or (2) upon thirty (30) days prior written notice to Tenant, sell such items at private or public sale for such price as Landlord at its discretion may obtain. Landlord shall apply the proceeds of any such sale to any amounts due to Landlord under this Lease from Tenant (including Landlord’s reasonable attorneys’ fees and other costs incurred in the removal, storage and/or sale of such items and performance of any required repairs and restoration), with any remainder to be paid to Tenant.</w:t>
      </w:r>
    </w:p>
    <w:p>
      <w:pPr>
        <w:spacing w:after="0" w:line="16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39.3 If, after the expiration or earlier termination of this Lease, Tenant fails to surrender the Premises (or any portion of the Premises) in accordance with the provisions of this Lease, such occupancy shall be that of a tenancy at sufferance, in which event Tenant shall pay Landlord (A) as liquidated damages for such holding over alone, an amount, calculated on a per diem basis for each day of such unlawful retention, equal to the greater of (1) 150% of the then current Annual Base Rent, or (2) 150% of the fair market rental for the Premises, for the time Tenant thus remains in possession, plus, in each case, all Additional Rent and other sums payable hereunder, and (8) all other damages, costs and expenses sustained by Landlord by reason of Tenant’s holding over. Without limiting any rights and remedies of Landlord resulting by reason of the wrongful holding over by Tenant, or creating any right in Tenant to continue in possession of the Premises, all Tenant’s obligations with respect to the use, occupancy and maintenance of the Premises shall continue during such period of unlawful retention. To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0980"/>
          </w:cols>
          <w:pgMar w:left="440" w:top="273" w:right="479" w:bottom="1440" w:gutter="0" w:footer="0" w:header="0"/>
        </w:sectPr>
      </w:pPr>
    </w:p>
    <w:bookmarkStart w:id="605" w:name="page606"/>
    <w:bookmarkEnd w:id="605"/>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maximum extent enforceable by law, Tenant covenants and agrees to exonerate, indemnify, defend, protect and save Landlord, together with</w:t>
      </w:r>
    </w:p>
    <w:p>
      <w:pPr>
        <w:spacing w:after="0" w:line="35" w:lineRule="exact"/>
        <w:rPr>
          <w:sz w:val="20"/>
          <w:szCs w:val="20"/>
          <w:color w:val="auto"/>
        </w:rPr>
      </w:pPr>
    </w:p>
    <w:p>
      <w:pPr>
        <w:ind w:left="4" w:right="100" w:hanging="4"/>
        <w:spacing w:after="0" w:line="253" w:lineRule="auto"/>
        <w:tabs>
          <w:tab w:leader="none" w:pos="249" w:val="left"/>
        </w:tabs>
        <w:numPr>
          <w:ilvl w:val="0"/>
          <w:numId w:val="458"/>
        </w:numPr>
        <w:rPr>
          <w:rFonts w:ascii="Arial" w:cs="Arial" w:eastAsia="Arial" w:hAnsi="Arial"/>
          <w:sz w:val="18"/>
          <w:szCs w:val="18"/>
          <w:color w:val="auto"/>
        </w:rPr>
      </w:pPr>
      <w:r>
        <w:rPr>
          <w:rFonts w:ascii="Arial" w:cs="Arial" w:eastAsia="Arial" w:hAnsi="Arial"/>
          <w:sz w:val="18"/>
          <w:szCs w:val="18"/>
          <w:color w:val="auto"/>
        </w:rPr>
        <w:t xml:space="preserve">Landlord’s Agents and (b) </w:t>
      </w:r>
      <w:r>
        <w:rPr>
          <w:rFonts w:ascii="Arial" w:cs="Arial" w:eastAsia="Arial" w:hAnsi="Arial"/>
          <w:sz w:val="18"/>
          <w:szCs w:val="18"/>
          <w:u w:val="single" w:color="auto"/>
          <w:color w:val="auto"/>
        </w:rPr>
        <w:t>Landlord’s Insured Parties</w:t>
      </w:r>
      <w:r>
        <w:rPr>
          <w:rFonts w:ascii="Arial" w:cs="Arial" w:eastAsia="Arial" w:hAnsi="Arial"/>
          <w:sz w:val="18"/>
          <w:szCs w:val="18"/>
          <w:color w:val="auto"/>
        </w:rPr>
        <w:t xml:space="preserve">, from and against any and all claims, demands, expenses, losses, suits and damages (including reasonable attorneys’ fees) as may be occasioned by reason of Tenant’s holding over, including, without limiting the generality of the foregoing, any claims made by any succeeding tenant founded upon such failure to surrender and any lost profits to Landlord resulting therefrom. The provisions of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shall survive the expiration or earlier termination of this Lease.</w:t>
      </w:r>
    </w:p>
    <w:p>
      <w:pPr>
        <w:spacing w:after="0" w:line="30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u w:val="single" w:color="auto"/>
          <w:color w:val="auto"/>
        </w:rPr>
        <w:t>SECTION 40.</w:t>
      </w:r>
      <w:r>
        <w:rPr>
          <w:sz w:val="20"/>
          <w:szCs w:val="20"/>
          <w:color w:val="auto"/>
        </w:rPr>
        <w:tab/>
      </w:r>
      <w:r>
        <w:rPr>
          <w:rFonts w:ascii="Arial" w:cs="Arial" w:eastAsia="Arial" w:hAnsi="Arial"/>
          <w:sz w:val="17"/>
          <w:szCs w:val="17"/>
          <w:u w:val="single" w:color="auto"/>
          <w:color w:val="auto"/>
        </w:rPr>
        <w:t>BROKERS.</w:t>
      </w:r>
    </w:p>
    <w:p>
      <w:pPr>
        <w:spacing w:after="0" w:line="117"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 xml:space="preserve">Except for the Broker(s) listed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this Lease, each party represents and warrants to the other that they have not made any agreement or taken any action which may cause anyone to become entitled to a commission as a result of the transactions contemplated by this Lease, and each wilt indemnify and defend the other from any and alt claims, actual or threatened, for compensation by any such third person by reason of such party’s breach of their representation or warranty contained in this Lease. Landlord will pay any commission due to the Broker(s) hereunder pursuant to its separate agreement with the Broker(s) hereunder subject to execution and delivery of this Lease by Landlord and Tenant The provisions of this </w:t>
      </w:r>
      <w:r>
        <w:rPr>
          <w:rFonts w:ascii="Arial" w:cs="Arial" w:eastAsia="Arial" w:hAnsi="Arial"/>
          <w:sz w:val="17"/>
          <w:szCs w:val="17"/>
          <w:u w:val="single" w:color="auto"/>
          <w:color w:val="auto"/>
        </w:rPr>
        <w:t>Section 40</w:t>
      </w:r>
      <w:r>
        <w:rPr>
          <w:rFonts w:ascii="Arial" w:cs="Arial" w:eastAsia="Arial" w:hAnsi="Arial"/>
          <w:sz w:val="17"/>
          <w:szCs w:val="17"/>
          <w:color w:val="auto"/>
        </w:rPr>
        <w:t xml:space="preserve"> shall survive the expiration or earlier termination of this Lease.</w:t>
      </w:r>
    </w:p>
    <w:p>
      <w:pPr>
        <w:spacing w:after="0" w:line="286"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u w:val="single" w:color="auto"/>
          <w:color w:val="auto"/>
        </w:rPr>
        <w:t>SECTION 41.</w:t>
      </w:r>
      <w:r>
        <w:rPr>
          <w:sz w:val="20"/>
          <w:szCs w:val="20"/>
          <w:color w:val="auto"/>
        </w:rPr>
        <w:tab/>
      </w:r>
      <w:r>
        <w:rPr>
          <w:rFonts w:ascii="Arial" w:cs="Arial" w:eastAsia="Arial" w:hAnsi="Arial"/>
          <w:sz w:val="17"/>
          <w:szCs w:val="17"/>
          <w:u w:val="single" w:color="auto"/>
          <w:color w:val="auto"/>
        </w:rPr>
        <w:t>OFAC LIST</w:t>
      </w:r>
    </w:p>
    <w:p>
      <w:pPr>
        <w:spacing w:after="0" w:line="117" w:lineRule="exact"/>
        <w:rPr>
          <w:sz w:val="20"/>
          <w:szCs w:val="20"/>
          <w:color w:val="auto"/>
        </w:rPr>
      </w:pPr>
    </w:p>
    <w:p>
      <w:pPr>
        <w:ind w:left="4" w:right="40"/>
        <w:spacing w:after="0" w:line="287" w:lineRule="auto"/>
        <w:rPr>
          <w:sz w:val="20"/>
          <w:szCs w:val="20"/>
          <w:color w:val="auto"/>
        </w:rPr>
      </w:pPr>
      <w:r>
        <w:rPr>
          <w:rFonts w:ascii="Arial" w:cs="Arial" w:eastAsia="Arial" w:hAnsi="Arial"/>
          <w:sz w:val="16"/>
          <w:szCs w:val="16"/>
          <w:color w:val="auto"/>
        </w:rPr>
        <w:t>Tenant represents and warrants that it is not listed, nor is it owned or controlled by, or acting for or on behalf of any person or entity, on the list of Specialty Designated Nationals and Blocked Persons maintained by the Office of Foreign Assets Control of the United States Department of the Treasury, or any other list of persons or entities with whom Landlord is restricted from doing business with (“</w:t>
      </w:r>
      <w:r>
        <w:rPr>
          <w:rFonts w:ascii="Arial" w:cs="Arial" w:eastAsia="Arial" w:hAnsi="Arial"/>
          <w:sz w:val="16"/>
          <w:szCs w:val="16"/>
          <w:u w:val="single" w:color="auto"/>
          <w:color w:val="auto"/>
        </w:rPr>
        <w:t>OFAC List</w:t>
      </w:r>
      <w:r>
        <w:rPr>
          <w:rFonts w:ascii="Arial" w:cs="Arial" w:eastAsia="Arial" w:hAnsi="Arial"/>
          <w:sz w:val="16"/>
          <w:szCs w:val="16"/>
          <w:color w:val="auto"/>
        </w:rPr>
        <w:t xml:space="preserve">”). Notwithstanding anything to the contrary herein contained, Tenant shall not permit the Premises or any portion thereof to be used, occupied or operated by or for the benefit of any person or entity that is on the OFAC List Tenant shall provide documentary and other evidence of Tenant’s identity and ownership as may be reasonably requested by Landlord at any time to enable Landlord to verify Tenant’s identity in order to comply with any legal requirement or applicable laws. Tenant acknowledges and agrees that as a condition to the requirement or effectiveness of any consent to any Transfer by Landlord pursuant to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Tenant shall cause the Transferee, for the benefit of Landlord, to reaffirm, on behalf of such Transferee, the representations of, and to otherwise comply with the obligations set forth in,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and it shall be reasonable for Landlord to refuse to approve a Transfer in the absence of such reaffirmation and compliance. Tenant agrees that breach of the representations and warranties set forth in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at Landlord’s election be a default under this Lease for which there shall be no cure.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survive the termination or earlier expiration of the Lease.</w:t>
      </w:r>
    </w:p>
    <w:p>
      <w:pPr>
        <w:spacing w:after="0" w:line="28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u w:val="single" w:color="auto"/>
          <w:color w:val="auto"/>
        </w:rPr>
        <w:t>SECTION 42.</w:t>
      </w:r>
      <w:r>
        <w:rPr>
          <w:sz w:val="20"/>
          <w:szCs w:val="20"/>
          <w:color w:val="auto"/>
        </w:rPr>
        <w:tab/>
      </w:r>
      <w:r>
        <w:rPr>
          <w:rFonts w:ascii="Arial" w:cs="Arial" w:eastAsia="Arial" w:hAnsi="Arial"/>
          <w:sz w:val="17"/>
          <w:szCs w:val="17"/>
          <w:u w:val="single" w:color="auto"/>
          <w:color w:val="auto"/>
        </w:rPr>
        <w:t>GOVERNING LAW</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Lease shall be governed by the provisions hereof and by the laws of the Commonwealth of Massachusetts.</w:t>
      </w:r>
    </w:p>
    <w:p>
      <w:pPr>
        <w:spacing w:after="0" w:line="333"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u w:val="single" w:color="auto"/>
          <w:color w:val="auto"/>
        </w:rPr>
        <w:t>SECTION 43.</w:t>
      </w:r>
      <w:r>
        <w:rPr>
          <w:sz w:val="20"/>
          <w:szCs w:val="20"/>
          <w:color w:val="auto"/>
        </w:rPr>
        <w:tab/>
      </w:r>
      <w:r>
        <w:rPr>
          <w:rFonts w:ascii="Arial" w:cs="Arial" w:eastAsia="Arial" w:hAnsi="Arial"/>
          <w:sz w:val="17"/>
          <w:szCs w:val="17"/>
          <w:u w:val="single" w:color="auto"/>
          <w:color w:val="auto"/>
        </w:rPr>
        <w:t>FORCE MAJEURE</w:t>
      </w:r>
    </w:p>
    <w:p>
      <w:pPr>
        <w:spacing w:after="0" w:line="117"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In the event that either party shall be delayed or hindered in or prevented from the performance of actions required under this Lease, by reason of strikes, lockouts, labor troubles, inability to procure materials, failure of power, restrictive governmental laws or regulations, riots, insurrection, war, or other reasons of a like nature not the fault of the party delayed in performing work or doing the acts required (each an event of “</w:t>
      </w:r>
      <w:r>
        <w:rPr>
          <w:rFonts w:ascii="Arial" w:cs="Arial" w:eastAsia="Arial" w:hAnsi="Arial"/>
          <w:sz w:val="17"/>
          <w:szCs w:val="17"/>
          <w:u w:val="single" w:color="auto"/>
          <w:color w:val="auto"/>
        </w:rPr>
        <w:t>Force Majeure</w:t>
      </w:r>
      <w:r>
        <w:rPr>
          <w:rFonts w:ascii="Arial" w:cs="Arial" w:eastAsia="Arial" w:hAnsi="Arial"/>
          <w:sz w:val="17"/>
          <w:szCs w:val="17"/>
          <w:color w:val="auto"/>
        </w:rPr>
        <w:t>”), then performance of such act shall be excused for the period of the delay and the period for such party’s performance of any such act shall be extended for a period equivalent to the period of such delay. The provisions of this Section 43 shall in no event operate to excuse Tenant from the prompt payment of Base Rent or Additional Rent or excuse performance due to lack of funds. In any case where work is to be paid for out of insurance proceeds of condemnation awards, due allowance shall be made, both to the party required to perform such work and to the party required to make such payments, for delays in the collection of such proceeds or awards.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004"/>
          </w:cols>
          <w:pgMar w:left="436" w:top="273" w:right="459" w:bottom="1440" w:gutter="0" w:footer="0" w:header="0"/>
        </w:sectPr>
      </w:pPr>
    </w:p>
    <w:bookmarkStart w:id="606" w:name="page607"/>
    <w:bookmarkEnd w:id="606"/>
    <w:p>
      <w:pPr>
        <w:ind w:left="4"/>
        <w:spacing w:after="0"/>
        <w:tabs>
          <w:tab w:leader="none" w:pos="1184"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44.</w:t>
      </w:r>
      <w:r>
        <w:rPr>
          <w:sz w:val="20"/>
          <w:szCs w:val="20"/>
          <w:color w:val="auto"/>
        </w:rPr>
        <w:tab/>
      </w:r>
      <w:r>
        <w:rPr>
          <w:rFonts w:ascii="Arial" w:cs="Arial" w:eastAsia="Arial" w:hAnsi="Arial"/>
          <w:sz w:val="17"/>
          <w:szCs w:val="17"/>
          <w:u w:val="single" w:color="auto"/>
          <w:color w:val="auto"/>
        </w:rPr>
        <w:t>LEASE NOT TO BE RECORDED</w:t>
      </w:r>
      <w:r>
        <w:rPr>
          <w:rFonts w:ascii="Arial" w:cs="Arial" w:eastAsia="Arial" w:hAnsi="Arial"/>
          <w:sz w:val="17"/>
          <w:szCs w:val="17"/>
          <w:color w:val="auto"/>
        </w:rPr>
        <w:t>.</w:t>
      </w:r>
    </w:p>
    <w:p>
      <w:pPr>
        <w:spacing w:after="0" w:line="117"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Tenant agrees not to record this lease, but, if required by applicable law in order to protect Tenant’s interest in the Premises, each party hereto agrees, on the request of the other, to execute a so-called notice of lease or memorandum of lease in recordable form and complying with applicable law and reasonably satisfactory to Landlord’s attorneys. In no event shall such document set forth the Rent or other charges payable by Tenant under this Lease; and any such document shall expressly state that it is executed pursuant to the provisions contained in this Lease and is not intended to vary the terms, covenants and conditions of this Lease.</w:t>
      </w:r>
    </w:p>
    <w:p>
      <w:pPr>
        <w:spacing w:after="0" w:line="296"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u w:val="single" w:color="auto"/>
          <w:color w:val="auto"/>
        </w:rPr>
        <w:t>SECTION 45.</w:t>
      </w:r>
      <w:r>
        <w:rPr>
          <w:sz w:val="20"/>
          <w:szCs w:val="20"/>
          <w:color w:val="auto"/>
        </w:rPr>
        <w:tab/>
      </w:r>
      <w:r>
        <w:rPr>
          <w:rFonts w:ascii="Arial" w:cs="Arial" w:eastAsia="Arial" w:hAnsi="Arial"/>
          <w:sz w:val="17"/>
          <w:szCs w:val="17"/>
          <w:u w:val="single" w:color="auto"/>
          <w:color w:val="auto"/>
        </w:rPr>
        <w:t>LEASE NOT BINDING UNTIL EXECUTED AND DELIVERED</w:t>
      </w:r>
      <w:r>
        <w:rPr>
          <w:rFonts w:ascii="Arial" w:cs="Arial" w:eastAsia="Arial" w:hAnsi="Arial"/>
          <w:sz w:val="17"/>
          <w:szCs w:val="17"/>
          <w:color w:val="auto"/>
        </w:rPr>
        <w:t>.</w:t>
      </w:r>
    </w:p>
    <w:p>
      <w:pPr>
        <w:spacing w:after="0" w:line="117"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This Lease shall not bind Landlord unless and until it has been signed and delivered by Tenant (and Guarantor(s), if any), received and accepted by Landlord, and then countersigned and redelivered by Landlord to Tenant.</w:t>
      </w:r>
    </w:p>
    <w:p>
      <w:pPr>
        <w:spacing w:after="0" w:line="27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u w:val="single" w:color="auto"/>
          <w:color w:val="auto"/>
        </w:rPr>
        <w:t>SECTION 46.</w:t>
      </w:r>
      <w:r>
        <w:rPr>
          <w:sz w:val="20"/>
          <w:szCs w:val="20"/>
          <w:color w:val="auto"/>
        </w:rPr>
        <w:tab/>
      </w:r>
      <w:r>
        <w:rPr>
          <w:rFonts w:ascii="Arial" w:cs="Arial" w:eastAsia="Arial" w:hAnsi="Arial"/>
          <w:sz w:val="17"/>
          <w:szCs w:val="17"/>
          <w:u w:val="single" w:color="auto"/>
          <w:color w:val="auto"/>
        </w:rPr>
        <w:t>COUNTERPARTS; PDF EXECUTION</w:t>
      </w:r>
      <w:r>
        <w:rPr>
          <w:rFonts w:ascii="Arial" w:cs="Arial" w:eastAsia="Arial" w:hAnsi="Arial"/>
          <w:sz w:val="17"/>
          <w:szCs w:val="17"/>
          <w:color w:val="auto"/>
        </w:rPr>
        <w:t>.</w:t>
      </w:r>
    </w:p>
    <w:p>
      <w:pPr>
        <w:spacing w:after="0" w:line="117"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This Lease may be executed in counterparts, and such counterparts together shall constitute but one original of the Lease. Each counterpart shall be equally admissible in evidence, and each original shall fully bind each party who has executed it. Provided it is accompanied by the final version of this Lease (including all exhibits, if any), an executed signature page of this Lease delivered by facsimile or as a PDF or a similar attachment to an email shall constitute effective delivery of this Lease by the party so delivering the same for all purposes with the same force and effect as the delivery of an executed original counterpart.</w:t>
      </w:r>
    </w:p>
    <w:p>
      <w:pPr>
        <w:spacing w:after="0" w:line="296"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u w:val="single" w:color="auto"/>
          <w:color w:val="auto"/>
        </w:rPr>
        <w:t>SECTION 47.</w:t>
      </w:r>
      <w:r>
        <w:rPr>
          <w:sz w:val="20"/>
          <w:szCs w:val="20"/>
          <w:color w:val="auto"/>
        </w:rPr>
        <w:tab/>
      </w:r>
      <w:r>
        <w:rPr>
          <w:rFonts w:ascii="Arial" w:cs="Arial" w:eastAsia="Arial" w:hAnsi="Arial"/>
          <w:sz w:val="17"/>
          <w:szCs w:val="17"/>
          <w:u w:val="single" w:color="auto"/>
          <w:color w:val="auto"/>
        </w:rPr>
        <w:t>ENTIRE AGREEMENT’ AMENDMENT AND MODIFICATION</w:t>
      </w:r>
      <w:r>
        <w:rPr>
          <w:rFonts w:ascii="Arial" w:cs="Arial" w:eastAsia="Arial" w:hAnsi="Arial"/>
          <w:sz w:val="17"/>
          <w:szCs w:val="17"/>
          <w:color w:val="auto"/>
        </w:rPr>
        <w:t>.</w:t>
      </w:r>
    </w:p>
    <w:p>
      <w:pPr>
        <w:spacing w:after="0" w:line="117"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This Lease, including all Exhibits attached hereto, constitutes the entire agreement between the parties hereto with respect to the subject matter hereof, and supersedes all prior agreements and understandings between the parties, including all lease proposals, letters of intent and similar documents. This Lease may be modified only by a written agreement signed by both Landlord and Tenant.</w:t>
      </w:r>
    </w:p>
    <w:p>
      <w:pPr>
        <w:spacing w:after="0" w:line="29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u w:val="single" w:color="auto"/>
          <w:color w:val="auto"/>
        </w:rPr>
        <w:t>SECTION 48.</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117"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The obligations of this Lease shall be binding upon and inure to the benefit of the parties hereto and their respective successors and assigns; provided that Landlord and each successive owner of the Property shall be liable only for obligations accruing during the period of its ownership or interest in the Property, and from and after the transfer by Landlord or such successive owner of its ownership or other interest in the Property, Tenant shall look solely to the successors in title for the performance of Landlord’s obligations hereunder arising thereafter.</w:t>
      </w:r>
    </w:p>
    <w:p>
      <w:pPr>
        <w:spacing w:after="0" w:line="279"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u w:val="single" w:color="auto"/>
          <w:color w:val="auto"/>
        </w:rPr>
        <w:t>SECTION 49.</w:t>
      </w:r>
      <w:r>
        <w:rPr>
          <w:sz w:val="20"/>
          <w:szCs w:val="20"/>
          <w:color w:val="auto"/>
        </w:rPr>
        <w:tab/>
      </w:r>
      <w:r>
        <w:rPr>
          <w:rFonts w:ascii="Arial" w:cs="Arial" w:eastAsia="Arial" w:hAnsi="Arial"/>
          <w:sz w:val="18"/>
          <w:szCs w:val="18"/>
          <w:u w:val="single" w:color="auto"/>
          <w:color w:val="auto"/>
        </w:rPr>
        <w:t>AUTHORITY</w:t>
      </w:r>
      <w:r>
        <w:rPr>
          <w:rFonts w:ascii="Arial" w:cs="Arial" w:eastAsia="Arial" w:hAnsi="Arial"/>
          <w:sz w:val="18"/>
          <w:szCs w:val="18"/>
          <w:color w:val="auto"/>
        </w:rPr>
        <w:t>.</w:t>
      </w:r>
    </w:p>
    <w:p>
      <w:pPr>
        <w:spacing w:after="0" w:line="117" w:lineRule="exact"/>
        <w:rPr>
          <w:sz w:val="20"/>
          <w:szCs w:val="20"/>
          <w:color w:val="auto"/>
        </w:rPr>
      </w:pPr>
    </w:p>
    <w:p>
      <w:pPr>
        <w:ind w:left="4" w:right="20"/>
        <w:spacing w:after="0" w:line="311" w:lineRule="auto"/>
        <w:rPr>
          <w:sz w:val="20"/>
          <w:szCs w:val="20"/>
          <w:color w:val="auto"/>
        </w:rPr>
      </w:pPr>
      <w:r>
        <w:rPr>
          <w:rFonts w:ascii="Arial" w:cs="Arial" w:eastAsia="Arial" w:hAnsi="Arial"/>
          <w:sz w:val="16"/>
          <w:szCs w:val="16"/>
          <w:color w:val="auto"/>
        </w:rPr>
        <w:t>Each party represents and warrants that it is duly formed and in good standing, and has full corporate or partnership power and authority, as the case may be, to enter into this Lease and has taken all corporate or partnership action, as the case may be, necessary to carry out the transaction contemplated herein, so that when executed, this Lease constitutes a valid and binding obligation enforceable in accordance with its terms.</w:t>
      </w:r>
    </w:p>
    <w:p>
      <w:pPr>
        <w:spacing w:after="0" w:line="257"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u w:val="single" w:color="auto"/>
          <w:color w:val="auto"/>
        </w:rPr>
        <w:t>SECTION 50.</w:t>
      </w:r>
      <w:r>
        <w:rPr>
          <w:sz w:val="20"/>
          <w:szCs w:val="20"/>
          <w:color w:val="auto"/>
        </w:rPr>
        <w:tab/>
      </w:r>
      <w:r>
        <w:rPr>
          <w:rFonts w:ascii="Arial" w:cs="Arial" w:eastAsia="Arial" w:hAnsi="Arial"/>
          <w:sz w:val="17"/>
          <w:szCs w:val="17"/>
          <w:u w:val="single" w:color="auto"/>
          <w:color w:val="auto"/>
        </w:rPr>
        <w:t>EXTENSION OPTION</w:t>
      </w:r>
      <w:r>
        <w:rPr>
          <w:rFonts w:ascii="Arial" w:cs="Arial" w:eastAsia="Arial" w:hAnsi="Arial"/>
          <w:sz w:val="17"/>
          <w:szCs w:val="17"/>
          <w:color w:val="auto"/>
        </w:rPr>
        <w:t>.</w:t>
      </w:r>
    </w:p>
    <w:p>
      <w:pPr>
        <w:spacing w:after="0" w:line="117"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u w:val="single" w:color="auto"/>
          <w:color w:val="auto"/>
        </w:rPr>
        <w:t>Extension Option</w:t>
      </w:r>
      <w:r>
        <w:rPr>
          <w:rFonts w:ascii="Arial" w:cs="Arial" w:eastAsia="Arial" w:hAnsi="Arial"/>
          <w:sz w:val="16"/>
          <w:szCs w:val="16"/>
          <w:color w:val="auto"/>
        </w:rPr>
        <w:t>. Provided that Tenant shall not be in an Event of Default either at the time of the Extension Notice (as hereinafter defined) or at the commencement of the Extension Term (as hereinafter defined), beyond any applicable notice and grace period, Tenant shall have one (1) option (the “</w:t>
      </w:r>
      <w:r>
        <w:rPr>
          <w:rFonts w:ascii="Arial" w:cs="Arial" w:eastAsia="Arial" w:hAnsi="Arial"/>
          <w:sz w:val="16"/>
          <w:szCs w:val="16"/>
          <w:u w:val="single" w:color="auto"/>
          <w:color w:val="auto"/>
        </w:rPr>
        <w:t>Extension Option</w:t>
      </w:r>
      <w:r>
        <w:rPr>
          <w:rFonts w:ascii="Arial" w:cs="Arial" w:eastAsia="Arial" w:hAnsi="Arial"/>
          <w:sz w:val="16"/>
          <w:szCs w:val="16"/>
          <w:color w:val="auto"/>
        </w:rPr>
        <w:t>”) to extend the Term of this Lease for an additional sixty (60) months (the “</w:t>
      </w:r>
      <w:r>
        <w:rPr>
          <w:rFonts w:ascii="Arial" w:cs="Arial" w:eastAsia="Arial" w:hAnsi="Arial"/>
          <w:sz w:val="16"/>
          <w:szCs w:val="16"/>
          <w:u w:val="single" w:color="auto"/>
          <w:color w:val="auto"/>
        </w:rPr>
        <w:t>Extension Term</w:t>
      </w:r>
      <w:r>
        <w:rPr>
          <w:rFonts w:ascii="Arial" w:cs="Arial" w:eastAsia="Arial" w:hAnsi="Arial"/>
          <w:sz w:val="16"/>
          <w:szCs w:val="16"/>
          <w:color w:val="auto"/>
        </w:rPr>
        <w:t>”). Tenant must exercise the Extension Option by providing written notice of election to Landlord (the “</w:t>
      </w:r>
      <w:r>
        <w:rPr>
          <w:rFonts w:ascii="Arial" w:cs="Arial" w:eastAsia="Arial" w:hAnsi="Arial"/>
          <w:sz w:val="16"/>
          <w:szCs w:val="16"/>
          <w:u w:val="single" w:color="auto"/>
          <w:color w:val="auto"/>
        </w:rPr>
        <w:t>Extension Notice</w:t>
      </w:r>
      <w:r>
        <w:rPr>
          <w:rFonts w:ascii="Arial" w:cs="Arial" w:eastAsia="Arial" w:hAnsi="Arial"/>
          <w:sz w:val="16"/>
          <w:szCs w:val="16"/>
          <w:color w:val="auto"/>
        </w:rPr>
        <w:t>”) no more than fifteen (15) months and no less than twelve</w:t>
      </w:r>
    </w:p>
    <w:p>
      <w:pPr>
        <w:spacing w:after="0" w:line="1" w:lineRule="exact"/>
        <w:rPr>
          <w:sz w:val="20"/>
          <w:szCs w:val="20"/>
          <w:color w:val="auto"/>
        </w:rPr>
      </w:pPr>
    </w:p>
    <w:p>
      <w:pPr>
        <w:ind w:left="344" w:hanging="344"/>
        <w:spacing w:after="0"/>
        <w:tabs>
          <w:tab w:leader="none" w:pos="344" w:val="left"/>
        </w:tabs>
        <w:numPr>
          <w:ilvl w:val="0"/>
          <w:numId w:val="459"/>
        </w:numPr>
        <w:rPr>
          <w:rFonts w:ascii="Arial" w:cs="Arial" w:eastAsia="Arial" w:hAnsi="Arial"/>
          <w:sz w:val="18"/>
          <w:szCs w:val="18"/>
          <w:color w:val="auto"/>
        </w:rPr>
      </w:pPr>
      <w:r>
        <w:rPr>
          <w:rFonts w:ascii="Arial" w:cs="Arial" w:eastAsia="Arial" w:hAnsi="Arial"/>
          <w:sz w:val="18"/>
          <w:szCs w:val="18"/>
          <w:color w:val="auto"/>
        </w:rPr>
        <w:t>months prior to the scheduled expiration of the Term of this Lease. The Annual Base Rent in and for the</w:t>
      </w:r>
    </w:p>
    <w:p>
      <w:pPr>
        <w:spacing w:after="0" w:line="143" w:lineRule="exact"/>
        <w:rPr>
          <w:rFonts w:ascii="Arial" w:cs="Arial" w:eastAsia="Arial" w:hAnsi="Arial"/>
          <w:sz w:val="18"/>
          <w:szCs w:val="18"/>
          <w:color w:val="auto"/>
        </w:rPr>
      </w:pPr>
    </w:p>
    <w:p>
      <w:pPr>
        <w:ind w:left="5424" w:hanging="111"/>
        <w:spacing w:after="0"/>
        <w:tabs>
          <w:tab w:leader="none" w:pos="5424" w:val="left"/>
        </w:tabs>
        <w:numPr>
          <w:ilvl w:val="1"/>
          <w:numId w:val="459"/>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0984"/>
          </w:cols>
          <w:pgMar w:left="436" w:top="273" w:right="479" w:bottom="1440" w:gutter="0" w:footer="0" w:header="0"/>
        </w:sectPr>
      </w:pPr>
    </w:p>
    <w:bookmarkStart w:id="607" w:name="page608"/>
    <w:bookmarkEnd w:id="607"/>
    <w:p>
      <w:pPr>
        <w:ind w:left="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Extension Term shall be one hundred percent (100%) of the Fair Market Base Rent (as hereinafter defined). All other terms of this Lease shall apply during the Extension Term. If Tenant shall fail to send the Extension Notice within the time period herein provided, the Extension Option shall cease to exist and terminate, and Tenant shall have no further opportunity to exercise the Extension Option.</w:t>
      </w:r>
    </w:p>
    <w:p>
      <w:pPr>
        <w:spacing w:after="0" w:line="184"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Fair Market Base Rent</w:t>
      </w:r>
      <w:r>
        <w:rPr>
          <w:rFonts w:ascii="Arial" w:cs="Arial" w:eastAsia="Arial" w:hAnsi="Arial"/>
          <w:sz w:val="18"/>
          <w:szCs w:val="18"/>
          <w:color w:val="auto"/>
        </w:rPr>
        <w:t>. As used herein, “</w:t>
      </w:r>
      <w:r>
        <w:rPr>
          <w:rFonts w:ascii="Arial" w:cs="Arial" w:eastAsia="Arial" w:hAnsi="Arial"/>
          <w:sz w:val="18"/>
          <w:szCs w:val="18"/>
          <w:u w:val="single" w:color="auto"/>
          <w:color w:val="auto"/>
        </w:rPr>
        <w:t>Fair Market Base Rent”</w:t>
      </w:r>
      <w:r>
        <w:rPr>
          <w:rFonts w:ascii="Arial" w:cs="Arial" w:eastAsia="Arial" w:hAnsi="Arial"/>
          <w:sz w:val="18"/>
          <w:szCs w:val="18"/>
          <w:color w:val="auto"/>
        </w:rPr>
        <w:t xml:space="preserve"> shall mean the Annual Base Rent which Landlord could reasonably expect to obtain from a third party for the Premises if Landlord put the same on the market for lease in “as is” condition for a term corresponding to the term offered hereunder; provided, however, that in no event shall the Fair Market Base Rent be less than the Annual Base Rent in effect during the year immediately preceding the Extension Term.</w:t>
      </w:r>
    </w:p>
    <w:p>
      <w:pPr>
        <w:spacing w:after="0" w:line="187"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 xml:space="preserve">50.3 </w:t>
      </w:r>
      <w:r>
        <w:rPr>
          <w:rFonts w:ascii="Arial" w:cs="Arial" w:eastAsia="Arial" w:hAnsi="Arial"/>
          <w:sz w:val="16"/>
          <w:szCs w:val="16"/>
          <w:u w:val="single" w:color="auto"/>
          <w:color w:val="auto"/>
        </w:rPr>
        <w:t>Rent Proposal</w:t>
      </w:r>
      <w:r>
        <w:rPr>
          <w:rFonts w:ascii="Arial" w:cs="Arial" w:eastAsia="Arial" w:hAnsi="Arial"/>
          <w:sz w:val="16"/>
          <w:szCs w:val="16"/>
          <w:color w:val="auto"/>
        </w:rPr>
        <w:t>. Fair Market Base Rent shall be determined as follows: Landlord shall, within thirty (30) days after receipt of the Extension Notice propose in writing to Tenant the Fair Market Base Rent to be paid by Tenant during the Extension Term (the “</w:t>
      </w:r>
      <w:r>
        <w:rPr>
          <w:rFonts w:ascii="Arial" w:cs="Arial" w:eastAsia="Arial" w:hAnsi="Arial"/>
          <w:sz w:val="16"/>
          <w:szCs w:val="16"/>
          <w:u w:val="single" w:color="auto"/>
          <w:color w:val="auto"/>
        </w:rPr>
        <w:t>Rent Proposal</w:t>
      </w:r>
      <w:r>
        <w:rPr>
          <w:rFonts w:ascii="Arial" w:cs="Arial" w:eastAsia="Arial" w:hAnsi="Arial"/>
          <w:sz w:val="16"/>
          <w:szCs w:val="16"/>
          <w:color w:val="auto"/>
        </w:rPr>
        <w:t>”). Tenant shall have thirty</w:t>
      </w:r>
    </w:p>
    <w:p>
      <w:pPr>
        <w:ind w:left="4" w:right="220" w:hanging="4"/>
        <w:spacing w:after="0" w:line="281" w:lineRule="auto"/>
        <w:tabs>
          <w:tab w:leader="none" w:pos="349" w:val="left"/>
        </w:tabs>
        <w:numPr>
          <w:ilvl w:val="0"/>
          <w:numId w:val="460"/>
        </w:numPr>
        <w:rPr>
          <w:rFonts w:ascii="Arial" w:cs="Arial" w:eastAsia="Arial" w:hAnsi="Arial"/>
          <w:sz w:val="16"/>
          <w:szCs w:val="16"/>
          <w:color w:val="auto"/>
        </w:rPr>
      </w:pPr>
      <w:r>
        <w:rPr>
          <w:rFonts w:ascii="Arial" w:cs="Arial" w:eastAsia="Arial" w:hAnsi="Arial"/>
          <w:sz w:val="16"/>
          <w:szCs w:val="16"/>
          <w:color w:val="auto"/>
        </w:rPr>
        <w:t>days from receipt of Landlord’s Rent Proposal to either accept or reject Landlord’s Rent Proposal. If Tenant objects to Landlord’s Rent Proposal, Tenant shall notify Landlord of such objection in writing (the “</w:t>
      </w:r>
      <w:r>
        <w:rPr>
          <w:rFonts w:ascii="Arial" w:cs="Arial" w:eastAsia="Arial" w:hAnsi="Arial"/>
          <w:sz w:val="16"/>
          <w:szCs w:val="16"/>
          <w:u w:val="single" w:color="auto"/>
          <w:color w:val="auto"/>
        </w:rPr>
        <w:t>Objection Notice</w:t>
      </w:r>
      <w:r>
        <w:rPr>
          <w:rFonts w:ascii="Arial" w:cs="Arial" w:eastAsia="Arial" w:hAnsi="Arial"/>
          <w:sz w:val="16"/>
          <w:szCs w:val="16"/>
          <w:color w:val="auto"/>
        </w:rPr>
        <w:t>”). If Tenant shall fail to send the Objection Notice within the thirty</w:t>
      </w:r>
    </w:p>
    <w:p>
      <w:pPr>
        <w:spacing w:after="0" w:line="1" w:lineRule="exact"/>
        <w:rPr>
          <w:rFonts w:ascii="Arial" w:cs="Arial" w:eastAsia="Arial" w:hAnsi="Arial"/>
          <w:sz w:val="16"/>
          <w:szCs w:val="16"/>
          <w:color w:val="auto"/>
        </w:rPr>
      </w:pPr>
    </w:p>
    <w:p>
      <w:pPr>
        <w:ind w:left="344" w:hanging="344"/>
        <w:spacing w:after="0"/>
        <w:tabs>
          <w:tab w:leader="none" w:pos="344" w:val="left"/>
        </w:tabs>
        <w:numPr>
          <w:ilvl w:val="0"/>
          <w:numId w:val="461"/>
        </w:numPr>
        <w:rPr>
          <w:rFonts w:ascii="Arial" w:cs="Arial" w:eastAsia="Arial" w:hAnsi="Arial"/>
          <w:sz w:val="18"/>
          <w:szCs w:val="18"/>
          <w:color w:val="auto"/>
        </w:rPr>
      </w:pPr>
      <w:r>
        <w:rPr>
          <w:rFonts w:ascii="Arial" w:cs="Arial" w:eastAsia="Arial" w:hAnsi="Arial"/>
          <w:sz w:val="18"/>
          <w:szCs w:val="18"/>
          <w:color w:val="auto"/>
        </w:rPr>
        <w:t>day time period herein provided, Tenant shall be deemed to have accepted Landlord’s Rent Proposal.</w:t>
      </w:r>
    </w:p>
    <w:p>
      <w:pPr>
        <w:spacing w:after="0" w:line="211" w:lineRule="exact"/>
        <w:rPr>
          <w:sz w:val="20"/>
          <w:szCs w:val="20"/>
          <w:color w:val="auto"/>
        </w:rPr>
      </w:pPr>
    </w:p>
    <w:p>
      <w:pPr>
        <w:ind w:left="4" w:right="60"/>
        <w:spacing w:after="0" w:line="269" w:lineRule="auto"/>
        <w:rPr>
          <w:sz w:val="20"/>
          <w:szCs w:val="20"/>
          <w:color w:val="auto"/>
        </w:rPr>
      </w:pPr>
      <w:r>
        <w:rPr>
          <w:rFonts w:ascii="Arial" w:cs="Arial" w:eastAsia="Arial" w:hAnsi="Arial"/>
          <w:sz w:val="17"/>
          <w:szCs w:val="17"/>
          <w:color w:val="auto"/>
        </w:rPr>
        <w:t xml:space="preserve">50.4 </w:t>
      </w:r>
      <w:r>
        <w:rPr>
          <w:rFonts w:ascii="Arial" w:cs="Arial" w:eastAsia="Arial" w:hAnsi="Arial"/>
          <w:sz w:val="17"/>
          <w:szCs w:val="17"/>
          <w:u w:val="single" w:color="auto"/>
          <w:color w:val="auto"/>
        </w:rPr>
        <w:t>Arbitration Process</w:t>
      </w:r>
      <w:r>
        <w:rPr>
          <w:rFonts w:ascii="Arial" w:cs="Arial" w:eastAsia="Arial" w:hAnsi="Arial"/>
          <w:sz w:val="17"/>
          <w:szCs w:val="17"/>
          <w:color w:val="auto"/>
        </w:rPr>
        <w:t>. If Tenant delivers the Objection Notice, both Landlord and Tenant shall engage in discussions regarding the Fair Market Base Rent for a period of up to thirty (30) days. If the parties cannot agree, both Landlord and Tenant shall each appoint a qualified independent real estate broker having at least ten (10) years’ experience dealing with similar properties in downtown Boston (and upon the failure or refusal of Landlord or Tenant to make such appointment within twenty (20) days after receipt of Tenant’s Objection Notice, the broker appointed by the other party shall determine the Fair Market Base Rent). The two brokers so appointed shall, within ten (10) days after the appointment of the second broker, appoint a third qualified independent real estate broker having at least ten (10) years’ experience dealing with similar properties in downtown Boston. Landlord and Tenant shall each bear the cost of their respectively appointed brokers. Landlord and Tenant shall equally bear the cost of the third broker. The third broker must not have undertaken work on behalf of either party or any affiliate of either party during the three (3) year period prior to his or her selection. The three brokers shall each make a determination of the Fair Market Base Rent for the Premises; the opinion farthest from the average of all three brokers will be disregarded; and the two remaining opinions will be averaged to obtain the Fair Market Base Rent, which shall be deemed the Annual Base Rent to be paid by Tenant to Landlord during the Extension Term. Such payments shall be made monthly in the same manner provided during the original Term of this Lease.</w:t>
      </w:r>
    </w:p>
    <w:p>
      <w:pPr>
        <w:spacing w:after="0" w:line="179"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Lease Amendment</w:t>
      </w:r>
      <w:r>
        <w:rPr>
          <w:rFonts w:ascii="Arial" w:cs="Arial" w:eastAsia="Arial" w:hAnsi="Arial"/>
          <w:sz w:val="18"/>
          <w:szCs w:val="18"/>
          <w:color w:val="auto"/>
        </w:rPr>
        <w:t>. In the event Tenant successfully exercises its Extension Option as described herein, Tenant and Landlord shall cooperate with each other to execute and deliver an amendment to this Lease which contains all of the terms and conditions necessary to incorporate the Extension Term into this Lease.</w:t>
      </w:r>
    </w:p>
    <w:p>
      <w:pPr>
        <w:spacing w:after="0" w:line="184"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 xml:space="preserve">50.6 </w:t>
      </w:r>
      <w:r>
        <w:rPr>
          <w:rFonts w:ascii="Arial" w:cs="Arial" w:eastAsia="Arial" w:hAnsi="Arial"/>
          <w:sz w:val="18"/>
          <w:szCs w:val="18"/>
          <w:u w:val="single" w:color="auto"/>
          <w:color w:val="auto"/>
        </w:rPr>
        <w:t>No Transfer</w:t>
      </w:r>
      <w:r>
        <w:rPr>
          <w:rFonts w:ascii="Arial" w:cs="Arial" w:eastAsia="Arial" w:hAnsi="Arial"/>
          <w:sz w:val="18"/>
          <w:szCs w:val="18"/>
          <w:color w:val="auto"/>
        </w:rPr>
        <w:t xml:space="preserve">. Except in the event of a Permitted Transfer, Tenant may not assign, mortgage, pledge, encumber or otherwise transfer its interest or rights under </w:t>
      </w:r>
      <w:r>
        <w:rPr>
          <w:rFonts w:ascii="Arial" w:cs="Arial" w:eastAsia="Arial" w:hAnsi="Arial"/>
          <w:sz w:val="18"/>
          <w:szCs w:val="18"/>
          <w:u w:val="single" w:color="auto"/>
          <w:color w:val="auto"/>
        </w:rPr>
        <w:t>Section 50</w:t>
      </w:r>
      <w:r>
        <w:rPr>
          <w:rFonts w:ascii="Arial" w:cs="Arial" w:eastAsia="Arial" w:hAnsi="Arial"/>
          <w:sz w:val="18"/>
          <w:szCs w:val="18"/>
          <w:color w:val="auto"/>
        </w:rPr>
        <w:t xml:space="preserve">, and any such purported transfer or attempted transfer shall be null and void and without effect, shall terminate Tenant’s rights under </w:t>
      </w:r>
      <w:r>
        <w:rPr>
          <w:rFonts w:ascii="Arial" w:cs="Arial" w:eastAsia="Arial" w:hAnsi="Arial"/>
          <w:sz w:val="18"/>
          <w:szCs w:val="18"/>
          <w:u w:val="single" w:color="auto"/>
          <w:color w:val="auto"/>
        </w:rPr>
        <w:t>Section 50</w:t>
      </w:r>
      <w:r>
        <w:rPr>
          <w:rFonts w:ascii="Arial" w:cs="Arial" w:eastAsia="Arial" w:hAnsi="Arial"/>
          <w:sz w:val="18"/>
          <w:szCs w:val="18"/>
          <w:color w:val="auto"/>
        </w:rPr>
        <w:t>, and shall constitute an Event of Default under this Lease.</w:t>
      </w:r>
    </w:p>
    <w:p>
      <w:pPr>
        <w:spacing w:after="0" w:line="29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u w:val="single" w:color="auto"/>
          <w:color w:val="auto"/>
        </w:rPr>
        <w:t>SECTION 51.</w:t>
      </w:r>
      <w:r>
        <w:rPr>
          <w:sz w:val="20"/>
          <w:szCs w:val="20"/>
          <w:color w:val="auto"/>
        </w:rPr>
        <w:tab/>
      </w:r>
      <w:r>
        <w:rPr>
          <w:rFonts w:ascii="Arial" w:cs="Arial" w:eastAsia="Arial" w:hAnsi="Arial"/>
          <w:sz w:val="16"/>
          <w:szCs w:val="16"/>
          <w:u w:val="single" w:color="auto"/>
          <w:color w:val="auto"/>
        </w:rPr>
        <w:t>RIGHT OF FIRST OFFER</w:t>
      </w:r>
      <w:r>
        <w:rPr>
          <w:rFonts w:ascii="Arial" w:cs="Arial" w:eastAsia="Arial" w:hAnsi="Arial"/>
          <w:sz w:val="16"/>
          <w:szCs w:val="16"/>
          <w:color w:val="auto"/>
        </w:rPr>
        <w:t>.</w:t>
      </w:r>
    </w:p>
    <w:p>
      <w:pPr>
        <w:spacing w:after="0" w:line="117" w:lineRule="exact"/>
        <w:rPr>
          <w:sz w:val="20"/>
          <w:szCs w:val="20"/>
          <w:color w:val="auto"/>
        </w:rPr>
      </w:pPr>
    </w:p>
    <w:p>
      <w:pPr>
        <w:ind w:left="4" w:right="240"/>
        <w:spacing w:after="0" w:line="291"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Provided that (a) Tenant shall not be in an Event of Default either at the time of Landlord’s Notice of ROFO Premises (as hereinafter defined) or at the time Landlord delivers the ROFO Premises (as hereinafter defined), beyond any applicable notice and grace period, and</w:t>
      </w:r>
    </w:p>
    <w:p>
      <w:pPr>
        <w:ind w:left="4" w:right="120" w:hanging="4"/>
        <w:spacing w:after="0" w:line="255" w:lineRule="auto"/>
        <w:tabs>
          <w:tab w:leader="none" w:pos="256"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Tenant has not assigned this Lease or sublet the Premises except pursuant to a Permitted Transfer, Tenant shall have a right of first offer (“</w:t>
      </w:r>
      <w:r>
        <w:rPr>
          <w:rFonts w:ascii="Arial" w:cs="Arial" w:eastAsia="Arial" w:hAnsi="Arial"/>
          <w:sz w:val="18"/>
          <w:szCs w:val="18"/>
          <w:u w:val="single" w:color="auto"/>
          <w:color w:val="auto"/>
        </w:rPr>
        <w:t>ROFO</w:t>
      </w:r>
      <w:r>
        <w:rPr>
          <w:rFonts w:ascii="Arial" w:cs="Arial" w:eastAsia="Arial" w:hAnsi="Arial"/>
          <w:sz w:val="18"/>
          <w:szCs w:val="18"/>
          <w:color w:val="auto"/>
        </w:rPr>
        <w:t>”), subject to any pre-existing rights, to lease any space that becomes available on the ninth (9</w:t>
      </w:r>
      <w:r>
        <w:rPr>
          <w:rFonts w:ascii="Arial" w:cs="Arial" w:eastAsia="Arial" w:hAnsi="Arial"/>
          <w:sz w:val="15"/>
          <w:szCs w:val="15"/>
          <w:color w:val="auto"/>
        </w:rPr>
        <w:t>th</w:t>
      </w:r>
      <w:r>
        <w:rPr>
          <w:rFonts w:ascii="Arial" w:cs="Arial" w:eastAsia="Arial" w:hAnsi="Arial"/>
          <w:sz w:val="18"/>
          <w:szCs w:val="18"/>
          <w:color w:val="auto"/>
        </w:rPr>
        <w:t>) floor or the eleventh (11</w:t>
      </w:r>
      <w:r>
        <w:rPr>
          <w:rFonts w:ascii="Arial" w:cs="Arial" w:eastAsia="Arial" w:hAnsi="Arial"/>
          <w:sz w:val="15"/>
          <w:szCs w:val="15"/>
          <w:color w:val="auto"/>
        </w:rPr>
        <w:t>th</w:t>
      </w:r>
      <w:r>
        <w:rPr>
          <w:rFonts w:ascii="Arial" w:cs="Arial" w:eastAsia="Arial" w:hAnsi="Arial"/>
          <w:sz w:val="18"/>
          <w:szCs w:val="18"/>
          <w:color w:val="auto"/>
        </w:rPr>
        <w:t>) floor of the Building (collectively, the “</w:t>
      </w:r>
      <w:r>
        <w:rPr>
          <w:rFonts w:ascii="Arial" w:cs="Arial" w:eastAsia="Arial" w:hAnsi="Arial"/>
          <w:sz w:val="18"/>
          <w:szCs w:val="18"/>
          <w:u w:val="single" w:color="auto"/>
          <w:color w:val="auto"/>
        </w:rPr>
        <w:t>ROFO Premises</w:t>
      </w:r>
      <w:r>
        <w:rPr>
          <w:rFonts w:ascii="Arial" w:cs="Arial" w:eastAsia="Arial" w:hAnsi="Arial"/>
          <w:sz w:val="18"/>
          <w:szCs w:val="18"/>
          <w:color w:val="auto"/>
        </w:rPr>
        <w:t>”).</w:t>
      </w:r>
    </w:p>
    <w:p>
      <w:pPr>
        <w:spacing w:after="0" w:line="122" w:lineRule="exact"/>
        <w:rPr>
          <w:rFonts w:ascii="Arial" w:cs="Arial" w:eastAsia="Arial" w:hAnsi="Arial"/>
          <w:sz w:val="18"/>
          <w:szCs w:val="18"/>
          <w:color w:val="auto"/>
        </w:rPr>
      </w:pPr>
    </w:p>
    <w:p>
      <w:pPr>
        <w:ind w:left="5424" w:hanging="111"/>
        <w:spacing w:after="0"/>
        <w:tabs>
          <w:tab w:leader="none" w:pos="5424" w:val="left"/>
        </w:tabs>
        <w:numPr>
          <w:ilvl w:val="1"/>
          <w:numId w:val="462"/>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0984"/>
          </w:cols>
          <w:pgMar w:left="436" w:top="273" w:right="479" w:bottom="1440" w:gutter="0" w:footer="0" w:header="0"/>
        </w:sectPr>
      </w:pPr>
    </w:p>
    <w:bookmarkStart w:id="608" w:name="page609"/>
    <w:bookmarkEnd w:id="608"/>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51.2 </w:t>
      </w:r>
      <w:r>
        <w:rPr>
          <w:rFonts w:ascii="Arial" w:cs="Arial" w:eastAsia="Arial" w:hAnsi="Arial"/>
          <w:sz w:val="18"/>
          <w:szCs w:val="18"/>
          <w:u w:val="single" w:color="auto"/>
          <w:color w:val="auto"/>
        </w:rPr>
        <w:t>Landlord’s Notice of ROFO Premises</w:t>
      </w:r>
      <w:r>
        <w:rPr>
          <w:rFonts w:ascii="Arial" w:cs="Arial" w:eastAsia="Arial" w:hAnsi="Arial"/>
          <w:sz w:val="18"/>
          <w:szCs w:val="18"/>
          <w:color w:val="auto"/>
        </w:rPr>
        <w:t>. Before Landlord offers to lease the ROFO Premises to a third party, Landlord shall offer to lease such space to Tenant in writing (“</w:t>
      </w:r>
      <w:r>
        <w:rPr>
          <w:rFonts w:ascii="Arial" w:cs="Arial" w:eastAsia="Arial" w:hAnsi="Arial"/>
          <w:sz w:val="18"/>
          <w:szCs w:val="18"/>
          <w:u w:val="single" w:color="auto"/>
          <w:color w:val="auto"/>
        </w:rPr>
        <w:t>Landlord’s Notice of ROFO Premises</w:t>
      </w:r>
      <w:r>
        <w:rPr>
          <w:rFonts w:ascii="Arial" w:cs="Arial" w:eastAsia="Arial" w:hAnsi="Arial"/>
          <w:sz w:val="18"/>
          <w:szCs w:val="18"/>
          <w:color w:val="auto"/>
        </w:rPr>
        <w:t>”), which notice shall (a) identify the portion of the ROFO Premises then offered (the “</w:t>
      </w:r>
      <w:r>
        <w:rPr>
          <w:rFonts w:ascii="Arial" w:cs="Arial" w:eastAsia="Arial" w:hAnsi="Arial"/>
          <w:sz w:val="18"/>
          <w:szCs w:val="18"/>
          <w:u w:val="single" w:color="auto"/>
          <w:color w:val="auto"/>
        </w:rPr>
        <w:t>Offered Premises</w:t>
      </w:r>
      <w:r>
        <w:rPr>
          <w:rFonts w:ascii="Arial" w:cs="Arial" w:eastAsia="Arial" w:hAnsi="Arial"/>
          <w:sz w:val="18"/>
          <w:szCs w:val="18"/>
          <w:color w:val="auto"/>
        </w:rPr>
        <w:t xml:space="preserve">”), (b) list the date upon which the Offered Premises is anticipated to be available for occupancy, and (c) list Landlord’s determination of the Fair Market Base Rent for the Offered Premises. Tenant shall have ten (10) Business Days from receipt of Landlord’s Notice of ROFO Premises to accept all of the terms and conditions set forth in Landlord’s Notice of ROFO Premises by notifying Landlord, in writing, of its intent to lease the Offered Premises on said terms and conditions, including the Base Rent and Additional Rent set forth therein. Tenant acknowledges and agrees that time shall be of the essence in accepting Landlord’s Notice of ROFO Premises, and the arbitration process described in </w:t>
      </w:r>
      <w:r>
        <w:rPr>
          <w:rFonts w:ascii="Arial" w:cs="Arial" w:eastAsia="Arial" w:hAnsi="Arial"/>
          <w:sz w:val="18"/>
          <w:szCs w:val="18"/>
          <w:u w:val="single" w:color="auto"/>
          <w:color w:val="auto"/>
        </w:rPr>
        <w:t>Section 50</w:t>
      </w:r>
      <w:r>
        <w:rPr>
          <w:rFonts w:ascii="Arial" w:cs="Arial" w:eastAsia="Arial" w:hAnsi="Arial"/>
          <w:sz w:val="18"/>
          <w:szCs w:val="18"/>
          <w:color w:val="auto"/>
        </w:rPr>
        <w:t xml:space="preserve"> shall have no applicability to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9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Failure to Notify; Economic Terms</w:t>
      </w:r>
      <w:r>
        <w:rPr>
          <w:rFonts w:ascii="Arial" w:cs="Arial" w:eastAsia="Arial" w:hAnsi="Arial"/>
          <w:sz w:val="16"/>
          <w:szCs w:val="16"/>
          <w:color w:val="auto"/>
        </w:rPr>
        <w:t>. If Tenant fails to notify Landlord of its intent to lease the Offered Premises as provided for herein, Tenant’s right to lease the Offered Premises shall terminate (it being understood that Tenant’s right to lease the Offered Premises is a one-time right for Tenant), and Landlord shall have no further obligation to lease the Offered Premises to Tenant and may lease the Offered Premises (or any portion thereof) to another party upon such terms and conditions as Landlord may deem appropriate, free and clear of any rights in favor of Tenant contained herein. Notwithstanding the foregoing, prior to Landlord entering into a lease of the Offered Premises with a third party on Economic Terms (as hereinafter defined) that are more than ten percent (10%) more favorable to such third party than the most favorable Economic Terms offered by Landlord to Tenant, Landlord shall deliver a second notice to Tenant (“</w:t>
      </w:r>
      <w:r>
        <w:rPr>
          <w:rFonts w:ascii="Arial" w:cs="Arial" w:eastAsia="Arial" w:hAnsi="Arial"/>
          <w:sz w:val="16"/>
          <w:szCs w:val="16"/>
          <w:u w:val="single" w:color="auto"/>
          <w:color w:val="auto"/>
        </w:rPr>
        <w:t>Landlord’s Second Notice of ROFO Premises</w:t>
      </w:r>
      <w:r>
        <w:rPr>
          <w:rFonts w:ascii="Arial" w:cs="Arial" w:eastAsia="Arial" w:hAnsi="Arial"/>
          <w:sz w:val="16"/>
          <w:szCs w:val="16"/>
          <w:color w:val="auto"/>
        </w:rPr>
        <w:t xml:space="preserve">”) with respect to such Offered Premises (and Landlord’s Second Notice of ROFO Premises shall contain the more favorable Economic Terms). Tenant shall have the same rights with respect to Landlord’s Second Notice of ROFO Premises as it had with respect to the initial notice except that Tenant shall have five (5) Business Days from receipt of Landlord’s Second Notice of ROFO Premises to accept all of the terms and conditions set forth in Landlord’s Second Notice of ROFO Premises. As used in this </w:t>
      </w:r>
      <w:r>
        <w:rPr>
          <w:rFonts w:ascii="Arial" w:cs="Arial" w:eastAsia="Arial" w:hAnsi="Arial"/>
          <w:sz w:val="16"/>
          <w:szCs w:val="16"/>
          <w:u w:val="single" w:color="auto"/>
          <w:color w:val="auto"/>
        </w:rPr>
        <w:t>Section 51.3</w:t>
      </w:r>
      <w:r>
        <w:rPr>
          <w:rFonts w:ascii="Arial" w:cs="Arial" w:eastAsia="Arial" w:hAnsi="Arial"/>
          <w:sz w:val="16"/>
          <w:szCs w:val="16"/>
          <w:color w:val="auto"/>
        </w:rPr>
        <w:t>, “</w:t>
      </w:r>
      <w:r>
        <w:rPr>
          <w:rFonts w:ascii="Arial" w:cs="Arial" w:eastAsia="Arial" w:hAnsi="Arial"/>
          <w:sz w:val="16"/>
          <w:szCs w:val="16"/>
          <w:u w:val="single" w:color="auto"/>
          <w:color w:val="auto"/>
        </w:rPr>
        <w:t>Economic Terms</w:t>
      </w:r>
      <w:r>
        <w:rPr>
          <w:rFonts w:ascii="Arial" w:cs="Arial" w:eastAsia="Arial" w:hAnsi="Arial"/>
          <w:sz w:val="16"/>
          <w:szCs w:val="16"/>
          <w:color w:val="auto"/>
        </w:rPr>
        <w:t>” shall refer to the net, aggregated cost to Tenant or another party, on a present value basis, of the effect of the following terms for the Offered Premises: (a) the rental rate (including Additional Rent and considering any “base year” or “expense stop” applicable thereto); (b) the amount of any improvement allowance or the value of any work to be performed by Landlord in connection with the lease of the Offered Premises (which amount is a deduction from the cost to Tenant or such other party); and (c) the amount of free rent (which amount is a deduction from the cost to Tenant or such other party). Notwithstanding any1hing to the contrary contained herein, Tenant must elect to exercise its ROFO, if at all, with respect to all of the Offered Premises at any particular time, and Tenant may not elect to lease only a portion thereof.</w:t>
      </w:r>
    </w:p>
    <w:p>
      <w:pPr>
        <w:spacing w:after="0" w:line="1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Lease Amendment</w:t>
      </w:r>
      <w:r>
        <w:rPr>
          <w:rFonts w:ascii="Arial" w:cs="Arial" w:eastAsia="Arial" w:hAnsi="Arial"/>
          <w:sz w:val="18"/>
          <w:szCs w:val="18"/>
          <w:color w:val="auto"/>
        </w:rPr>
        <w:t>. In the event Tenant successfully exercises its ROFO as described herein, Tenant and Landlord shall cooperate with each other to execute and deliver an amendment to this Lease which contains all of the terms and conditions necessary to incorporate the Offered Premises into this Lease.</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No Transfer</w:t>
      </w:r>
      <w:r>
        <w:rPr>
          <w:rFonts w:ascii="Arial" w:cs="Arial" w:eastAsia="Arial" w:hAnsi="Arial"/>
          <w:sz w:val="18"/>
          <w:szCs w:val="18"/>
          <w:color w:val="auto"/>
        </w:rPr>
        <w:t xml:space="preserve">. Except in the event of a Permitted Transfer, Tenant may not assign, mortgage, pledge, encumber or otherwise transfer its interest or rights under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any such purported transfer or attempted transfer shall be null and void and without effect, shall terminate Tenant’s rights under </w:t>
      </w:r>
      <w:r>
        <w:rPr>
          <w:rFonts w:ascii="Arial" w:cs="Arial" w:eastAsia="Arial" w:hAnsi="Arial"/>
          <w:sz w:val="18"/>
          <w:szCs w:val="18"/>
          <w:u w:val="single" w:color="auto"/>
          <w:color w:val="auto"/>
        </w:rPr>
        <w:t>Section 51</w:t>
      </w:r>
      <w:r>
        <w:rPr>
          <w:rFonts w:ascii="Arial" w:cs="Arial" w:eastAsia="Arial" w:hAnsi="Arial"/>
          <w:sz w:val="18"/>
          <w:szCs w:val="18"/>
          <w:color w:val="auto"/>
        </w:rPr>
        <w:t>, and shall constitute an Event of Default under this Lease.</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Obligation to Extend</w:t>
      </w:r>
      <w:r>
        <w:rPr>
          <w:rFonts w:ascii="Arial" w:cs="Arial" w:eastAsia="Arial" w:hAnsi="Arial"/>
          <w:sz w:val="18"/>
          <w:szCs w:val="18"/>
          <w:color w:val="auto"/>
        </w:rPr>
        <w:t>. Notwithstanding any1hing to the contrary contained herein, if Landlord’s Notice of ROFO Premises is given within the last twelve (12) months of the Term, Tenant’s exercise of its ROFO shall be subject to Tenant’s exercise of its Extension Option so that the Premises and the Offered Premises both expire on the last day of the Extension Term.</w:t>
      </w:r>
    </w:p>
    <w:p>
      <w:pPr>
        <w:spacing w:after="0" w:line="29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SECTION 52.</w:t>
      </w:r>
      <w:r>
        <w:rPr>
          <w:sz w:val="20"/>
          <w:szCs w:val="20"/>
          <w:color w:val="auto"/>
        </w:rPr>
        <w:tab/>
      </w: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Additional terms to this Lease, if any, are set forth in the Exhibits attached hereto, which are incorporated herein by reference as follows:</w:t>
      </w:r>
    </w:p>
    <w:p>
      <w:pPr>
        <w:sectPr>
          <w:pgSz w:w="11900" w:h="16838" w:orient="portrait"/>
          <w:cols w:equalWidth="0" w:num="1">
            <w:col w:w="11000"/>
          </w:cols>
          <w:pgMar w:left="440" w:top="275" w:right="459" w:bottom="1440" w:gutter="0" w:footer="0" w:header="0"/>
        </w:sectPr>
      </w:pP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Exhibit A Exhibit B</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Legal Description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Plan of Premises</w:t>
      </w:r>
    </w:p>
    <w:p>
      <w:pPr>
        <w:spacing w:after="0" w:line="154" w:lineRule="exact"/>
        <w:rPr>
          <w:sz w:val="20"/>
          <w:szCs w:val="20"/>
          <w:color w:val="auto"/>
        </w:rPr>
      </w:pPr>
    </w:p>
    <w:p>
      <w:pPr>
        <w:sectPr>
          <w:pgSz w:w="11900" w:h="16838" w:orient="portrait"/>
          <w:cols w:equalWidth="0" w:num="2">
            <w:col w:w="700" w:space="620"/>
            <w:col w:w="9680"/>
          </w:cols>
          <w:pgMar w:left="440" w:top="275" w:right="45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- 36 -</w:t>
      </w:r>
    </w:p>
    <w:p>
      <w:pPr>
        <w:sectPr>
          <w:pgSz w:w="11900" w:h="16838" w:orient="portrait"/>
          <w:cols w:equalWidth="0" w:num="1">
            <w:col w:w="11000"/>
          </w:cols>
          <w:pgMar w:left="440" w:top="275" w:right="459" w:bottom="1440" w:gutter="0" w:footer="0" w:header="0"/>
          <w:type w:val="continuous"/>
        </w:sectPr>
      </w:pPr>
    </w:p>
    <w:bookmarkStart w:id="609" w:name="page610"/>
    <w:bookmarkEnd w:id="609"/>
    <w:p>
      <w:pPr>
        <w:spacing w:after="0" w:line="275" w:lineRule="auto"/>
        <w:rPr>
          <w:sz w:val="20"/>
          <w:szCs w:val="20"/>
          <w:color w:val="auto"/>
        </w:rPr>
      </w:pPr>
      <w:r>
        <w:rPr>
          <w:rFonts w:ascii="Arial" w:cs="Arial" w:eastAsia="Arial" w:hAnsi="Arial"/>
          <w:sz w:val="17"/>
          <w:szCs w:val="17"/>
          <w:color w:val="auto"/>
        </w:rPr>
        <w:t>Exhibit C-1 Exhibit C-2 Exhibit D Exhibit E Exhibit 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Work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-215900</wp:posOffset>
            </wp:positionV>
            <wp:extent cx="71748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Additional Work Items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Concept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Finish Specifications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Commencement Date Certificate</w:t>
      </w:r>
    </w:p>
    <w:p>
      <w:pPr>
        <w:spacing w:after="0" w:line="229" w:lineRule="exact"/>
        <w:rPr>
          <w:sz w:val="20"/>
          <w:szCs w:val="20"/>
          <w:color w:val="auto"/>
        </w:rPr>
      </w:pPr>
    </w:p>
    <w:p>
      <w:pPr>
        <w:sectPr>
          <w:pgSz w:w="11900" w:h="16838" w:orient="portrait"/>
          <w:cols w:equalWidth="0" w:num="2">
            <w:col w:w="840" w:space="420"/>
            <w:col w:w="8759"/>
          </w:cols>
          <w:pgMar w:left="440" w:top="274" w:right="1440" w:bottom="1440" w:gutter="0" w:footer="0" w:header="0"/>
        </w:sectPr>
      </w:pPr>
    </w:p>
    <w:p>
      <w:pPr>
        <w:jc w:val="center"/>
        <w:ind w:right="-1000"/>
        <w:spacing w:after="0"/>
        <w:rPr>
          <w:sz w:val="20"/>
          <w:szCs w:val="20"/>
          <w:color w:val="auto"/>
        </w:rPr>
      </w:pPr>
      <w:r>
        <w:rPr>
          <w:rFonts w:ascii="Arial" w:cs="Arial" w:eastAsia="Arial" w:hAnsi="Arial"/>
          <w:sz w:val="18"/>
          <w:szCs w:val="18"/>
          <w:b w:val="1"/>
          <w:bCs w:val="1"/>
          <w:color w:val="auto"/>
        </w:rPr>
        <w:t>[REMAINDER OF PAGE INTENTIONALLY LEFT BLANK. SIGNATURE PAGE TO FOLLOW.]</w:t>
      </w:r>
    </w:p>
    <w:p>
      <w:pPr>
        <w:spacing w:after="0" w:line="16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0019"/>
          </w:cols>
          <w:pgMar w:left="440" w:top="274" w:right="1440" w:bottom="1440" w:gutter="0" w:footer="0" w:header="0"/>
          <w:type w:val="continuous"/>
        </w:sectPr>
      </w:pPr>
    </w:p>
    <w:bookmarkStart w:id="610" w:name="page611"/>
    <w:bookmarkEnd w:id="6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set their hands and seals on date first set forth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NS 141 TREMONT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limited liability company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 Synergy Financial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Massachusetts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Manager and Authorized Agent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 /s/ David Greaney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David Greaney, Manager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PEERTRANSFER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Butterfield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14605</wp:posOffset>
            </wp:positionV>
            <wp:extent cx="2425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Peter Butterfield</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General Counsel &amp; Chief Compliance Officer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Hereunto duly authorized</w:t>
      </w:r>
    </w:p>
    <w:p>
      <w:pPr>
        <w:spacing w:after="0" w:line="2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[COUNTERPART SIGNATURE PAGE]</w:t>
      </w:r>
    </w:p>
    <w:p>
      <w:pPr>
        <w:sectPr>
          <w:pgSz w:w="11900" w:h="16838" w:orient="portrait"/>
          <w:cols w:equalWidth="0" w:num="1">
            <w:col w:w="10019"/>
          </w:cols>
          <w:pgMar w:left="440" w:top="275" w:right="1440" w:bottom="1440" w:gutter="0" w:footer="0" w:header="0"/>
        </w:sectPr>
      </w:pPr>
    </w:p>
    <w:bookmarkStart w:id="611" w:name="page612"/>
    <w:bookmarkEnd w:id="61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LEGAL DESCRIPTION</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land in Boston, Suffolk County, Massachusetts, on the southeasterly side of Tremont Street and the southwesterly side of Temple Place, known as and numbered 141 Tremont Street, and being further bounded and described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Beginning at the point of intersection of the southeasterly line of Tremont Street and the southwesterly line of Temple Place; and thence running</w:t>
      </w:r>
    </w:p>
    <w:p>
      <w:pPr>
        <w:spacing w:after="0" w:line="23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Southeasterly by Temple Place, ninety-nine and 88/100 (99.88) feet to a point in the Northwesterly line of a four (4) foot wide passageway; thence turning an interior angle of eighty-nine degrees (89°), fourteen minutes (14’) and forty seconds (40”); and running</w:t>
      </w:r>
    </w:p>
    <w:p>
      <w:pPr>
        <w:spacing w:after="0" w:line="14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Southwesterly by said passageway, fifty-six and 44/100 (56.44) feet to a point in the middle of a twelve (12) inch party wall, at land now or formerly of Fannie R. Brewer, et al.; thence turning an interior angle of eighty-nine degrees (89°), forty-three minutes (43’) and no seconds (00”); and running</w:t>
      </w:r>
    </w:p>
    <w:p>
      <w:pPr>
        <w:spacing w:after="0" w:line="1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Northwesterly by the land last named, the line in the main running through party walls, one hundred and 21/100 (100.21) feet to the Southeasterly line of Tremont Street; thence turning an interior angle of eighty-nine degrees (89°), fifty six minutes (56’) and no seconds (00”); and running</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Northeasterly by Tremont Street, fifty-four and 78/100 (54.78) feet to the point and place of beginning, said last described line forming an interior angle of ninety-one degrees (91°), one minute (1’) and twenty seconds (20”), with the first described line.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Said parcel is shown on a plan by Harry R. Feldman, Inc., dated July 21, 1971, entitled “Plot Plan, Boston, Mass.” recorded with the Suffolk County Registry of Deeds, Book 8461, Page 502.</w:t>
      </w:r>
    </w:p>
    <w:p>
      <w:pPr>
        <w:sectPr>
          <w:pgSz w:w="11900" w:h="16838" w:orient="portrait"/>
          <w:cols w:equalWidth="0" w:num="1">
            <w:col w:w="11000"/>
          </w:cols>
          <w:pgMar w:left="440" w:top="270" w:right="459" w:bottom="1440" w:gutter="0" w:footer="0" w:header="0"/>
        </w:sectPr>
      </w:pPr>
    </w:p>
    <w:bookmarkStart w:id="612" w:name="page613"/>
    <w:bookmarkEnd w:id="61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PLAN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255905</wp:posOffset>
            </wp:positionV>
            <wp:extent cx="5117465" cy="27432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117465" cy="2743200"/>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613" w:name="page614"/>
    <w:bookmarkEnd w:id="613"/>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Landlord, at Landlord’s sole cost and expense, shall perform the work shown on the Concept Plan, which work shall include the following items to the extent not already shown on the Concept Plan:</w:t>
      </w:r>
    </w:p>
    <w:p>
      <w:pPr>
        <w:spacing w:after="0" w:line="76" w:lineRule="exact"/>
        <w:rPr>
          <w:sz w:val="20"/>
          <w:szCs w:val="20"/>
          <w:color w:val="auto"/>
        </w:rPr>
      </w:pPr>
    </w:p>
    <w:p>
      <w:pPr>
        <w:ind w:left="960" w:hanging="532"/>
        <w:spacing w:after="0"/>
        <w:tabs>
          <w:tab w:leader="none" w:pos="9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Paint the Premises in Tenant’s choice of Building Standard colors.</w:t>
      </w:r>
    </w:p>
    <w:p>
      <w:pPr>
        <w:spacing w:after="0" w:line="130"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Supply and install carpet (or alternative flooring option, such as VCT in lunch room or break room, if applicable) throughout the Premises in Tenant’s choice of Building Standard colors.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Electrical wiring to code.</w:t>
      </w:r>
    </w:p>
    <w:p>
      <w:pPr>
        <w:spacing w:after="0" w:line="252" w:lineRule="exact"/>
        <w:rPr>
          <w:rFonts w:ascii="Arial" w:cs="Arial" w:eastAsia="Arial" w:hAnsi="Arial"/>
          <w:sz w:val="18"/>
          <w:szCs w:val="18"/>
          <w:color w:val="auto"/>
        </w:rPr>
      </w:pPr>
    </w:p>
    <w:p>
      <w:pPr>
        <w:ind w:left="960" w:hanging="532"/>
        <w:spacing w:after="0"/>
        <w:tabs>
          <w:tab w:leader="none" w:pos="9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Sprinkler system to code.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Relocate HVAC system as needed.</w:t>
      </w:r>
    </w:p>
    <w:p>
      <w:pPr>
        <w:spacing w:after="0" w:line="252" w:lineRule="exact"/>
        <w:rPr>
          <w:rFonts w:ascii="Arial" w:cs="Arial" w:eastAsia="Arial" w:hAnsi="Arial"/>
          <w:sz w:val="18"/>
          <w:szCs w:val="18"/>
          <w:color w:val="auto"/>
        </w:rPr>
      </w:pPr>
    </w:p>
    <w:p>
      <w:pPr>
        <w:ind w:left="960" w:hanging="532"/>
        <w:spacing w:after="0"/>
        <w:tabs>
          <w:tab w:leader="none" w:pos="9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Repair and replace ceiling tiles and lighting fixtures as needed.</w:t>
      </w:r>
    </w:p>
    <w:p>
      <w:pPr>
        <w:sectPr>
          <w:pgSz w:w="11900" w:h="16838" w:orient="portrait"/>
          <w:cols w:equalWidth="0" w:num="1">
            <w:col w:w="10920"/>
          </w:cols>
          <w:pgMar w:left="440" w:top="270" w:right="539" w:bottom="1440" w:gutter="0" w:footer="0" w:header="0"/>
        </w:sectPr>
      </w:pPr>
    </w:p>
    <w:bookmarkStart w:id="614" w:name="page615"/>
    <w:bookmarkEnd w:id="614"/>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C-2</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u w:val="single" w:color="auto"/>
          <w:color w:val="auto"/>
        </w:rPr>
        <w:t>ADDITIONAL WORK ITEMS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TENANT FIT PLAN REVISIONS TO INCLUDE:</w:t>
      </w:r>
    </w:p>
    <w:p>
      <w:pPr>
        <w:spacing w:after="0" w:line="27" w:lineRule="exact"/>
        <w:rPr>
          <w:sz w:val="20"/>
          <w:szCs w:val="20"/>
          <w:color w:val="auto"/>
        </w:rPr>
      </w:pPr>
    </w:p>
    <w:p>
      <w:pPr>
        <w:ind w:left="1100" w:right="1440"/>
        <w:spacing w:after="0" w:line="250" w:lineRule="auto"/>
        <w:rPr>
          <w:sz w:val="20"/>
          <w:szCs w:val="20"/>
          <w:color w:val="auto"/>
        </w:rPr>
      </w:pPr>
      <w:r>
        <w:rPr>
          <w:rFonts w:ascii="Arial" w:cs="Arial" w:eastAsia="Arial" w:hAnsi="Arial"/>
          <w:sz w:val="18"/>
          <w:szCs w:val="18"/>
          <w:color w:val="auto"/>
        </w:rPr>
        <w:t>GLASS WALLS AND FRAMELESS DOORS AS PER REVISED FIT PLAN IN FRONT THREE CONFERENCE ROOM/OFFICES</w:t>
      </w:r>
    </w:p>
    <w:p>
      <w:pPr>
        <w:spacing w:after="0" w:line="1" w:lineRule="exact"/>
        <w:rPr>
          <w:sz w:val="20"/>
          <w:szCs w:val="20"/>
          <w:color w:val="auto"/>
        </w:rPr>
      </w:pPr>
    </w:p>
    <w:p>
      <w:pPr>
        <w:ind w:left="1100" w:right="2700"/>
        <w:spacing w:after="0" w:line="265" w:lineRule="auto"/>
        <w:rPr>
          <w:sz w:val="20"/>
          <w:szCs w:val="20"/>
          <w:color w:val="auto"/>
        </w:rPr>
      </w:pPr>
      <w:r>
        <w:rPr>
          <w:rFonts w:ascii="Arial" w:cs="Arial" w:eastAsia="Arial" w:hAnsi="Arial"/>
          <w:sz w:val="17"/>
          <w:szCs w:val="17"/>
          <w:color w:val="auto"/>
        </w:rPr>
        <w:t>INCREASED KITCHEN CABINETS AND COUNTER AREA BY APPROXIMATELY 11-FEET ADDED GLASS INSERTS TO 5 DOORS (4 PHONE ROOMS AND ENTRY DOOR)</w:t>
      </w:r>
    </w:p>
    <w:p>
      <w:pPr>
        <w:ind w:left="1100" w:right="2800"/>
        <w:spacing w:after="0" w:line="250" w:lineRule="auto"/>
        <w:rPr>
          <w:sz w:val="20"/>
          <w:szCs w:val="20"/>
          <w:color w:val="auto"/>
        </w:rPr>
      </w:pPr>
      <w:r>
        <w:rPr>
          <w:rFonts w:ascii="Arial" w:cs="Arial" w:eastAsia="Arial" w:hAnsi="Arial"/>
          <w:sz w:val="18"/>
          <w:szCs w:val="18"/>
          <w:color w:val="auto"/>
        </w:rPr>
        <w:t>REVISED FLOOR PLAN INCREASED GWB PARTITIONS BY APPROXIMATELY 50-FEET ADDED CLOSET DOORS TO MATCH OTHERS - FOR NEW CLOSET</w:t>
      </w:r>
    </w:p>
    <w:p>
      <w:pPr>
        <w:spacing w:after="0" w:line="1" w:lineRule="exact"/>
        <w:rPr>
          <w:sz w:val="20"/>
          <w:szCs w:val="20"/>
          <w:color w:val="auto"/>
        </w:rPr>
      </w:pPr>
    </w:p>
    <w:p>
      <w:pPr>
        <w:ind w:left="1460"/>
        <w:spacing w:after="0"/>
        <w:tabs>
          <w:tab w:leader="none" w:pos="6500" w:val="left"/>
        </w:tabs>
        <w:rPr>
          <w:sz w:val="20"/>
          <w:szCs w:val="20"/>
          <w:color w:val="auto"/>
        </w:rPr>
      </w:pPr>
      <w:r>
        <w:rPr>
          <w:rFonts w:ascii="Arial" w:cs="Arial" w:eastAsia="Arial" w:hAnsi="Arial"/>
          <w:sz w:val="18"/>
          <w:szCs w:val="18"/>
          <w:b w:val="1"/>
          <w:bCs w:val="1"/>
          <w:color w:val="auto"/>
        </w:rPr>
        <w:t>SUBTOTAL ( ADDITIONAL COST)</w:t>
      </w:r>
      <w:r>
        <w:rPr>
          <w:sz w:val="20"/>
          <w:szCs w:val="20"/>
          <w:color w:val="auto"/>
        </w:rPr>
        <w:tab/>
      </w:r>
      <w:r>
        <w:rPr>
          <w:rFonts w:ascii="Arial" w:cs="Arial" w:eastAsia="Arial" w:hAnsi="Arial"/>
          <w:sz w:val="17"/>
          <w:szCs w:val="17"/>
          <w:b w:val="1"/>
          <w:bCs w:val="1"/>
          <w:color w:val="auto"/>
        </w:rPr>
        <w:t>$71,149 APPROVED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ALTERNATE CEILING GRID AND TILE THROUGHOUT SPACE</w:t>
      </w:r>
    </w:p>
    <w:p>
      <w:pPr>
        <w:spacing w:after="0" w:line="27" w:lineRule="exact"/>
        <w:rPr>
          <w:sz w:val="20"/>
          <w:szCs w:val="20"/>
          <w:color w:val="auto"/>
        </w:rPr>
      </w:pPr>
    </w:p>
    <w:p>
      <w:pPr>
        <w:ind w:left="1100" w:right="1220"/>
        <w:spacing w:after="0" w:line="250" w:lineRule="auto"/>
        <w:rPr>
          <w:sz w:val="20"/>
          <w:szCs w:val="20"/>
          <w:color w:val="auto"/>
        </w:rPr>
      </w:pPr>
      <w:r>
        <w:rPr>
          <w:rFonts w:ascii="Arial" w:cs="Arial" w:eastAsia="Arial" w:hAnsi="Arial"/>
          <w:sz w:val="18"/>
          <w:szCs w:val="18"/>
          <w:u w:val="single" w:color="auto"/>
          <w:color w:val="auto"/>
        </w:rPr>
        <w:t>OPTION A</w:t>
      </w:r>
      <w:r>
        <w:rPr>
          <w:rFonts w:ascii="Arial" w:cs="Arial" w:eastAsia="Arial" w:hAnsi="Arial"/>
          <w:sz w:val="18"/>
          <w:szCs w:val="18"/>
          <w:color w:val="auto"/>
        </w:rPr>
        <w:t xml:space="preserve"> - SUPPLY AND INSTALLSUPRAFINE GRID AND CALLA BEVELED TEGULAR 9/16” A2824SE, IN PLACE OF BUILDING STANDARD TILE AND GRID (PER MARIAM ORDER 2547751)</w:t>
      </w:r>
    </w:p>
    <w:p>
      <w:pPr>
        <w:spacing w:after="0" w:line="1" w:lineRule="exact"/>
        <w:rPr>
          <w:sz w:val="20"/>
          <w:szCs w:val="20"/>
          <w:color w:val="auto"/>
        </w:rPr>
      </w:pPr>
    </w:p>
    <w:p>
      <w:pPr>
        <w:ind w:left="1460"/>
        <w:spacing w:after="0"/>
        <w:tabs>
          <w:tab w:leader="none" w:pos="6500" w:val="left"/>
        </w:tabs>
        <w:rPr>
          <w:sz w:val="20"/>
          <w:szCs w:val="20"/>
          <w:color w:val="auto"/>
        </w:rPr>
      </w:pPr>
      <w:r>
        <w:rPr>
          <w:rFonts w:ascii="Arial" w:cs="Arial" w:eastAsia="Arial" w:hAnsi="Arial"/>
          <w:sz w:val="18"/>
          <w:szCs w:val="18"/>
          <w:b w:val="1"/>
          <w:bCs w:val="1"/>
          <w:color w:val="auto"/>
        </w:rPr>
        <w:t>SUBTOTAL ( ADDITIONAL COST)</w:t>
      </w:r>
      <w:r>
        <w:rPr>
          <w:sz w:val="20"/>
          <w:szCs w:val="20"/>
          <w:color w:val="auto"/>
        </w:rPr>
        <w:tab/>
      </w:r>
      <w:r>
        <w:rPr>
          <w:rFonts w:ascii="Arial" w:cs="Arial" w:eastAsia="Arial" w:hAnsi="Arial"/>
          <w:sz w:val="17"/>
          <w:szCs w:val="17"/>
          <w:b w:val="1"/>
          <w:bCs w:val="1"/>
          <w:color w:val="auto"/>
        </w:rPr>
        <w:t>$22,112 PENDING</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TENANT TO CONFIRM IF CHOOSING OPTION A WITH 48 HOURS OF LEASE SIGNING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FRONT ENTRY</w:t>
      </w:r>
    </w:p>
    <w:p>
      <w:pPr>
        <w:spacing w:after="0" w:line="27" w:lineRule="exact"/>
        <w:rPr>
          <w:sz w:val="20"/>
          <w:szCs w:val="20"/>
          <w:color w:val="auto"/>
        </w:rPr>
      </w:pPr>
    </w:p>
    <w:p>
      <w:pPr>
        <w:ind w:left="1100" w:right="1580"/>
        <w:spacing w:after="0" w:line="250" w:lineRule="auto"/>
        <w:rPr>
          <w:sz w:val="20"/>
          <w:szCs w:val="20"/>
          <w:color w:val="auto"/>
        </w:rPr>
      </w:pPr>
      <w:r>
        <w:rPr>
          <w:rFonts w:ascii="Arial" w:cs="Arial" w:eastAsia="Arial" w:hAnsi="Arial"/>
          <w:sz w:val="18"/>
          <w:szCs w:val="18"/>
          <w:color w:val="auto"/>
        </w:rPr>
        <w:t>REMOVE EXISTING FRONT ENTRY DOOR AND SIDELIGHT AND REPLACE WITH GLASS WALL AND FRAMELESS ENTRY DOOR</w:t>
      </w:r>
    </w:p>
    <w:p>
      <w:pPr>
        <w:spacing w:after="0" w:line="1" w:lineRule="exact"/>
        <w:rPr>
          <w:sz w:val="20"/>
          <w:szCs w:val="20"/>
          <w:color w:val="auto"/>
        </w:rPr>
      </w:pPr>
    </w:p>
    <w:p>
      <w:pPr>
        <w:ind w:left="1460"/>
        <w:spacing w:after="0"/>
        <w:tabs>
          <w:tab w:leader="none" w:pos="6500" w:val="left"/>
        </w:tabs>
        <w:rPr>
          <w:sz w:val="20"/>
          <w:szCs w:val="20"/>
          <w:color w:val="auto"/>
        </w:rPr>
      </w:pPr>
      <w:r>
        <w:rPr>
          <w:rFonts w:ascii="Arial" w:cs="Arial" w:eastAsia="Arial" w:hAnsi="Arial"/>
          <w:sz w:val="18"/>
          <w:szCs w:val="18"/>
          <w:b w:val="1"/>
          <w:bCs w:val="1"/>
          <w:color w:val="auto"/>
        </w:rPr>
        <w:t>SUBTOTAL</w:t>
      </w:r>
      <w:r>
        <w:rPr>
          <w:sz w:val="20"/>
          <w:szCs w:val="20"/>
          <w:color w:val="auto"/>
        </w:rPr>
        <w:tab/>
      </w:r>
      <w:r>
        <w:rPr>
          <w:rFonts w:ascii="Arial" w:cs="Arial" w:eastAsia="Arial" w:hAnsi="Arial"/>
          <w:sz w:val="18"/>
          <w:szCs w:val="18"/>
          <w:b w:val="1"/>
          <w:bCs w:val="1"/>
          <w:color w:val="auto"/>
        </w:rPr>
        <w:t>$10,000 APPROVED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FLOORING</w:t>
      </w:r>
    </w:p>
    <w:p>
      <w:pPr>
        <w:spacing w:after="0" w:line="27" w:lineRule="exact"/>
        <w:rPr>
          <w:sz w:val="20"/>
          <w:szCs w:val="20"/>
          <w:color w:val="auto"/>
        </w:rPr>
      </w:pPr>
    </w:p>
    <w:p>
      <w:pPr>
        <w:ind w:left="1100"/>
        <w:spacing w:after="0" w:line="250" w:lineRule="auto"/>
        <w:rPr>
          <w:sz w:val="20"/>
          <w:szCs w:val="20"/>
          <w:color w:val="auto"/>
        </w:rPr>
      </w:pPr>
      <w:r>
        <w:rPr>
          <w:rFonts w:ascii="Arial" w:cs="Arial" w:eastAsia="Arial" w:hAnsi="Arial"/>
          <w:sz w:val="18"/>
          <w:szCs w:val="18"/>
          <w:color w:val="auto"/>
        </w:rPr>
        <w:t>SUPPLY AND INSTALL FLOORING SCHEME BASED ON HALEY’S EMAIL/SPECS RECEIVED ON MARCH 25TH (INSTEAD OF BUILDING STANDARD QUICK SHIP INSTALLATION)</w:t>
      </w:r>
    </w:p>
    <w:p>
      <w:pPr>
        <w:spacing w:after="0" w:line="1" w:lineRule="exact"/>
        <w:rPr>
          <w:sz w:val="20"/>
          <w:szCs w:val="20"/>
          <w:color w:val="auto"/>
        </w:rPr>
      </w:pPr>
    </w:p>
    <w:p>
      <w:pPr>
        <w:ind w:left="1100" w:right="400" w:firstLine="3"/>
        <w:spacing w:after="0" w:line="250" w:lineRule="auto"/>
        <w:tabs>
          <w:tab w:leader="none" w:pos="1205" w:val="left"/>
        </w:tabs>
        <w:numPr>
          <w:ilvl w:val="0"/>
          <w:numId w:val="464"/>
        </w:numPr>
        <w:rPr>
          <w:rFonts w:ascii="Arial" w:cs="Arial" w:eastAsia="Arial" w:hAnsi="Arial"/>
          <w:sz w:val="18"/>
          <w:szCs w:val="18"/>
          <w:color w:val="auto"/>
        </w:rPr>
      </w:pPr>
      <w:r>
        <w:rPr>
          <w:rFonts w:ascii="Arial" w:cs="Arial" w:eastAsia="Arial" w:hAnsi="Arial"/>
          <w:sz w:val="18"/>
          <w:szCs w:val="18"/>
          <w:color w:val="auto"/>
        </w:rPr>
        <w:t>Mohawk glue down lvt - Morikato 911 Ukiyo - installed in herringbone pattern in open areas (kitchen, lounge, bars, hallway) and straight in conference room.</w:t>
      </w:r>
    </w:p>
    <w:p>
      <w:pPr>
        <w:ind w:left="1200" w:hanging="97"/>
        <w:spacing w:after="0"/>
        <w:tabs>
          <w:tab w:leader="none" w:pos="120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Work station area (Option 1) Mohawk carpet tile - Zip it - 955 Skinny in half lap install</w:t>
      </w:r>
    </w:p>
    <w:p>
      <w:pPr>
        <w:spacing w:after="0" w:line="9" w:lineRule="exact"/>
        <w:rPr>
          <w:rFonts w:ascii="Arial" w:cs="Arial" w:eastAsia="Arial" w:hAnsi="Arial"/>
          <w:sz w:val="18"/>
          <w:szCs w:val="18"/>
          <w:color w:val="auto"/>
        </w:rPr>
      </w:pPr>
    </w:p>
    <w:p>
      <w:pPr>
        <w:ind w:left="1200" w:hanging="97"/>
        <w:spacing w:after="0"/>
        <w:tabs>
          <w:tab w:leader="none" w:pos="120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Mohawk carpet tile - conference rooms and phone booths - 566 Distinguished - installed in herringbone pattern</w:t>
      </w:r>
    </w:p>
    <w:p>
      <w:pPr>
        <w:spacing w:after="0" w:line="9" w:lineRule="exact"/>
        <w:rPr>
          <w:sz w:val="20"/>
          <w:szCs w:val="20"/>
          <w:color w:val="auto"/>
        </w:rPr>
      </w:pPr>
    </w:p>
    <w:p>
      <w:pPr>
        <w:ind w:left="1460"/>
        <w:spacing w:after="0"/>
        <w:tabs>
          <w:tab w:leader="none" w:pos="6500" w:val="left"/>
        </w:tabs>
        <w:rPr>
          <w:sz w:val="20"/>
          <w:szCs w:val="20"/>
          <w:color w:val="auto"/>
        </w:rPr>
      </w:pPr>
      <w:r>
        <w:rPr>
          <w:rFonts w:ascii="Arial" w:cs="Arial" w:eastAsia="Arial" w:hAnsi="Arial"/>
          <w:sz w:val="18"/>
          <w:szCs w:val="18"/>
          <w:b w:val="1"/>
          <w:bCs w:val="1"/>
          <w:color w:val="auto"/>
        </w:rPr>
        <w:t>SUBTOTAL ( ADDITIONAL COST)</w:t>
      </w:r>
      <w:r>
        <w:rPr>
          <w:sz w:val="20"/>
          <w:szCs w:val="20"/>
          <w:color w:val="auto"/>
        </w:rPr>
        <w:tab/>
      </w:r>
      <w:r>
        <w:rPr>
          <w:rFonts w:ascii="Arial" w:cs="Arial" w:eastAsia="Arial" w:hAnsi="Arial"/>
          <w:sz w:val="17"/>
          <w:szCs w:val="17"/>
          <w:b w:val="1"/>
          <w:bCs w:val="1"/>
          <w:color w:val="auto"/>
        </w:rPr>
        <w:t>$18,201 APPROVED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KITCHEN COUNTER TOP UPGRADE TO WILSONART SOLID SURFACE</w:t>
      </w:r>
    </w:p>
    <w:p>
      <w:pPr>
        <w:spacing w:after="0" w:line="2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OPTION A</w:t>
      </w:r>
      <w:r>
        <w:rPr>
          <w:rFonts w:ascii="Arial" w:cs="Arial" w:eastAsia="Arial" w:hAnsi="Arial"/>
          <w:sz w:val="18"/>
          <w:szCs w:val="18"/>
          <w:color w:val="auto"/>
        </w:rPr>
        <w:t xml:space="preserve"> - Upgrade laminate counter tops in kitchen to Wilsonart solid surface - Designer White</w:t>
      </w:r>
    </w:p>
    <w:p>
      <w:pPr>
        <w:spacing w:after="0" w:line="9" w:lineRule="exact"/>
        <w:rPr>
          <w:sz w:val="20"/>
          <w:szCs w:val="20"/>
          <w:color w:val="auto"/>
        </w:rPr>
      </w:pPr>
    </w:p>
    <w:p>
      <w:pPr>
        <w:ind w:left="1460"/>
        <w:spacing w:after="0"/>
        <w:tabs>
          <w:tab w:leader="none" w:pos="6500" w:val="left"/>
        </w:tabs>
        <w:rPr>
          <w:sz w:val="20"/>
          <w:szCs w:val="20"/>
          <w:color w:val="auto"/>
        </w:rPr>
      </w:pPr>
      <w:r>
        <w:rPr>
          <w:rFonts w:ascii="Arial" w:cs="Arial" w:eastAsia="Arial" w:hAnsi="Arial"/>
          <w:sz w:val="18"/>
          <w:szCs w:val="18"/>
          <w:b w:val="1"/>
          <w:bCs w:val="1"/>
          <w:color w:val="auto"/>
        </w:rPr>
        <w:t>SUBTOTAL (ADDITIONAL COST)</w:t>
      </w:r>
      <w:r>
        <w:rPr>
          <w:sz w:val="20"/>
          <w:szCs w:val="20"/>
          <w:color w:val="auto"/>
        </w:rPr>
        <w:tab/>
      </w:r>
      <w:r>
        <w:rPr>
          <w:rFonts w:ascii="Arial" w:cs="Arial" w:eastAsia="Arial" w:hAnsi="Arial"/>
          <w:sz w:val="17"/>
          <w:szCs w:val="17"/>
          <w:b w:val="1"/>
          <w:bCs w:val="1"/>
          <w:color w:val="auto"/>
        </w:rPr>
        <w:t>$1,940 APPROVED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ACCOMODATIONS FOR FLOOR BOXES AND WALL MOUNT TELEVISIONS</w:t>
      </w:r>
    </w:p>
    <w:p>
      <w:pPr>
        <w:spacing w:after="0" w:line="2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Provide labor and materials to core floor and provide power in 8 locations (data wiring and floor boxes by others)</w:t>
      </w:r>
    </w:p>
    <w:p>
      <w:pPr>
        <w:spacing w:after="0" w:line="9" w:lineRule="exact"/>
        <w:rPr>
          <w:sz w:val="20"/>
          <w:szCs w:val="20"/>
          <w:color w:val="auto"/>
        </w:rPr>
      </w:pPr>
    </w:p>
    <w:p>
      <w:pPr>
        <w:ind w:left="1460"/>
        <w:spacing w:after="0"/>
        <w:tabs>
          <w:tab w:leader="none" w:pos="6500" w:val="left"/>
        </w:tabs>
        <w:rPr>
          <w:sz w:val="20"/>
          <w:szCs w:val="20"/>
          <w:color w:val="auto"/>
        </w:rPr>
      </w:pPr>
      <w:r>
        <w:rPr>
          <w:rFonts w:ascii="Arial" w:cs="Arial" w:eastAsia="Arial" w:hAnsi="Arial"/>
          <w:sz w:val="18"/>
          <w:szCs w:val="18"/>
          <w:b w:val="1"/>
          <w:bCs w:val="1"/>
          <w:color w:val="auto"/>
        </w:rPr>
        <w:t>SUBTOTAL (ADDITIONAL COST)</w:t>
      </w:r>
      <w:r>
        <w:rPr>
          <w:sz w:val="20"/>
          <w:szCs w:val="20"/>
          <w:color w:val="auto"/>
        </w:rPr>
        <w:tab/>
      </w:r>
      <w:r>
        <w:rPr>
          <w:rFonts w:ascii="Arial" w:cs="Arial" w:eastAsia="Arial" w:hAnsi="Arial"/>
          <w:sz w:val="17"/>
          <w:szCs w:val="17"/>
          <w:b w:val="1"/>
          <w:bCs w:val="1"/>
          <w:color w:val="auto"/>
        </w:rPr>
        <w:t>$9,707 APPROVED</w:t>
      </w:r>
    </w:p>
    <w:p>
      <w:pPr>
        <w:spacing w:after="0" w:line="9" w:lineRule="exact"/>
        <w:rPr>
          <w:sz w:val="20"/>
          <w:szCs w:val="20"/>
          <w:color w:val="auto"/>
        </w:rPr>
      </w:pPr>
    </w:p>
    <w:p>
      <w:pPr>
        <w:ind w:left="1100" w:right="380" w:firstLine="3"/>
        <w:spacing w:after="0" w:line="250" w:lineRule="auto"/>
        <w:tabs>
          <w:tab w:leader="none" w:pos="1205"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Provide labor and material to mount (5) wall mount TV’s including installing (1) duplex power outlet and wood blocking for each (mounting brackets and other cabling not included).</w:t>
      </w:r>
    </w:p>
    <w:p>
      <w:pPr>
        <w:spacing w:after="0" w:line="1" w:lineRule="exact"/>
        <w:rPr>
          <w:sz w:val="20"/>
          <w:szCs w:val="20"/>
          <w:color w:val="auto"/>
        </w:rPr>
      </w:pPr>
    </w:p>
    <w:p>
      <w:pPr>
        <w:ind w:left="1460"/>
        <w:spacing w:after="0"/>
        <w:tabs>
          <w:tab w:leader="none" w:pos="6500" w:val="left"/>
        </w:tabs>
        <w:rPr>
          <w:sz w:val="20"/>
          <w:szCs w:val="20"/>
          <w:color w:val="auto"/>
        </w:rPr>
      </w:pPr>
      <w:r>
        <w:rPr>
          <w:rFonts w:ascii="Arial" w:cs="Arial" w:eastAsia="Arial" w:hAnsi="Arial"/>
          <w:sz w:val="18"/>
          <w:szCs w:val="18"/>
          <w:b w:val="1"/>
          <w:bCs w:val="1"/>
          <w:color w:val="auto"/>
        </w:rPr>
        <w:t>SUBTOTAL (ADDITIONAL COST)</w:t>
      </w:r>
      <w:r>
        <w:rPr>
          <w:sz w:val="20"/>
          <w:szCs w:val="20"/>
          <w:color w:val="auto"/>
        </w:rPr>
        <w:tab/>
      </w:r>
      <w:r>
        <w:rPr>
          <w:rFonts w:ascii="Arial" w:cs="Arial" w:eastAsia="Arial" w:hAnsi="Arial"/>
          <w:sz w:val="17"/>
          <w:szCs w:val="17"/>
          <w:b w:val="1"/>
          <w:bCs w:val="1"/>
          <w:color w:val="auto"/>
        </w:rPr>
        <w:t>$1,517 APPROVED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 DRY BAR NEAR TREMONT STREET SIDE</w:t>
      </w:r>
    </w:p>
    <w:p>
      <w:pPr>
        <w:spacing w:after="0" w:line="27" w:lineRule="exact"/>
        <w:rPr>
          <w:sz w:val="20"/>
          <w:szCs w:val="20"/>
          <w:color w:val="auto"/>
        </w:rPr>
      </w:pPr>
    </w:p>
    <w:p>
      <w:pPr>
        <w:ind w:left="1100" w:firstLine="3"/>
        <w:spacing w:after="0" w:line="250" w:lineRule="auto"/>
        <w:tabs>
          <w:tab w:leader="none" w:pos="1205" w:val="left"/>
        </w:tabs>
        <w:numPr>
          <w:ilvl w:val="0"/>
          <w:numId w:val="46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OPTION B</w:t>
      </w:r>
      <w:r>
        <w:rPr>
          <w:rFonts w:ascii="Arial" w:cs="Arial" w:eastAsia="Arial" w:hAnsi="Arial"/>
          <w:sz w:val="18"/>
          <w:szCs w:val="18"/>
          <w:color w:val="auto"/>
        </w:rPr>
        <w:t xml:space="preserve"> - Supply and install approximately 12’ of base cabinets and Wilsonart solid surface - Designer White counter tops to match kitchen area</w:t>
      </w:r>
    </w:p>
    <w:p>
      <w:pPr>
        <w:spacing w:after="0" w:line="1" w:lineRule="exact"/>
        <w:rPr>
          <w:sz w:val="20"/>
          <w:szCs w:val="20"/>
          <w:color w:val="auto"/>
        </w:rPr>
      </w:pPr>
    </w:p>
    <w:p>
      <w:pPr>
        <w:ind w:left="1460"/>
        <w:spacing w:after="0"/>
        <w:tabs>
          <w:tab w:leader="none" w:pos="6500" w:val="left"/>
        </w:tabs>
        <w:rPr>
          <w:sz w:val="20"/>
          <w:szCs w:val="20"/>
          <w:color w:val="auto"/>
        </w:rPr>
      </w:pPr>
      <w:r>
        <w:rPr>
          <w:rFonts w:ascii="Arial" w:cs="Arial" w:eastAsia="Arial" w:hAnsi="Arial"/>
          <w:sz w:val="18"/>
          <w:szCs w:val="18"/>
          <w:b w:val="1"/>
          <w:bCs w:val="1"/>
          <w:color w:val="auto"/>
        </w:rPr>
        <w:t>SUBTOTAL (ADDITIONAL COST)</w:t>
      </w:r>
      <w:r>
        <w:rPr>
          <w:sz w:val="20"/>
          <w:szCs w:val="20"/>
          <w:color w:val="auto"/>
        </w:rPr>
        <w:tab/>
      </w:r>
      <w:r>
        <w:rPr>
          <w:rFonts w:ascii="Arial" w:cs="Arial" w:eastAsia="Arial" w:hAnsi="Arial"/>
          <w:sz w:val="17"/>
          <w:szCs w:val="17"/>
          <w:b w:val="1"/>
          <w:bCs w:val="1"/>
          <w:color w:val="auto"/>
        </w:rPr>
        <w:t>$5,816 APPROVED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1200" w:hanging="97"/>
        <w:spacing w:after="0"/>
        <w:tabs>
          <w:tab w:leader="none" w:pos="120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Haley to address counters in phone rooms. Not included in this pricing.</w:t>
      </w:r>
    </w:p>
    <w:p>
      <w:pPr>
        <w:spacing w:after="0" w:line="9" w:lineRule="exact"/>
        <w:rPr>
          <w:rFonts w:ascii="Arial" w:cs="Arial" w:eastAsia="Arial" w:hAnsi="Arial"/>
          <w:sz w:val="18"/>
          <w:szCs w:val="18"/>
          <w:color w:val="auto"/>
        </w:rPr>
      </w:pPr>
    </w:p>
    <w:p>
      <w:pPr>
        <w:ind w:left="1200" w:hanging="97"/>
        <w:spacing w:after="0"/>
        <w:tabs>
          <w:tab w:leader="none" w:pos="120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Kitchen cabinets are Synergy Building Standard Cabinets - Wolf Dartmouth</w:t>
      </w:r>
    </w:p>
    <w:p>
      <w:pPr>
        <w:spacing w:after="0" w:line="9" w:lineRule="exact"/>
        <w:rPr>
          <w:rFonts w:ascii="Arial" w:cs="Arial" w:eastAsia="Arial" w:hAnsi="Arial"/>
          <w:sz w:val="18"/>
          <w:szCs w:val="18"/>
          <w:color w:val="auto"/>
        </w:rPr>
      </w:pPr>
    </w:p>
    <w:p>
      <w:pPr>
        <w:ind w:left="1200" w:hanging="97"/>
        <w:spacing w:after="0"/>
        <w:tabs>
          <w:tab w:leader="none" w:pos="120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Counter top pricing is based on standard depth counters</w:t>
      </w:r>
    </w:p>
    <w:p>
      <w:pPr>
        <w:sectPr>
          <w:pgSz w:w="11900" w:h="16838" w:orient="portrait"/>
          <w:cols w:equalWidth="0" w:num="1">
            <w:col w:w="10940"/>
          </w:cols>
          <w:pgMar w:left="440" w:top="271" w:right="519" w:bottom="1440" w:gutter="0" w:footer="0" w:header="0"/>
        </w:sectPr>
      </w:pPr>
    </w:p>
    <w:bookmarkStart w:id="615" w:name="page616"/>
    <w:bookmarkEnd w:id="61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CONCEPT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179705</wp:posOffset>
            </wp:positionV>
            <wp:extent cx="5417820" cy="357441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417820" cy="35744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6" w:name="page617"/>
    <w:bookmarkEnd w:id="61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BUILDING FINISH SPECIFICATIONS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(CONSISTING OF 4 PAGES, INCLUDING THIS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176530</wp:posOffset>
            </wp:positionV>
            <wp:extent cx="1783080" cy="60007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78308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2419"/>
        <w:spacing w:after="0"/>
        <w:rPr>
          <w:sz w:val="20"/>
          <w:szCs w:val="20"/>
          <w:color w:val="auto"/>
        </w:rPr>
      </w:pPr>
      <w:r>
        <w:rPr>
          <w:rFonts w:ascii="Arial" w:cs="Arial" w:eastAsia="Arial" w:hAnsi="Arial"/>
          <w:sz w:val="18"/>
          <w:szCs w:val="18"/>
          <w:b w:val="1"/>
          <w:bCs w:val="1"/>
          <w:color w:val="auto"/>
        </w:rPr>
        <w:t>BUILDING FINISH</w:t>
      </w:r>
    </w:p>
    <w:p>
      <w:pPr>
        <w:spacing w:after="0" w:line="225" w:lineRule="exact"/>
        <w:rPr>
          <w:sz w:val="20"/>
          <w:szCs w:val="20"/>
          <w:color w:val="auto"/>
        </w:rPr>
      </w:pPr>
    </w:p>
    <w:p>
      <w:pPr>
        <w:jc w:val="right"/>
        <w:ind w:right="2419"/>
        <w:spacing w:after="0"/>
        <w:rPr>
          <w:sz w:val="20"/>
          <w:szCs w:val="20"/>
          <w:color w:val="auto"/>
        </w:rPr>
      </w:pPr>
      <w:r>
        <w:rPr>
          <w:rFonts w:ascii="Arial" w:cs="Arial" w:eastAsia="Arial" w:hAnsi="Arial"/>
          <w:sz w:val="18"/>
          <w:szCs w:val="18"/>
          <w:b w:val="1"/>
          <w:bCs w:val="1"/>
          <w:color w:val="auto"/>
        </w:rPr>
        <w:t>SPECIFICATION</w:t>
      </w:r>
    </w:p>
    <w:p>
      <w:pPr>
        <w:spacing w:after="0" w:line="225" w:lineRule="exact"/>
        <w:rPr>
          <w:sz w:val="20"/>
          <w:szCs w:val="20"/>
          <w:color w:val="auto"/>
        </w:rPr>
      </w:pPr>
    </w:p>
    <w:p>
      <w:pPr>
        <w:jc w:val="right"/>
        <w:ind w:right="2419"/>
        <w:spacing w:after="0"/>
        <w:rPr>
          <w:sz w:val="20"/>
          <w:szCs w:val="20"/>
          <w:color w:val="auto"/>
        </w:rPr>
      </w:pPr>
      <w:r>
        <w:rPr>
          <w:rFonts w:ascii="Arial" w:cs="Arial" w:eastAsia="Arial" w:hAnsi="Arial"/>
          <w:sz w:val="18"/>
          <w:szCs w:val="18"/>
          <w:b w:val="1"/>
          <w:bCs w:val="1"/>
          <w:color w:val="auto"/>
        </w:rPr>
        <w:t>Building Standards</w:t>
      </w:r>
    </w:p>
    <w:p>
      <w:pPr>
        <w:sectPr>
          <w:pgSz w:w="11900" w:h="16838" w:orient="portrait"/>
          <w:cols w:equalWidth="0" w:num="1">
            <w:col w:w="9019"/>
          </w:cols>
          <w:pgMar w:left="1440" w:top="271" w:right="1440" w:bottom="1440" w:gutter="0" w:footer="0" w:header="0"/>
        </w:sectPr>
      </w:pPr>
    </w:p>
    <w:bookmarkStart w:id="617" w:name="page618"/>
    <w:bookmarkEnd w:id="6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Finish Specification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5209540</wp:posOffset>
            </wp:positionH>
            <wp:positionV relativeFrom="paragraph">
              <wp:posOffset>-119380</wp:posOffset>
            </wp:positionV>
            <wp:extent cx="1783080" cy="60007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783080" cy="6000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Building Standards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Franklin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02110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 Standards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specified standards below are to be met, where applicable on new tenant improvement work only; existing conditions to remain unless otherwise noted in the lease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Wall Construction</w:t>
      </w:r>
    </w:p>
    <w:p>
      <w:pPr>
        <w:spacing w:after="0" w:line="23" w:lineRule="exact"/>
        <w:rPr>
          <w:sz w:val="20"/>
          <w:szCs w:val="20"/>
          <w:color w:val="auto"/>
        </w:rPr>
      </w:pPr>
    </w:p>
    <w:p>
      <w:pPr>
        <w:ind w:left="960" w:hanging="532"/>
        <w:spacing w:after="0"/>
        <w:tabs>
          <w:tab w:leader="none" w:pos="9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New interior walls shall be constructed of 2</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2</w:t>
      </w:r>
      <w:r>
        <w:rPr>
          <w:rFonts w:ascii="Arial" w:cs="Arial" w:eastAsia="Arial" w:hAnsi="Arial"/>
          <w:sz w:val="18"/>
          <w:szCs w:val="18"/>
          <w:color w:val="auto"/>
        </w:rPr>
        <w:t>” or 3-5/8” metal studs with 5/8” gypsum wallboard on both sides</w:t>
      </w:r>
    </w:p>
    <w:p>
      <w:pPr>
        <w:spacing w:after="0" w:line="127" w:lineRule="exact"/>
        <w:rPr>
          <w:rFonts w:ascii="Arial" w:cs="Arial" w:eastAsia="Arial" w:hAnsi="Arial"/>
          <w:sz w:val="18"/>
          <w:szCs w:val="18"/>
          <w:color w:val="auto"/>
        </w:rPr>
      </w:pPr>
    </w:p>
    <w:p>
      <w:pPr>
        <w:ind w:left="960" w:hanging="532"/>
        <w:spacing w:after="0"/>
        <w:tabs>
          <w:tab w:leader="none" w:pos="9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Interior walls shall extend to 6” above the ceiling grid</w:t>
      </w:r>
    </w:p>
    <w:p>
      <w:pPr>
        <w:spacing w:after="0" w:line="114" w:lineRule="exact"/>
        <w:rPr>
          <w:rFonts w:ascii="Arial" w:cs="Arial" w:eastAsia="Arial" w:hAnsi="Arial"/>
          <w:sz w:val="18"/>
          <w:szCs w:val="18"/>
          <w:color w:val="auto"/>
        </w:rPr>
      </w:pPr>
    </w:p>
    <w:p>
      <w:pPr>
        <w:ind w:left="960" w:hanging="532"/>
        <w:spacing w:after="0"/>
        <w:tabs>
          <w:tab w:leader="none" w:pos="9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Conference Room walls to extend to the underside of structure above</w:t>
      </w:r>
    </w:p>
    <w:p>
      <w:pPr>
        <w:spacing w:after="0" w:line="130" w:lineRule="exact"/>
        <w:rPr>
          <w:rFonts w:ascii="Arial" w:cs="Arial" w:eastAsia="Arial" w:hAnsi="Arial"/>
          <w:sz w:val="18"/>
          <w:szCs w:val="18"/>
          <w:color w:val="auto"/>
        </w:rPr>
      </w:pPr>
    </w:p>
    <w:p>
      <w:pPr>
        <w:ind w:left="960" w:right="120" w:hanging="532"/>
        <w:spacing w:after="0" w:line="342" w:lineRule="auto"/>
        <w:tabs>
          <w:tab w:leader="none" w:pos="960" w:val="left"/>
        </w:tabs>
        <w:numPr>
          <w:ilvl w:val="0"/>
          <w:numId w:val="468"/>
        </w:numPr>
        <w:rPr>
          <w:rFonts w:ascii="Arial" w:cs="Arial" w:eastAsia="Arial" w:hAnsi="Arial"/>
          <w:sz w:val="16"/>
          <w:szCs w:val="16"/>
          <w:color w:val="auto"/>
        </w:rPr>
      </w:pPr>
      <w:r>
        <w:rPr>
          <w:rFonts w:ascii="Arial" w:cs="Arial" w:eastAsia="Arial" w:hAnsi="Arial"/>
          <w:sz w:val="16"/>
          <w:szCs w:val="16"/>
          <w:color w:val="auto"/>
        </w:rPr>
        <w:t>New demising and corridor walls shall be constructed of 3-5/8” metal studs with 5/8” gypsum board on each side and 3-1/2” fiberglass insulation between studs. Walls to extend to the underside of structure above. Walls to be fire rated as required by code.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Carpeting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Bigelow (Quick 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Type: Modular (Ounce Range 26-28)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Comment: All open office areas, private offices, and conference rooms shall receive carpet, using industry standard installation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Johnsonite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 TBD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Vinyl Composite Tile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Armstrong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 + Finish: TBD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Comment: Kitchen/break rooms, copy rooms, server rooms, and janitor closets shall receive 12”x12” vinyl composite tile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Lighting (Direct Indirect - 2x2 &amp; 2x4)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Columbia or equivalent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 + Finish: White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Lighting (Pendant)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Alera CRV or equivalent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 + Finish: White</w:t>
      </w:r>
    </w:p>
    <w:p>
      <w:pPr>
        <w:sectPr>
          <w:pgSz w:w="11900" w:h="16838" w:orient="portrait"/>
          <w:cols w:equalWidth="0" w:num="1">
            <w:col w:w="10800"/>
          </w:cols>
          <w:pgMar w:left="440" w:top="270" w:right="659" w:bottom="1440" w:gutter="0" w:footer="0" w:header="0"/>
        </w:sectPr>
      </w:pPr>
    </w:p>
    <w:bookmarkStart w:id="618" w:name="page619"/>
    <w:bookmarkEnd w:id="6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Finish Specification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5209540</wp:posOffset>
            </wp:positionH>
            <wp:positionV relativeFrom="paragraph">
              <wp:posOffset>-119380</wp:posOffset>
            </wp:positionV>
            <wp:extent cx="1783080" cy="60007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783080" cy="6000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Building Standards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Franklin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02110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Suspended Ceilings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Ceiling Tile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Manufacturer: USG or equivalent (2x2 or 2x4)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Model: 4221 or equivalent</w:t>
      </w:r>
    </w:p>
    <w:p>
      <w:pPr>
        <w:spacing w:after="0" w:line="9" w:lineRule="exact"/>
        <w:rPr>
          <w:sz w:val="20"/>
          <w:szCs w:val="20"/>
          <w:color w:val="auto"/>
        </w:rPr>
      </w:pPr>
    </w:p>
    <w:p>
      <w:pPr>
        <w:ind w:right="3799"/>
        <w:spacing w:after="0" w:line="323" w:lineRule="auto"/>
        <w:rPr>
          <w:sz w:val="20"/>
          <w:szCs w:val="20"/>
          <w:color w:val="auto"/>
        </w:rPr>
      </w:pPr>
      <w:r>
        <w:rPr>
          <w:rFonts w:ascii="Arial" w:cs="Arial" w:eastAsia="Arial" w:hAnsi="Arial"/>
          <w:sz w:val="16"/>
          <w:szCs w:val="16"/>
          <w:color w:val="auto"/>
        </w:rPr>
        <w:t>Comment: Acoustical ceiling tiles to be installed with 15/16” Suspension Grid System *Ceiling grid and tiles may vary when matching existing or existing is to remain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Paint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Benjamin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 + Finish: TBD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Comment: All painted surfaces to receive (1) coat of primer and (2) coats of finish. Up to 3 wall colors (Locations TBD on Final plans)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Millwork</w:t>
      </w:r>
    </w:p>
    <w:p>
      <w:pPr>
        <w:spacing w:after="0" w:line="131" w:lineRule="exact"/>
        <w:rPr>
          <w:sz w:val="20"/>
          <w:szCs w:val="20"/>
          <w:color w:val="auto"/>
        </w:rPr>
      </w:pPr>
    </w:p>
    <w:p>
      <w:pPr>
        <w:ind w:left="960" w:hanging="532"/>
        <w:spacing w:after="0"/>
        <w:tabs>
          <w:tab w:leader="none" w:pos="9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Base and wall cabinets and counters to be provided by Landlord, up to 8’ for kitchen/break room</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Base and wall cabinets and counters to be provided by Landlord, up to 6’ for copy room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Laminate Counter Top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Manufacturer: Wilsonart Laminate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Color + Finish: TBD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Comment: Layout as Determined on Final Plans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Cabinet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Manufacturer: Wolf Home Products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Model: Dartmouth</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Color: TBD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Comment: Layout as Determined on Final Plans. Doors and drawer Knobs/pulls selection to be Standard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Electrical</w:t>
      </w:r>
    </w:p>
    <w:p>
      <w:pPr>
        <w:spacing w:after="0" w:line="131" w:lineRule="exact"/>
        <w:rPr>
          <w:sz w:val="20"/>
          <w:szCs w:val="20"/>
          <w:color w:val="auto"/>
        </w:rPr>
      </w:pPr>
    </w:p>
    <w:p>
      <w:pPr>
        <w:ind w:left="960" w:hanging="532"/>
        <w:spacing w:after="0"/>
        <w:tabs>
          <w:tab w:leader="none" w:pos="96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(2) receptacles per office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Quad receptacles for Office Equipment up to 3 locations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One electrical duplex receptacle shall be provided at 20’-0” on center in corridors.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GFCI Outlets in Kitchen/wet areas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All tel/data wiring above ceiling must be plenum rated and is to be provided by tenant.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Appliances</w:t>
      </w:r>
    </w:p>
    <w:p>
      <w:pPr>
        <w:spacing w:after="0" w:line="131" w:lineRule="exact"/>
        <w:rPr>
          <w:sz w:val="20"/>
          <w:szCs w:val="20"/>
          <w:color w:val="auto"/>
        </w:rPr>
      </w:pPr>
    </w:p>
    <w:p>
      <w:pPr>
        <w:ind w:left="960" w:hanging="532"/>
        <w:spacing w:after="0"/>
        <w:tabs>
          <w:tab w:leader="none" w:pos="96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All kitchen appliances supplied by tenant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Doors</w:t>
      </w:r>
    </w:p>
    <w:p>
      <w:pPr>
        <w:spacing w:after="0" w:line="23" w:lineRule="exact"/>
        <w:rPr>
          <w:sz w:val="20"/>
          <w:szCs w:val="20"/>
          <w:color w:val="auto"/>
        </w:rPr>
      </w:pPr>
    </w:p>
    <w:p>
      <w:pPr>
        <w:ind w:left="960" w:hanging="532"/>
        <w:spacing w:after="0"/>
        <w:tabs>
          <w:tab w:leader="none" w:pos="9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Solid Core Wood dimensioned 1</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29"/>
          <w:szCs w:val="29"/>
          <w:color w:val="auto"/>
          <w:vertAlign w:val="subscript"/>
        </w:rPr>
        <w:t>4</w:t>
      </w:r>
      <w:r>
        <w:rPr>
          <w:rFonts w:ascii="Arial" w:cs="Arial" w:eastAsia="Arial" w:hAnsi="Arial"/>
          <w:sz w:val="18"/>
          <w:szCs w:val="18"/>
          <w:color w:val="auto"/>
        </w:rPr>
        <w:t>” x 3’-0” x 7’-0”</w:t>
      </w:r>
    </w:p>
    <w:p>
      <w:pPr>
        <w:spacing w:after="0" w:line="127" w:lineRule="exact"/>
        <w:rPr>
          <w:rFonts w:ascii="Arial" w:cs="Arial" w:eastAsia="Arial" w:hAnsi="Arial"/>
          <w:sz w:val="18"/>
          <w:szCs w:val="18"/>
          <w:color w:val="auto"/>
        </w:rPr>
      </w:pPr>
    </w:p>
    <w:p>
      <w:pPr>
        <w:ind w:left="960" w:hanging="532"/>
        <w:spacing w:after="0"/>
        <w:tabs>
          <w:tab w:leader="none" w:pos="9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Paint grade</w:t>
      </w:r>
    </w:p>
    <w:p>
      <w:pPr>
        <w:sectPr>
          <w:pgSz w:w="11900" w:h="16838" w:orient="portrait"/>
          <w:cols w:equalWidth="0" w:num="1">
            <w:col w:w="10019"/>
          </w:cols>
          <w:pgMar w:left="440" w:top="271" w:right="1440" w:bottom="1440" w:gutter="0" w:footer="0" w:header="0"/>
        </w:sectPr>
      </w:pPr>
    </w:p>
    <w:bookmarkStart w:id="619" w:name="page620"/>
    <w:bookmarkEnd w:id="6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Finish Specification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5209540</wp:posOffset>
            </wp:positionH>
            <wp:positionV relativeFrom="paragraph">
              <wp:posOffset>-119380</wp:posOffset>
            </wp:positionV>
            <wp:extent cx="1783080" cy="60007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783080" cy="6000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Building Standards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Franklin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02110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Frames</w:t>
      </w:r>
    </w:p>
    <w:p>
      <w:pPr>
        <w:spacing w:after="0" w:line="131" w:lineRule="exact"/>
        <w:rPr>
          <w:sz w:val="20"/>
          <w:szCs w:val="20"/>
          <w:color w:val="auto"/>
        </w:rPr>
      </w:pPr>
    </w:p>
    <w:p>
      <w:pPr>
        <w:ind w:left="960" w:hanging="424"/>
        <w:spacing w:after="0"/>
        <w:tabs>
          <w:tab w:leader="none" w:pos="96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Frames to be H.M. knockdown type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Hardware</w:t>
      </w:r>
    </w:p>
    <w:p>
      <w:pPr>
        <w:spacing w:after="0" w:line="131" w:lineRule="exact"/>
        <w:rPr>
          <w:sz w:val="20"/>
          <w:szCs w:val="20"/>
          <w:color w:val="auto"/>
        </w:rPr>
      </w:pPr>
    </w:p>
    <w:p>
      <w:pPr>
        <w:ind w:left="960" w:hanging="424"/>
        <w:spacing w:after="0"/>
        <w:tabs>
          <w:tab w:leader="none" w:pos="9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Cylindrical Lockset with Master Key System for suite entry doors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Passage sets for closets, storage areas, kitchens, conference rooms and offices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Tenant Responsibilities</w:t>
      </w:r>
    </w:p>
    <w:p>
      <w:pPr>
        <w:spacing w:after="0" w:line="131" w:lineRule="exact"/>
        <w:rPr>
          <w:sz w:val="20"/>
          <w:szCs w:val="20"/>
          <w:color w:val="auto"/>
        </w:rPr>
      </w:pPr>
    </w:p>
    <w:p>
      <w:pPr>
        <w:ind w:left="960" w:hanging="424"/>
        <w:spacing w:after="0"/>
        <w:tabs>
          <w:tab w:leader="none" w:pos="96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Furniture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Appliances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Tel/Data Equipment and associated cabling/conduit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475"/>
        </w:numPr>
        <w:rPr>
          <w:rFonts w:ascii="Arial" w:cs="Arial" w:eastAsia="Arial" w:hAnsi="Arial"/>
          <w:sz w:val="16"/>
          <w:szCs w:val="16"/>
          <w:color w:val="auto"/>
        </w:rPr>
      </w:pPr>
      <w:r>
        <w:rPr>
          <w:rFonts w:ascii="Arial" w:cs="Arial" w:eastAsia="Arial" w:hAnsi="Arial"/>
          <w:sz w:val="16"/>
          <w:szCs w:val="16"/>
          <w:color w:val="auto"/>
        </w:rPr>
        <w:t>Floor coring and/or floor boxes to supply power and/or data to any tenant equipment, workstations or furniture</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Audio Visual/Media Equipment devices and associated mounting and/or cabling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Server room Cooling System</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Electronic Security systems including:</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Surveillance equipment and associated mounting and/or cabling</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Proximity readers and associated cabling and/or mounting</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Door release buttons and associated cabling and/or mounting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Electronic door locks and associated wiring</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i w:val="1"/>
          <w:iCs w:val="1"/>
          <w:color w:val="auto"/>
        </w:rPr>
        <w:t>*  Landlord will provide power for the above mentioned tenant items. Excluding A/V and Media Equipment.</w:t>
      </w:r>
    </w:p>
    <w:p>
      <w:pPr>
        <w:sectPr>
          <w:pgSz w:w="11900" w:h="16838" w:orient="portrait"/>
          <w:cols w:equalWidth="0" w:num="1">
            <w:col w:w="10019"/>
          </w:cols>
          <w:pgMar w:left="440" w:top="270" w:right="1440" w:bottom="1440" w:gutter="0" w:footer="0" w:header="0"/>
        </w:sectPr>
      </w:pPr>
    </w:p>
    <w:bookmarkStart w:id="620" w:name="page621"/>
    <w:bookmarkEnd w:id="620"/>
    <w:p>
      <w:pPr>
        <w:jc w:val="center"/>
        <w:ind w:right="-8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u w:val="single" w:color="auto"/>
          <w:color w:val="auto"/>
        </w:rPr>
        <w:t>FORM OF COMMENCEMENT DATE CERTIFICATE</w:t>
      </w:r>
    </w:p>
    <w:p>
      <w:pPr>
        <w:spacing w:after="0" w:line="229" w:lineRule="exact"/>
        <w:rPr>
          <w:sz w:val="20"/>
          <w:szCs w:val="20"/>
          <w:color w:val="auto"/>
        </w:rPr>
      </w:pPr>
    </w:p>
    <w:p>
      <w:pPr>
        <w:ind w:left="724"/>
        <w:spacing w:after="0"/>
        <w:rPr>
          <w:sz w:val="20"/>
          <w:szCs w:val="20"/>
          <w:color w:val="auto"/>
        </w:rPr>
      </w:pPr>
      <w:r>
        <w:rPr>
          <w:rFonts w:ascii="Arial" w:cs="Arial" w:eastAsia="Arial" w:hAnsi="Arial"/>
          <w:sz w:val="18"/>
          <w:szCs w:val="18"/>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4572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452120</wp:posOffset>
            </wp:positionV>
            <wp:extent cx="242570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306070</wp:posOffset>
            </wp:positionV>
            <wp:extent cx="242570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160655</wp:posOffset>
            </wp:positionV>
            <wp:extent cx="242570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14605</wp:posOffset>
            </wp:positionV>
            <wp:extent cx="242570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Lease Agreement by and between NS 141 Tremont LLC, a Massachusetts limited liability company (“</w:t>
      </w:r>
      <w:r>
        <w:rPr>
          <w:rFonts w:ascii="Arial" w:cs="Arial" w:eastAsia="Arial" w:hAnsi="Arial"/>
          <w:sz w:val="16"/>
          <w:szCs w:val="16"/>
          <w:u w:val="single" w:color="auto"/>
          <w:color w:val="auto"/>
        </w:rPr>
        <w:t>Landlord</w:t>
      </w:r>
      <w:r>
        <w:rPr>
          <w:rFonts w:ascii="Arial" w:cs="Arial" w:eastAsia="Arial" w:hAnsi="Arial"/>
          <w:sz w:val="16"/>
          <w:szCs w:val="16"/>
          <w:color w:val="auto"/>
        </w:rPr>
        <w:t>”) and peerTransfer Corporation,</w:t>
      </w:r>
    </w:p>
    <w:p>
      <w:pPr>
        <w:spacing w:after="0" w:line="46" w:lineRule="exact"/>
        <w:rPr>
          <w:sz w:val="20"/>
          <w:szCs w:val="20"/>
          <w:color w:val="auto"/>
        </w:rPr>
      </w:pPr>
    </w:p>
    <w:p>
      <w:pPr>
        <w:ind w:left="544"/>
        <w:spacing w:after="0"/>
        <w:tabs>
          <w:tab w:leader="none" w:pos="4044" w:val="left"/>
        </w:tabs>
        <w:rPr>
          <w:sz w:val="20"/>
          <w:szCs w:val="20"/>
          <w:color w:val="auto"/>
        </w:rPr>
      </w:pPr>
      <w:r>
        <w:rPr>
          <w:rFonts w:ascii="Arial" w:cs="Arial" w:eastAsia="Arial" w:hAnsi="Arial"/>
          <w:sz w:val="18"/>
          <w:szCs w:val="18"/>
          <w:color w:val="auto"/>
        </w:rPr>
        <w:t>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 dated</w:t>
      </w:r>
      <w:r>
        <w:rPr>
          <w:sz w:val="20"/>
          <w:szCs w:val="20"/>
          <w:color w:val="auto"/>
        </w:rPr>
        <w:tab/>
      </w:r>
      <w:r>
        <w:rPr>
          <w:rFonts w:ascii="Arial" w:cs="Arial" w:eastAsia="Arial" w:hAnsi="Arial"/>
          <w:sz w:val="16"/>
          <w:szCs w:val="16"/>
          <w:color w:val="auto"/>
        </w:rPr>
        <w:t>,2015 (the “</w:t>
      </w:r>
      <w:r>
        <w:rPr>
          <w:rFonts w:ascii="Arial" w:cs="Arial" w:eastAsia="Arial" w:hAnsi="Arial"/>
          <w:sz w:val="16"/>
          <w:szCs w:val="16"/>
          <w:u w:val="single" w:color="auto"/>
          <w:color w:val="auto"/>
        </w:rPr>
        <w:t>Lease</w:t>
      </w:r>
      <w:r>
        <w:rPr>
          <w:rFonts w:ascii="Arial" w:cs="Arial" w:eastAsia="Arial" w:hAnsi="Arial"/>
          <w:sz w:val="16"/>
          <w:szCs w:val="16"/>
          <w:color w:val="auto"/>
        </w:rPr>
        <w:t>”) for the premises (the “</w:t>
      </w:r>
      <w:r>
        <w:rPr>
          <w:rFonts w:ascii="Arial" w:cs="Arial" w:eastAsia="Arial" w:hAnsi="Arial"/>
          <w:sz w:val="16"/>
          <w:szCs w:val="16"/>
          <w:u w:val="single" w:color="auto"/>
          <w:color w:val="auto"/>
        </w:rPr>
        <w:t>Premises</w:t>
      </w:r>
      <w:r>
        <w:rPr>
          <w:rFonts w:ascii="Arial" w:cs="Arial" w:eastAsia="Arial" w:hAnsi="Arial"/>
          <w:sz w:val="16"/>
          <w:szCs w:val="16"/>
          <w:color w:val="auto"/>
        </w:rPr>
        <w:t>”) measuring approximately 5,473 rentable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-19050</wp:posOffset>
            </wp:positionV>
            <wp:extent cx="34290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ind w:left="544"/>
        <w:spacing w:after="0"/>
        <w:rPr>
          <w:sz w:val="20"/>
          <w:szCs w:val="20"/>
          <w:color w:val="auto"/>
        </w:rPr>
      </w:pPr>
      <w:r>
        <w:rPr>
          <w:rFonts w:ascii="Arial" w:cs="Arial" w:eastAsia="Arial" w:hAnsi="Arial"/>
          <w:sz w:val="17"/>
          <w:szCs w:val="17"/>
          <w:color w:val="auto"/>
        </w:rPr>
        <w:t>square feet located on the tenth (10</w:t>
      </w:r>
      <w:r>
        <w:rPr>
          <w:rFonts w:ascii="Arial" w:cs="Arial" w:eastAsia="Arial" w:hAnsi="Arial"/>
          <w:sz w:val="14"/>
          <w:szCs w:val="14"/>
          <w:color w:val="auto"/>
        </w:rPr>
        <w:t>th</w:t>
      </w:r>
      <w:r>
        <w:rPr>
          <w:rFonts w:ascii="Arial" w:cs="Arial" w:eastAsia="Arial" w:hAnsi="Arial"/>
          <w:sz w:val="17"/>
          <w:szCs w:val="17"/>
          <w:color w:val="auto"/>
        </w:rPr>
        <w:t>) floor of the building known and numbered as 141 Tremont Street, Boston, MA (the “</w:t>
      </w:r>
      <w:r>
        <w:rPr>
          <w:rFonts w:ascii="Arial" w:cs="Arial" w:eastAsia="Arial" w:hAnsi="Arial"/>
          <w:sz w:val="17"/>
          <w:szCs w:val="17"/>
          <w:u w:val="single" w:color="auto"/>
          <w:color w:val="auto"/>
        </w:rPr>
        <w:t>Building</w:t>
      </w:r>
      <w:r>
        <w:rPr>
          <w:rFonts w:ascii="Arial" w:cs="Arial" w:eastAsia="Arial" w:hAnsi="Arial"/>
          <w:sz w:val="17"/>
          <w:szCs w:val="17"/>
          <w:color w:val="auto"/>
        </w:rPr>
        <w:t>”)</w:t>
      </w:r>
    </w:p>
    <w:p>
      <w:pPr>
        <w:spacing w:after="0" w:line="2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w:t>
      </w:r>
      <w:r>
        <w:rPr>
          <w:rFonts w:ascii="Arial" w:cs="Arial" w:eastAsia="Arial" w:hAnsi="Arial"/>
          <w:sz w:val="18"/>
          <w:szCs w:val="18"/>
          <w:i w:val="1"/>
          <w:iCs w:val="1"/>
          <w:color w:val="auto"/>
        </w:rPr>
        <w:t>insert Tenant’s name</w:t>
      </w:r>
      <w:r>
        <w:rPr>
          <w:rFonts w:ascii="Arial" w:cs="Arial" w:eastAsia="Arial" w:hAnsi="Arial"/>
          <w:sz w:val="18"/>
          <w:szCs w:val="18"/>
          <w:color w:val="auto"/>
        </w:rPr>
        <w:t>]:</w:t>
      </w:r>
    </w:p>
    <w:p>
      <w:pPr>
        <w:spacing w:after="0" w:line="225"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 xml:space="preserve">This letter shall constitute the Commencement Date Certificate referenced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the above-referenced Lease. Unless otherwise defined herein, all capitalized terms shall have the same meaning ascribed to them in the Lease.</w:t>
      </w:r>
    </w:p>
    <w:p>
      <w:pPr>
        <w:spacing w:after="0" w:line="76" w:lineRule="exact"/>
        <w:rPr>
          <w:sz w:val="20"/>
          <w:szCs w:val="20"/>
          <w:color w:val="auto"/>
        </w:rPr>
      </w:pPr>
    </w:p>
    <w:p>
      <w:pPr>
        <w:ind w:left="424" w:hanging="424"/>
        <w:spacing w:after="0"/>
        <w:tabs>
          <w:tab w:leader="none" w:pos="424" w:val="left"/>
        </w:tabs>
        <w:numPr>
          <w:ilvl w:val="0"/>
          <w:numId w:val="476"/>
        </w:numPr>
        <w:rPr>
          <w:rFonts w:ascii="Arial" w:cs="Arial" w:eastAsia="Arial" w:hAnsi="Arial"/>
          <w:sz w:val="18"/>
          <w:szCs w:val="18"/>
          <w:color w:val="auto"/>
        </w:rPr>
      </w:pPr>
      <w:r>
        <w:rPr>
          <w:rFonts w:ascii="Arial" w:cs="Arial" w:eastAsia="Arial" w:hAnsi="Arial"/>
          <w:sz w:val="18"/>
          <w:szCs w:val="18"/>
          <w:color w:val="auto"/>
        </w:rPr>
        <w:t>Possession has been delivered to and accepted by Tenant.</w:t>
      </w:r>
    </w:p>
    <w:p>
      <w:pPr>
        <w:spacing w:after="0" w:line="130" w:lineRule="exact"/>
        <w:rPr>
          <w:rFonts w:ascii="Arial" w:cs="Arial" w:eastAsia="Arial" w:hAnsi="Arial"/>
          <w:sz w:val="18"/>
          <w:szCs w:val="18"/>
          <w:color w:val="auto"/>
        </w:rPr>
      </w:pPr>
    </w:p>
    <w:p>
      <w:pPr>
        <w:ind w:left="424" w:right="260" w:hanging="424"/>
        <w:spacing w:after="0" w:line="263" w:lineRule="auto"/>
        <w:tabs>
          <w:tab w:leader="none" w:pos="424" w:val="left"/>
        </w:tabs>
        <w:numPr>
          <w:ilvl w:val="0"/>
          <w:numId w:val="476"/>
        </w:numPr>
        <w:rPr>
          <w:rFonts w:ascii="Arial" w:cs="Arial" w:eastAsia="Arial" w:hAnsi="Arial"/>
          <w:sz w:val="18"/>
          <w:szCs w:val="18"/>
          <w:color w:val="auto"/>
        </w:rPr>
      </w:pPr>
      <w:r>
        <w:rPr>
          <w:rFonts w:ascii="Arial" w:cs="Arial" w:eastAsia="Arial" w:hAnsi="Arial"/>
          <w:sz w:val="18"/>
          <w:szCs w:val="18"/>
          <w:color w:val="auto"/>
        </w:rPr>
        <w:t>All obligations, if any, of Landlord under the terms of the Lease with respect to improvements or repairs to the Premises have been fully performed, and all allowances, reimbursements or other obligations of Landlord for the payment of monies to or for the benefit of Tenant have been fully paid in accordance with the terms of the Lease.</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Commencement Date is [</w:t>
      </w:r>
      <w:r>
        <w:rPr>
          <w:rFonts w:ascii="Arial" w:cs="Arial" w:eastAsia="Arial" w:hAnsi="Arial"/>
          <w:sz w:val="18"/>
          <w:szCs w:val="18"/>
          <w:i w:val="1"/>
          <w:iCs w:val="1"/>
          <w:color w:val="auto"/>
        </w:rPr>
        <w:t>insert date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Expiration Date is [</w:t>
      </w:r>
      <w:r>
        <w:rPr>
          <w:rFonts w:ascii="Arial" w:cs="Arial" w:eastAsia="Arial" w:hAnsi="Arial"/>
          <w:sz w:val="18"/>
          <w:szCs w:val="18"/>
          <w:i w:val="1"/>
          <w:iCs w:val="1"/>
          <w:color w:val="auto"/>
        </w:rPr>
        <w:t>insert date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xml:space="preserve">Payment of Base Rent as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the Lease shall commence in full force and effect as of [</w:t>
      </w:r>
      <w:r>
        <w:rPr>
          <w:rFonts w:ascii="Arial" w:cs="Arial" w:eastAsia="Arial" w:hAnsi="Arial"/>
          <w:sz w:val="18"/>
          <w:szCs w:val="18"/>
          <w:i w:val="1"/>
          <w:iCs w:val="1"/>
          <w:color w:val="auto"/>
        </w:rPr>
        <w:t>insert date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76"/>
        </w:numPr>
        <w:rPr>
          <w:rFonts w:ascii="Arial" w:cs="Arial" w:eastAsia="Arial" w:hAnsi="Arial"/>
          <w:sz w:val="16"/>
          <w:szCs w:val="16"/>
          <w:color w:val="auto"/>
        </w:rPr>
      </w:pPr>
      <w:r>
        <w:rPr>
          <w:rFonts w:ascii="Arial" w:cs="Arial" w:eastAsia="Arial" w:hAnsi="Arial"/>
          <w:sz w:val="16"/>
          <w:szCs w:val="16"/>
          <w:color w:val="auto"/>
        </w:rPr>
        <w:t xml:space="preserve">Payment of (a) Tenant’s Share of Taxes as set forth in </w:t>
      </w:r>
      <w:r>
        <w:rPr>
          <w:rFonts w:ascii="Arial" w:cs="Arial" w:eastAsia="Arial" w:hAnsi="Arial"/>
          <w:sz w:val="16"/>
          <w:szCs w:val="16"/>
          <w:u w:val="single" w:color="auto"/>
          <w:color w:val="auto"/>
        </w:rPr>
        <w:t>Sections 1 and 6</w:t>
      </w:r>
      <w:r>
        <w:rPr>
          <w:rFonts w:ascii="Arial" w:cs="Arial" w:eastAsia="Arial" w:hAnsi="Arial"/>
          <w:sz w:val="16"/>
          <w:szCs w:val="16"/>
          <w:color w:val="auto"/>
        </w:rPr>
        <w:t xml:space="preserve"> of the Lease shall commence in full force and effect as of [</w:t>
      </w:r>
      <w:r>
        <w:rPr>
          <w:rFonts w:ascii="Arial" w:cs="Arial" w:eastAsia="Arial" w:hAnsi="Arial"/>
          <w:sz w:val="16"/>
          <w:szCs w:val="16"/>
          <w:i w:val="1"/>
          <w:iCs w:val="1"/>
          <w:color w:val="auto"/>
        </w:rPr>
        <w:t>insert date</w:t>
      </w:r>
      <w:r>
        <w:rPr>
          <w:rFonts w:ascii="Arial" w:cs="Arial" w:eastAsia="Arial" w:hAnsi="Arial"/>
          <w:sz w:val="16"/>
          <w:szCs w:val="16"/>
          <w:color w:val="auto"/>
        </w:rPr>
        <w:t>] and</w:t>
      </w:r>
    </w:p>
    <w:p>
      <w:pPr>
        <w:spacing w:after="0" w:line="46"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6"/>
          <w:szCs w:val="16"/>
          <w:color w:val="auto"/>
        </w:rPr>
        <w:t xml:space="preserve">(b) Tenant’s Share of Operating Expenses as set forth in </w:t>
      </w:r>
      <w:r>
        <w:rPr>
          <w:rFonts w:ascii="Arial" w:cs="Arial" w:eastAsia="Arial" w:hAnsi="Arial"/>
          <w:sz w:val="16"/>
          <w:szCs w:val="16"/>
          <w:u w:val="single" w:color="auto"/>
          <w:color w:val="auto"/>
        </w:rPr>
        <w:t>Sections 1 and 6</w:t>
      </w:r>
      <w:r>
        <w:rPr>
          <w:rFonts w:ascii="Arial" w:cs="Arial" w:eastAsia="Arial" w:hAnsi="Arial"/>
          <w:sz w:val="16"/>
          <w:szCs w:val="16"/>
          <w:color w:val="auto"/>
        </w:rPr>
        <w:t xml:space="preserve"> of the Lease shall commence in full force and effect as of [</w:t>
      </w:r>
      <w:r>
        <w:rPr>
          <w:rFonts w:ascii="Arial" w:cs="Arial" w:eastAsia="Arial" w:hAnsi="Arial"/>
          <w:sz w:val="16"/>
          <w:szCs w:val="16"/>
          <w:i w:val="1"/>
          <w:iCs w:val="1"/>
          <w:color w:val="auto"/>
        </w:rPr>
        <w:t>insert date</w:t>
      </w:r>
      <w:r>
        <w:rPr>
          <w:rFonts w:ascii="Arial" w:cs="Arial" w:eastAsia="Arial" w:hAnsi="Arial"/>
          <w:sz w:val="16"/>
          <w:szCs w:val="16"/>
          <w:color w:val="auto"/>
        </w:rPr>
        <w:t>].</w:t>
      </w:r>
    </w:p>
    <w:p>
      <w:pPr>
        <w:sectPr>
          <w:pgSz w:w="11900" w:h="16838" w:orient="portrait"/>
          <w:cols w:equalWidth="0" w:num="1">
            <w:col w:w="10944"/>
          </w:cols>
          <w:pgMar w:left="436" w:top="271" w:right="519" w:bottom="1440" w:gutter="0" w:footer="0" w:header="0"/>
        </w:sectPr>
      </w:pPr>
    </w:p>
    <w:bookmarkStart w:id="621" w:name="page622"/>
    <w:bookmarkEnd w:id="621"/>
    <w:p>
      <w:pPr>
        <w:ind w:left="424" w:hanging="424"/>
        <w:spacing w:after="0"/>
        <w:tabs>
          <w:tab w:leader="none" w:pos="424" w:val="left"/>
        </w:tabs>
        <w:numPr>
          <w:ilvl w:val="0"/>
          <w:numId w:val="4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Tenant has prepaid rent in the amount of $ [</w:t>
      </w:r>
      <w:r>
        <w:rPr>
          <w:rFonts w:ascii="Arial" w:cs="Arial" w:eastAsia="Arial" w:hAnsi="Arial"/>
          <w:sz w:val="17"/>
          <w:szCs w:val="17"/>
          <w:i w:val="1"/>
          <w:iCs w:val="1"/>
          <w:color w:val="auto"/>
        </w:rPr>
        <w:t>insert amount</w:t>
      </w:r>
      <w:r>
        <w:rPr>
          <w:rFonts w:ascii="Arial" w:cs="Arial" w:eastAsia="Arial" w:hAnsi="Arial"/>
          <w:sz w:val="17"/>
          <w:szCs w:val="17"/>
          <w:color w:val="auto"/>
        </w:rPr>
        <w:t>], which shall apply to the period of [insert beginning date - insert end date].</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Tenant has deposited [</w:t>
      </w:r>
      <w:r>
        <w:rPr>
          <w:rFonts w:ascii="Arial" w:cs="Arial" w:eastAsia="Arial" w:hAnsi="Arial"/>
          <w:sz w:val="18"/>
          <w:szCs w:val="18"/>
          <w:i w:val="1"/>
          <w:iCs w:val="1"/>
          <w:color w:val="auto"/>
        </w:rPr>
        <w:t>security / letter of credit</w:t>
      </w:r>
      <w:r>
        <w:rPr>
          <w:rFonts w:ascii="Arial" w:cs="Arial" w:eastAsia="Arial" w:hAnsi="Arial"/>
          <w:sz w:val="18"/>
          <w:szCs w:val="18"/>
          <w:color w:val="auto"/>
        </w:rPr>
        <w:t>] in the amount of $ [</w:t>
      </w:r>
      <w:r>
        <w:rPr>
          <w:rFonts w:ascii="Arial" w:cs="Arial" w:eastAsia="Arial" w:hAnsi="Arial"/>
          <w:sz w:val="18"/>
          <w:szCs w:val="18"/>
          <w:i w:val="1"/>
          <w:iCs w:val="1"/>
          <w:color w:val="auto"/>
        </w:rPr>
        <w:t>insert amount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Please sign this Commencement Date Certificate and return it to Landlord. Tenant’s failure to return this Commencement Date Certificate within the ten (10) days after receipt hereof shall be deemed to be Tenant’s acceptance of this Commencement Date Certificate, including without limitation the Commencement Date and the Expiration Date contained herein.</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LANDLORD: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NS 141 TREMONT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 Massachusetts limited liability company</w:t>
      </w:r>
    </w:p>
    <w:p>
      <w:pPr>
        <w:spacing w:after="0" w:line="23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Synergy Financial LLC,</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Massachusetts limited liability company,</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Property Manager and Authorized Agent</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-10160</wp:posOffset>
            </wp:positionV>
            <wp:extent cx="151384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David Greaney, Manager</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TENANT: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PEERTRANSFER CORPORATION,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 Delaware corporation</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24"/>
        <w:spacing w:after="0"/>
        <w:rPr>
          <w:sz w:val="20"/>
          <w:szCs w:val="20"/>
          <w:color w:val="auto"/>
        </w:rPr>
      </w:pPr>
      <w:r>
        <w:rPr>
          <w:rFonts w:ascii="Arial" w:cs="Arial" w:eastAsia="Arial" w:hAnsi="Arial"/>
          <w:sz w:val="18"/>
          <w:szCs w:val="18"/>
          <w:color w:val="auto"/>
        </w:rPr>
        <w:t>Hereunto duly authorized</w:t>
      </w:r>
    </w:p>
    <w:p>
      <w:pPr>
        <w:spacing w:after="0" w:line="221"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[COUNTERPART SIGNATURE PAGE]</w:t>
      </w:r>
    </w:p>
    <w:p>
      <w:pPr>
        <w:sectPr>
          <w:pgSz w:w="11900" w:h="16838" w:orient="portrait"/>
          <w:cols w:equalWidth="0" w:num="1">
            <w:col w:w="10864"/>
          </w:cols>
          <w:pgMar w:left="436" w:top="274" w:right="599" w:bottom="1440" w:gutter="0" w:footer="0" w:header="0"/>
        </w:sectPr>
      </w:pPr>
    </w:p>
    <w:bookmarkStart w:id="622" w:name="page623"/>
    <w:bookmarkEnd w:id="62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We hereby consent to the use in this Registration Statement on Form S-1 of Flywire Corporation of our report dated March 11, 2021 relating to the financial statements of Flywire Corporation, which appears in this Registration Statement.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 2021</w:t>
      </w:r>
    </w:p>
    <w:p>
      <w:pPr>
        <w:sectPr>
          <w:pgSz w:w="11900" w:h="16838" w:orient="portrait"/>
          <w:cols w:equalWidth="0" w:num="1">
            <w:col w:w="11020"/>
          </w:cols>
          <w:pgMar w:left="440" w:top="122" w:right="439" w:bottom="1440" w:gutter="0" w:footer="0" w:header="0"/>
        </w:sectPr>
      </w:pPr>
    </w:p>
    <w:bookmarkStart w:id="623" w:name="page624"/>
    <w:bookmarkEnd w:id="623"/>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consent to the reference to our firm under the caption “Experts” and to the use of our reports dated March 10, 2021, with respect to the consolidated financial statements of Simplificare Inc. included in the Registration Statement (Form S-1) and related Prospectus of Flywire Corporation for the registration of its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Kasierer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Member of Ernst &amp; Young Global</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 2021</w:t>
      </w:r>
    </w:p>
    <w:sectPr>
      <w:pgSz w:w="11900" w:h="16838" w:orient="portrait"/>
      <w:cols w:equalWidth="0" w:num="1">
        <w:col w:w="11020"/>
      </w:cols>
      <w:pgMar w:left="440"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D38D"/>
    <w:multiLevelType w:val="hybridMultilevel"/>
    <w:lvl w:ilvl="0">
      <w:lvlJc w:val="left"/>
      <w:lvlText w:val="(%1)"/>
      <w:numFmt w:val="decimal"/>
      <w:start w:val="1"/>
    </w:lvl>
  </w:abstractNum>
  <w:abstractNum w:abstractNumId="1">
    <w:nsid w:val="822C0EF"/>
    <w:multiLevelType w:val="hybridMultilevel"/>
    <w:lvl w:ilvl="0">
      <w:lvlJc w:val="left"/>
      <w:lvlText w:val="(%1)"/>
      <w:numFmt w:val="decimal"/>
      <w:start w:val="1"/>
    </w:lvl>
  </w:abstractNum>
  <w:abstractNum w:abstractNumId="2">
    <w:nsid w:val="57C5BB4F"/>
    <w:multiLevelType w:val="hybridMultilevel"/>
    <w:lvl w:ilvl="0">
      <w:lvlJc w:val="left"/>
      <w:lvlText w:val="•"/>
      <w:numFmt w:val="bullet"/>
      <w:start w:val="1"/>
    </w:lvl>
  </w:abstractNum>
  <w:abstractNum w:abstractNumId="3">
    <w:nsid w:val="1803D089"/>
    <w:multiLevelType w:val="hybridMultilevel"/>
    <w:lvl w:ilvl="0">
      <w:lvlJc w:val="left"/>
      <w:lvlText w:val="•"/>
      <w:numFmt w:val="bullet"/>
      <w:start w:val="1"/>
    </w:lvl>
  </w:abstractNum>
  <w:abstractNum w:abstractNumId="4">
    <w:nsid w:val="4F3A06D4"/>
    <w:multiLevelType w:val="hybridMultilevel"/>
    <w:lvl w:ilvl="0">
      <w:lvlJc w:val="left"/>
      <w:lvlText w:val="•"/>
      <w:numFmt w:val="bullet"/>
      <w:start w:val="1"/>
    </w:lvl>
  </w:abstractNum>
  <w:abstractNum w:abstractNumId="5">
    <w:nsid w:val="59A377B6"/>
    <w:multiLevelType w:val="hybridMultilevel"/>
    <w:lvl w:ilvl="0">
      <w:lvlJc w:val="left"/>
      <w:lvlText w:val="•"/>
      <w:numFmt w:val="bullet"/>
      <w:start w:val="1"/>
    </w:lvl>
  </w:abstractNum>
  <w:abstractNum w:abstractNumId="6">
    <w:nsid w:val="48AEB063"/>
    <w:multiLevelType w:val="hybridMultilevel"/>
    <w:lvl w:ilvl="0">
      <w:lvlJc w:val="left"/>
      <w:lvlText w:val="•"/>
      <w:numFmt w:val="bullet"/>
      <w:start w:val="1"/>
    </w:lvl>
  </w:abstractNum>
  <w:abstractNum w:abstractNumId="7">
    <w:nsid w:val="24E135"/>
    <w:multiLevelType w:val="hybridMultilevel"/>
    <w:lvl w:ilvl="0">
      <w:lvlJc w:val="left"/>
      <w:lvlText w:val="•"/>
      <w:numFmt w:val="bullet"/>
      <w:start w:val="1"/>
    </w:lvl>
  </w:abstractNum>
  <w:abstractNum w:abstractNumId="8">
    <w:nsid w:val="BB13C1"/>
    <w:multiLevelType w:val="hybridMultilevel"/>
    <w:lvl w:ilvl="0">
      <w:lvlJc w:val="left"/>
      <w:lvlText w:val="(%1)"/>
      <w:numFmt w:val="decimal"/>
      <w:start w:val="1"/>
    </w:lvl>
  </w:abstractNum>
  <w:abstractNum w:abstractNumId="9">
    <w:nsid w:val="271210C7"/>
    <w:multiLevelType w:val="hybridMultilevel"/>
    <w:lvl w:ilvl="0">
      <w:lvlJc w:val="left"/>
      <w:lvlText w:val="•"/>
      <w:numFmt w:val="bullet"/>
      <w:start w:val="1"/>
    </w:lvl>
  </w:abstractNum>
  <w:abstractNum w:abstractNumId="10">
    <w:nsid w:val="217B22E4"/>
    <w:multiLevelType w:val="hybridMultilevel"/>
    <w:lvl w:ilvl="0">
      <w:lvlJc w:val="left"/>
      <w:lvlText w:val="•"/>
      <w:numFmt w:val="bullet"/>
      <w:start w:val="1"/>
    </w:lvl>
  </w:abstractNum>
  <w:abstractNum w:abstractNumId="11">
    <w:nsid w:val="53E31A24"/>
    <w:multiLevelType w:val="hybridMultilevel"/>
    <w:lvl w:ilvl="0">
      <w:lvlJc w:val="left"/>
      <w:lvlText w:val="•"/>
      <w:numFmt w:val="bullet"/>
      <w:start w:val="1"/>
    </w:lvl>
  </w:abstractNum>
  <w:abstractNum w:abstractNumId="12">
    <w:nsid w:val="6DC45E83"/>
    <w:multiLevelType w:val="hybridMultilevel"/>
    <w:lvl w:ilvl="0">
      <w:lvlJc w:val="left"/>
      <w:lvlText w:val="•"/>
      <w:numFmt w:val="bullet"/>
      <w:start w:val="1"/>
    </w:lvl>
  </w:abstractNum>
  <w:abstractNum w:abstractNumId="13">
    <w:nsid w:val="17304A67"/>
    <w:multiLevelType w:val="hybridMultilevel"/>
    <w:lvl w:ilvl="0">
      <w:lvlJc w:val="left"/>
      <w:lvlText w:val="(%1)"/>
      <w:numFmt w:val="decimal"/>
      <w:start w:val="1"/>
    </w:lvl>
  </w:abstractNum>
  <w:abstractNum w:abstractNumId="14">
    <w:nsid w:val="2BB180D8"/>
    <w:multiLevelType w:val="hybridMultilevel"/>
    <w:lvl w:ilvl="0">
      <w:lvlJc w:val="left"/>
      <w:lvlText w:val="•"/>
      <w:numFmt w:val="bullet"/>
      <w:start w:val="1"/>
    </w:lvl>
  </w:abstractNum>
  <w:abstractNum w:abstractNumId="15">
    <w:nsid w:val="556B69ED"/>
    <w:multiLevelType w:val="hybridMultilevel"/>
    <w:lvl w:ilvl="0">
      <w:lvlJc w:val="left"/>
      <w:lvlText w:val="•"/>
      <w:numFmt w:val="bullet"/>
      <w:start w:val="1"/>
    </w:lvl>
  </w:abstractNum>
  <w:abstractNum w:abstractNumId="16">
    <w:nsid w:val="70836196"/>
    <w:multiLevelType w:val="hybridMultilevel"/>
    <w:lvl w:ilvl="0">
      <w:lvlJc w:val="left"/>
      <w:lvlText w:val="•"/>
      <w:numFmt w:val="bullet"/>
      <w:start w:val="1"/>
    </w:lvl>
  </w:abstractNum>
  <w:abstractNum w:abstractNumId="17">
    <w:nsid w:val="539F7F12"/>
    <w:multiLevelType w:val="hybridMultilevel"/>
    <w:lvl w:ilvl="0">
      <w:lvlJc w:val="left"/>
      <w:lvlText w:val="(%1)"/>
      <w:numFmt w:val="decimal"/>
      <w:start w:val="1"/>
    </w:lvl>
  </w:abstractNum>
  <w:abstractNum w:abstractNumId="18">
    <w:nsid w:val="2817E7EC"/>
    <w:multiLevelType w:val="hybridMultilevel"/>
    <w:lvl w:ilvl="0">
      <w:lvlJc w:val="left"/>
      <w:lvlText w:val="(%1)"/>
      <w:numFmt w:val="decimal"/>
      <w:start w:val="2"/>
    </w:lvl>
  </w:abstractNum>
  <w:abstractNum w:abstractNumId="19">
    <w:nsid w:val="71482545"/>
    <w:multiLevelType w:val="hybridMultilevel"/>
    <w:lvl w:ilvl="0">
      <w:lvlJc w:val="left"/>
      <w:lvlText w:val="(%1)"/>
      <w:numFmt w:val="decimal"/>
      <w:start w:val="2"/>
    </w:lvl>
  </w:abstractNum>
  <w:abstractNum w:abstractNumId="20">
    <w:nsid w:val="17D78639"/>
    <w:multiLevelType w:val="hybridMultilevel"/>
    <w:lvl w:ilvl="0">
      <w:lvlJc w:val="left"/>
      <w:lvlText w:val="(%1)"/>
      <w:numFmt w:val="decimal"/>
      <w:start w:val="3"/>
    </w:lvl>
  </w:abstractNum>
  <w:abstractNum w:abstractNumId="21">
    <w:nsid w:val="141D2302"/>
    <w:multiLevelType w:val="hybridMultilevel"/>
    <w:lvl w:ilvl="0">
      <w:lvlJc w:val="left"/>
      <w:lvlText w:val="•"/>
      <w:numFmt w:val="bullet"/>
      <w:start w:val="1"/>
    </w:lvl>
  </w:abstractNum>
  <w:abstractNum w:abstractNumId="22">
    <w:nsid w:val="407168D8"/>
    <w:multiLevelType w:val="hybridMultilevel"/>
    <w:lvl w:ilvl="0">
      <w:lvlJc w:val="left"/>
      <w:lvlText w:val="•"/>
      <w:numFmt w:val="bullet"/>
      <w:start w:val="1"/>
    </w:lvl>
  </w:abstractNum>
  <w:abstractNum w:abstractNumId="23">
    <w:nsid w:val="6A1B45E5"/>
    <w:multiLevelType w:val="hybridMultilevel"/>
    <w:lvl w:ilvl="0">
      <w:lvlJc w:val="left"/>
      <w:lvlText w:val="•"/>
      <w:numFmt w:val="bullet"/>
      <w:start w:val="1"/>
    </w:lvl>
  </w:abstractNum>
  <w:abstractNum w:abstractNumId="24">
    <w:nsid w:val="567BD50A"/>
    <w:multiLevelType w:val="hybridMultilevel"/>
    <w:lvl w:ilvl="0">
      <w:lvlJc w:val="left"/>
      <w:lvlText w:val="•"/>
      <w:numFmt w:val="bullet"/>
      <w:start w:val="1"/>
    </w:lvl>
  </w:abstractNum>
  <w:abstractNum w:abstractNumId="25">
    <w:nsid w:val="73BBD7F8"/>
    <w:multiLevelType w:val="hybridMultilevel"/>
    <w:lvl w:ilvl="0">
      <w:lvlJc w:val="left"/>
      <w:lvlText w:val="•"/>
      <w:numFmt w:val="bullet"/>
      <w:start w:val="1"/>
    </w:lvl>
  </w:abstractNum>
  <w:abstractNum w:abstractNumId="26">
    <w:nsid w:val="1876589D"/>
    <w:multiLevelType w:val="hybridMultilevel"/>
    <w:lvl w:ilvl="0">
      <w:lvlJc w:val="left"/>
      <w:lvlText w:val="•"/>
      <w:numFmt w:val="bullet"/>
      <w:start w:val="1"/>
    </w:lvl>
  </w:abstractNum>
  <w:abstractNum w:abstractNumId="27">
    <w:nsid w:val="327FAC77"/>
    <w:multiLevelType w:val="hybridMultilevel"/>
    <w:lvl w:ilvl="0">
      <w:lvlJc w:val="left"/>
      <w:lvlText w:val="•"/>
      <w:numFmt w:val="bullet"/>
      <w:start w:val="1"/>
    </w:lvl>
  </w:abstractNum>
  <w:abstractNum w:abstractNumId="28">
    <w:nsid w:val="5A606509"/>
    <w:multiLevelType w:val="hybridMultilevel"/>
    <w:lvl w:ilvl="0">
      <w:lvlJc w:val="left"/>
      <w:lvlText w:val="•"/>
      <w:numFmt w:val="bullet"/>
      <w:start w:val="1"/>
    </w:lvl>
  </w:abstractNum>
  <w:abstractNum w:abstractNumId="29">
    <w:nsid w:val="6F38E6D1"/>
    <w:multiLevelType w:val="hybridMultilevel"/>
    <w:lvl w:ilvl="0">
      <w:lvlJc w:val="left"/>
      <w:lvlText w:val="•"/>
      <w:numFmt w:val="bullet"/>
      <w:start w:val="1"/>
    </w:lvl>
  </w:abstractNum>
  <w:abstractNum w:abstractNumId="30">
    <w:nsid w:val="46111BA5"/>
    <w:multiLevelType w:val="hybridMultilevel"/>
    <w:lvl w:ilvl="0">
      <w:lvlJc w:val="left"/>
      <w:lvlText w:val="•"/>
      <w:numFmt w:val="bullet"/>
      <w:start w:val="1"/>
    </w:lvl>
  </w:abstractNum>
  <w:abstractNum w:abstractNumId="31">
    <w:nsid w:val="5E963896"/>
    <w:multiLevelType w:val="hybridMultilevel"/>
    <w:lvl w:ilvl="0">
      <w:lvlJc w:val="left"/>
      <w:lvlText w:val="•"/>
      <w:numFmt w:val="bullet"/>
      <w:start w:val="1"/>
    </w:lvl>
  </w:abstractNum>
  <w:abstractNum w:abstractNumId="32">
    <w:nsid w:val="775BA7C1"/>
    <w:multiLevelType w:val="hybridMultilevel"/>
    <w:lvl w:ilvl="0">
      <w:lvlJc w:val="left"/>
      <w:lvlText w:val="•"/>
      <w:numFmt w:val="bullet"/>
      <w:start w:val="1"/>
    </w:lvl>
  </w:abstractNum>
  <w:abstractNum w:abstractNumId="33">
    <w:nsid w:val="1DD6D6F4"/>
    <w:multiLevelType w:val="hybridMultilevel"/>
    <w:lvl w:ilvl="0">
      <w:lvlJc w:val="left"/>
      <w:lvlText w:val="•"/>
      <w:numFmt w:val="bullet"/>
      <w:start w:val="1"/>
    </w:lvl>
  </w:abstractNum>
  <w:abstractNum w:abstractNumId="34">
    <w:nsid w:val="769A091F"/>
    <w:multiLevelType w:val="hybridMultilevel"/>
    <w:lvl w:ilvl="0">
      <w:lvlJc w:val="left"/>
      <w:lvlText w:val="•"/>
      <w:numFmt w:val="bullet"/>
      <w:start w:val="1"/>
    </w:lvl>
  </w:abstractNum>
  <w:abstractNum w:abstractNumId="35">
    <w:nsid w:val="4695AE95"/>
    <w:multiLevelType w:val="hybridMultilevel"/>
    <w:lvl w:ilvl="0">
      <w:lvlJc w:val="left"/>
      <w:lvlText w:val="•"/>
      <w:numFmt w:val="bullet"/>
      <w:start w:val="1"/>
    </w:lvl>
  </w:abstractNum>
  <w:abstractNum w:abstractNumId="36">
    <w:nsid w:val="777A4EAA"/>
    <w:multiLevelType w:val="hybridMultilevel"/>
    <w:lvl w:ilvl="0">
      <w:lvlJc w:val="left"/>
      <w:lvlText w:val="•"/>
      <w:numFmt w:val="bullet"/>
      <w:start w:val="1"/>
    </w:lvl>
  </w:abstractNum>
  <w:abstractNum w:abstractNumId="37">
    <w:nsid w:val="3F48B982"/>
    <w:multiLevelType w:val="hybridMultilevel"/>
    <w:lvl w:ilvl="0">
      <w:lvlJc w:val="left"/>
      <w:lvlText w:val="•"/>
      <w:numFmt w:val="bullet"/>
      <w:start w:val="1"/>
    </w:lvl>
  </w:abstractNum>
  <w:abstractNum w:abstractNumId="38">
    <w:nsid w:val="46BA8FCA"/>
    <w:multiLevelType w:val="hybridMultilevel"/>
    <w:lvl w:ilvl="0">
      <w:lvlJc w:val="left"/>
      <w:lvlText w:val="•"/>
      <w:numFmt w:val="bullet"/>
      <w:start w:val="1"/>
    </w:lvl>
  </w:abstractNum>
  <w:abstractNum w:abstractNumId="39">
    <w:nsid w:val="7835626C"/>
    <w:multiLevelType w:val="hybridMultilevel"/>
    <w:lvl w:ilvl="0">
      <w:lvlJc w:val="left"/>
      <w:lvlText w:val="•"/>
      <w:numFmt w:val="bullet"/>
      <w:start w:val="1"/>
    </w:lvl>
  </w:abstractNum>
  <w:abstractNum w:abstractNumId="40">
    <w:nsid w:val="665ACA49"/>
    <w:multiLevelType w:val="hybridMultilevel"/>
    <w:lvl w:ilvl="0">
      <w:lvlJc w:val="left"/>
      <w:lvlText w:val="•"/>
      <w:numFmt w:val="bullet"/>
      <w:start w:val="1"/>
    </w:lvl>
  </w:abstractNum>
  <w:abstractNum w:abstractNumId="41">
    <w:nsid w:val="6835B2AE"/>
    <w:multiLevelType w:val="hybridMultilevel"/>
    <w:lvl w:ilvl="0">
      <w:lvlJc w:val="left"/>
      <w:lvlText w:val="•"/>
      <w:numFmt w:val="bullet"/>
      <w:start w:val="1"/>
    </w:lvl>
  </w:abstractNum>
  <w:abstractNum w:abstractNumId="42">
    <w:nsid w:val="4C187C90"/>
    <w:multiLevelType w:val="hybridMultilevel"/>
    <w:lvl w:ilvl="0">
      <w:lvlJc w:val="left"/>
      <w:lvlText w:val="•"/>
      <w:numFmt w:val="bullet"/>
      <w:start w:val="1"/>
    </w:lvl>
  </w:abstractNum>
  <w:abstractNum w:abstractNumId="43">
    <w:nsid w:val="541F28CD"/>
    <w:multiLevelType w:val="hybridMultilevel"/>
    <w:lvl w:ilvl="0">
      <w:lvlJc w:val="left"/>
      <w:lvlText w:val="•"/>
      <w:numFmt w:val="bullet"/>
      <w:start w:val="1"/>
    </w:lvl>
  </w:abstractNum>
  <w:abstractNum w:abstractNumId="44">
    <w:nsid w:val="7F65FD16"/>
    <w:multiLevelType w:val="hybridMultilevel"/>
    <w:lvl w:ilvl="0">
      <w:lvlJc w:val="left"/>
      <w:lvlText w:val="•"/>
      <w:numFmt w:val="bullet"/>
      <w:start w:val="1"/>
    </w:lvl>
  </w:abstractNum>
  <w:abstractNum w:abstractNumId="45">
    <w:nsid w:val="77C9FD68"/>
    <w:multiLevelType w:val="hybridMultilevel"/>
    <w:lvl w:ilvl="0">
      <w:lvlJc w:val="left"/>
      <w:lvlText w:val="•"/>
      <w:numFmt w:val="bullet"/>
      <w:start w:val="1"/>
    </w:lvl>
  </w:abstractNum>
  <w:abstractNum w:abstractNumId="46">
    <w:nsid w:val="298A92BA"/>
    <w:multiLevelType w:val="hybridMultilevel"/>
    <w:lvl w:ilvl="0">
      <w:lvlJc w:val="left"/>
      <w:lvlText w:val="•"/>
      <w:numFmt w:val="bullet"/>
      <w:start w:val="1"/>
    </w:lvl>
  </w:abstractNum>
  <w:abstractNum w:abstractNumId="47">
    <w:nsid w:val="6FE95EAC"/>
    <w:multiLevelType w:val="hybridMultilevel"/>
    <w:lvl w:ilvl="0">
      <w:lvlJc w:val="left"/>
      <w:lvlText w:val="•"/>
      <w:numFmt w:val="bullet"/>
      <w:start w:val="1"/>
    </w:lvl>
  </w:abstractNum>
  <w:abstractNum w:abstractNumId="48">
    <w:nsid w:val="4B697C7A"/>
    <w:multiLevelType w:val="hybridMultilevel"/>
    <w:lvl w:ilvl="0">
      <w:lvlJc w:val="left"/>
      <w:lvlText w:val="•"/>
      <w:numFmt w:val="bullet"/>
      <w:start w:val="1"/>
    </w:lvl>
  </w:abstractNum>
  <w:abstractNum w:abstractNumId="49">
    <w:nsid w:val="51A27AA6"/>
    <w:multiLevelType w:val="hybridMultilevel"/>
    <w:lvl w:ilvl="0">
      <w:lvlJc w:val="left"/>
      <w:lvlText w:val="•"/>
      <w:numFmt w:val="bullet"/>
      <w:start w:val="1"/>
    </w:lvl>
  </w:abstractNum>
  <w:abstractNum w:abstractNumId="50">
    <w:nsid w:val="613183F2"/>
    <w:multiLevelType w:val="hybridMultilevel"/>
    <w:lvl w:ilvl="0">
      <w:lvlJc w:val="left"/>
      <w:lvlText w:val="•"/>
      <w:numFmt w:val="bullet"/>
      <w:start w:val="1"/>
    </w:lvl>
  </w:abstractNum>
  <w:abstractNum w:abstractNumId="51">
    <w:nsid w:val="634102B4"/>
    <w:multiLevelType w:val="hybridMultilevel"/>
    <w:lvl w:ilvl="0">
      <w:lvlJc w:val="left"/>
      <w:lvlText w:val="$"/>
      <w:numFmt w:val="bullet"/>
      <w:start w:val="1"/>
    </w:lvl>
  </w:abstractNum>
  <w:abstractNum w:abstractNumId="52">
    <w:nsid w:val="65BF9DA8"/>
    <w:multiLevelType w:val="hybridMultilevel"/>
    <w:lvl w:ilvl="0">
      <w:lvlJc w:val="left"/>
      <w:lvlText w:val="$"/>
      <w:numFmt w:val="bullet"/>
      <w:start w:val="1"/>
    </w:lvl>
  </w:abstractNum>
  <w:abstractNum w:abstractNumId="53">
    <w:nsid w:val="21A2ECCA"/>
    <w:multiLevelType w:val="hybridMultilevel"/>
    <w:lvl w:ilvl="0">
      <w:lvlJc w:val="left"/>
      <w:lvlText w:val="•"/>
      <w:numFmt w:val="bullet"/>
      <w:start w:val="1"/>
    </w:lvl>
  </w:abstractNum>
  <w:abstractNum w:abstractNumId="54">
    <w:nsid w:val="4D5C4899"/>
    <w:multiLevelType w:val="hybridMultilevel"/>
    <w:lvl w:ilvl="0">
      <w:lvlJc w:val="left"/>
      <w:lvlText w:val="•"/>
      <w:numFmt w:val="bullet"/>
      <w:start w:val="1"/>
    </w:lvl>
  </w:abstractNum>
  <w:abstractNum w:abstractNumId="55">
    <w:nsid w:val="3C3B72B2"/>
    <w:multiLevelType w:val="hybridMultilevel"/>
    <w:lvl w:ilvl="0">
      <w:lvlJc w:val="left"/>
      <w:lvlText w:val="(%1)"/>
      <w:numFmt w:val="decimal"/>
      <w:start w:val="1"/>
    </w:lvl>
  </w:abstractNum>
  <w:abstractNum w:abstractNumId="56">
    <w:nsid w:val="155EC4C2"/>
    <w:multiLevelType w:val="hybridMultilevel"/>
    <w:lvl w:ilvl="0">
      <w:lvlJc w:val="left"/>
      <w:lvlText w:val="(%1)"/>
      <w:numFmt w:val="decimal"/>
      <w:start w:val="2"/>
    </w:lvl>
  </w:abstractNum>
  <w:abstractNum w:abstractNumId="57">
    <w:nsid w:val="65D2A137"/>
    <w:multiLevelType w:val="hybridMultilevel"/>
    <w:lvl w:ilvl="0">
      <w:lvlJc w:val="left"/>
      <w:lvlText w:val="•"/>
      <w:numFmt w:val="bullet"/>
      <w:start w:val="1"/>
    </w:lvl>
  </w:abstractNum>
  <w:abstractNum w:abstractNumId="58">
    <w:nsid w:val="6EBB1F2A"/>
    <w:multiLevelType w:val="hybridMultilevel"/>
    <w:lvl w:ilvl="0">
      <w:lvlJc w:val="left"/>
      <w:lvlText w:val="•"/>
      <w:numFmt w:val="bullet"/>
      <w:start w:val="1"/>
    </w:lvl>
  </w:abstractNum>
  <w:abstractNum w:abstractNumId="59">
    <w:nsid w:val="6FBF29CB"/>
    <w:multiLevelType w:val="hybridMultilevel"/>
    <w:lvl w:ilvl="0">
      <w:lvlJc w:val="left"/>
      <w:lvlText w:val="•"/>
      <w:numFmt w:val="bullet"/>
      <w:start w:val="1"/>
    </w:lvl>
    <w:lvl w:ilvl="1">
      <w:lvlJc w:val="left"/>
      <w:lvlText w:val="(%2)"/>
      <w:numFmt w:val="lowerRoman"/>
      <w:start w:val="2"/>
    </w:lvl>
  </w:abstractNum>
  <w:abstractNum w:abstractNumId="60">
    <w:nsid w:val="550B8808"/>
    <w:multiLevelType w:val="hybridMultilevel"/>
    <w:lvl w:ilvl="0">
      <w:lvlJc w:val="left"/>
      <w:lvlText w:val="•"/>
      <w:numFmt w:val="bullet"/>
      <w:start w:val="1"/>
    </w:lvl>
    <w:lvl w:ilvl="1">
      <w:lvlJc w:val="left"/>
      <w:lvlText w:val="(%2)"/>
      <w:numFmt w:val="lowerRoman"/>
      <w:start w:val="5"/>
    </w:lvl>
  </w:abstractNum>
  <w:abstractNum w:abstractNumId="61">
    <w:nsid w:val="34CC3ACF"/>
    <w:multiLevelType w:val="hybridMultilevel"/>
    <w:lvl w:ilvl="0">
      <w:lvlJc w:val="left"/>
      <w:lvlText w:val="(%1)"/>
      <w:numFmt w:val="decimal"/>
      <w:start w:val="1"/>
    </w:lvl>
  </w:abstractNum>
  <w:abstractNum w:abstractNumId="62">
    <w:nsid w:val="4E556261"/>
    <w:multiLevelType w:val="hybridMultilevel"/>
    <w:lvl w:ilvl="0">
      <w:lvlJc w:val="left"/>
      <w:lvlText w:val="(%1)"/>
      <w:numFmt w:val="lowerLetter"/>
      <w:start w:val="5"/>
    </w:lvl>
  </w:abstractNum>
  <w:abstractNum w:abstractNumId="63">
    <w:nsid w:val="4C672FC9"/>
    <w:multiLevelType w:val="hybridMultilevel"/>
    <w:lvl w:ilvl="0">
      <w:lvlJc w:val="left"/>
      <w:lvlText w:val="(%1)"/>
      <w:numFmt w:val="decimal"/>
      <w:start w:val="1"/>
    </w:lvl>
  </w:abstractNum>
  <w:abstractNum w:abstractNumId="64">
    <w:nsid w:val="52A311C3"/>
    <w:multiLevelType w:val="hybridMultilevel"/>
    <w:lvl w:ilvl="0">
      <w:lvlJc w:val="left"/>
      <w:lvlText w:val="•"/>
      <w:numFmt w:val="bullet"/>
      <w:start w:val="1"/>
    </w:lvl>
  </w:abstractNum>
  <w:abstractNum w:abstractNumId="65">
    <w:nsid w:val="44EF6B80"/>
    <w:multiLevelType w:val="hybridMultilevel"/>
    <w:lvl w:ilvl="0">
      <w:lvlJc w:val="left"/>
      <w:lvlText w:val="•"/>
      <w:numFmt w:val="bullet"/>
      <w:start w:val="1"/>
    </w:lvl>
  </w:abstractNum>
  <w:abstractNum w:abstractNumId="66">
    <w:nsid w:val="12FCDE5E"/>
    <w:multiLevelType w:val="hybridMultilevel"/>
    <w:lvl w:ilvl="0">
      <w:lvlJc w:val="left"/>
      <w:lvlText w:val="•"/>
      <w:numFmt w:val="bullet"/>
      <w:start w:val="1"/>
    </w:lvl>
  </w:abstractNum>
  <w:abstractNum w:abstractNumId="67">
    <w:nsid w:val="4A1D606E"/>
    <w:multiLevelType w:val="hybridMultilevel"/>
    <w:lvl w:ilvl="0">
      <w:lvlJc w:val="left"/>
      <w:lvlText w:val="•"/>
      <w:numFmt w:val="bullet"/>
      <w:start w:val="1"/>
    </w:lvl>
  </w:abstractNum>
  <w:abstractNum w:abstractNumId="68">
    <w:nsid w:val="4382503"/>
    <w:multiLevelType w:val="hybridMultilevel"/>
    <w:lvl w:ilvl="0">
      <w:lvlJc w:val="left"/>
      <w:lvlText w:val="•"/>
      <w:numFmt w:val="bullet"/>
      <w:start w:val="1"/>
    </w:lvl>
  </w:abstractNum>
  <w:abstractNum w:abstractNumId="69">
    <w:nsid w:val="59B76E28"/>
    <w:multiLevelType w:val="hybridMultilevel"/>
    <w:lvl w:ilvl="0">
      <w:lvlJc w:val="left"/>
      <w:lvlText w:val="•"/>
      <w:numFmt w:val="bullet"/>
      <w:start w:val="1"/>
    </w:lvl>
  </w:abstractNum>
  <w:abstractNum w:abstractNumId="70">
    <w:nsid w:val="4252C2DA"/>
    <w:multiLevelType w:val="hybridMultilevel"/>
    <w:lvl w:ilvl="0">
      <w:lvlJc w:val="left"/>
      <w:lvlText w:val="•"/>
      <w:numFmt w:val="bullet"/>
      <w:start w:val="1"/>
    </w:lvl>
  </w:abstractNum>
  <w:abstractNum w:abstractNumId="71">
    <w:nsid w:val="6A92EF4C"/>
    <w:multiLevelType w:val="hybridMultilevel"/>
    <w:lvl w:ilvl="0">
      <w:lvlJc w:val="left"/>
      <w:lvlText w:val="•"/>
      <w:numFmt w:val="bullet"/>
      <w:start w:val="1"/>
    </w:lvl>
  </w:abstractNum>
  <w:abstractNum w:abstractNumId="72">
    <w:nsid w:val="41ED20D7"/>
    <w:multiLevelType w:val="hybridMultilevel"/>
    <w:lvl w:ilvl="0">
      <w:lvlJc w:val="left"/>
      <w:lvlText w:val="•"/>
      <w:numFmt w:val="bullet"/>
      <w:start w:val="1"/>
    </w:lvl>
  </w:abstractNum>
  <w:abstractNum w:abstractNumId="73">
    <w:nsid w:val="E6B3F6A"/>
    <w:multiLevelType w:val="hybridMultilevel"/>
    <w:lvl w:ilvl="0">
      <w:lvlJc w:val="left"/>
      <w:lvlText w:val="(%1)"/>
      <w:numFmt w:val="decimal"/>
      <w:start w:val="1"/>
    </w:lvl>
  </w:abstractNum>
  <w:abstractNum w:abstractNumId="74">
    <w:nsid w:val="3EB21819"/>
    <w:multiLevelType w:val="hybridMultilevel"/>
    <w:lvl w:ilvl="0">
      <w:lvlJc w:val="left"/>
      <w:lvlText w:val="•"/>
      <w:numFmt w:val="bullet"/>
      <w:start w:val="1"/>
    </w:lvl>
  </w:abstractNum>
  <w:abstractNum w:abstractNumId="75">
    <w:nsid w:val="41531DED"/>
    <w:multiLevelType w:val="hybridMultilevel"/>
    <w:lvl w:ilvl="0">
      <w:lvlJc w:val="left"/>
      <w:lvlText w:val="•"/>
      <w:numFmt w:val="bullet"/>
      <w:start w:val="1"/>
    </w:lvl>
  </w:abstractNum>
  <w:abstractNum w:abstractNumId="76">
    <w:nsid w:val="6353CD2"/>
    <w:multiLevelType w:val="hybridMultilevel"/>
    <w:lvl w:ilvl="0">
      <w:lvlJc w:val="left"/>
      <w:lvlText w:val="•"/>
      <w:numFmt w:val="bullet"/>
      <w:start w:val="1"/>
    </w:lvl>
  </w:abstractNum>
  <w:abstractNum w:abstractNumId="77">
    <w:nsid w:val="683CAAD3"/>
    <w:multiLevelType w:val="hybridMultilevel"/>
    <w:lvl w:ilvl="0">
      <w:lvlJc w:val="left"/>
      <w:lvlText w:val="•"/>
      <w:numFmt w:val="bullet"/>
      <w:start w:val="1"/>
    </w:lvl>
  </w:abstractNum>
  <w:abstractNum w:abstractNumId="78">
    <w:nsid w:val="313C7C99"/>
    <w:multiLevelType w:val="hybridMultilevel"/>
    <w:lvl w:ilvl="0">
      <w:lvlJc w:val="left"/>
      <w:lvlText w:val="(%1)"/>
      <w:numFmt w:val="decimal"/>
      <w:start w:val="2"/>
    </w:lvl>
  </w:abstractNum>
  <w:abstractNum w:abstractNumId="79">
    <w:nsid w:val="519EB94C"/>
    <w:multiLevelType w:val="hybridMultilevel"/>
    <w:lvl w:ilvl="0">
      <w:lvlJc w:val="left"/>
      <w:lvlText w:val="(%1)"/>
      <w:numFmt w:val="decimal"/>
    </w:lvl>
    <w:lvl w:ilvl="1">
      <w:lvlJc w:val="left"/>
      <w:lvlText w:val="•"/>
      <w:numFmt w:val="bullet"/>
      <w:start w:val="1"/>
    </w:lvl>
  </w:abstractNum>
  <w:abstractNum w:abstractNumId="80">
    <w:nsid w:val="39DF2579"/>
    <w:multiLevelType w:val="hybridMultilevel"/>
    <w:lvl w:ilvl="0">
      <w:lvlJc w:val="left"/>
      <w:lvlText w:val="•"/>
      <w:numFmt w:val="bullet"/>
      <w:start w:val="1"/>
    </w:lvl>
  </w:abstractNum>
  <w:abstractNum w:abstractNumId="81">
    <w:nsid w:val="126E008B"/>
    <w:multiLevelType w:val="hybridMultilevel"/>
    <w:lvl w:ilvl="0">
      <w:lvlJc w:val="left"/>
      <w:lvlText w:val="•"/>
      <w:numFmt w:val="bullet"/>
      <w:start w:val="1"/>
    </w:lvl>
  </w:abstractNum>
  <w:abstractNum w:abstractNumId="82">
    <w:nsid w:val="34DFBC00"/>
    <w:multiLevelType w:val="hybridMultilevel"/>
    <w:lvl w:ilvl="0">
      <w:lvlJc w:val="left"/>
      <w:lvlText w:val="•"/>
      <w:numFmt w:val="bullet"/>
      <w:start w:val="1"/>
    </w:lvl>
  </w:abstractNum>
  <w:abstractNum w:abstractNumId="83">
    <w:nsid w:val="1F9EC322"/>
    <w:multiLevelType w:val="hybridMultilevel"/>
    <w:lvl w:ilvl="0">
      <w:lvlJc w:val="left"/>
      <w:lvlText w:val="•"/>
      <w:numFmt w:val="bullet"/>
      <w:start w:val="1"/>
    </w:lvl>
  </w:abstractNum>
  <w:abstractNum w:abstractNumId="84">
    <w:nsid w:val="3410ED56"/>
    <w:multiLevelType w:val="hybridMultilevel"/>
    <w:lvl w:ilvl="0">
      <w:lvlJc w:val="left"/>
      <w:lvlText w:val="•"/>
      <w:numFmt w:val="bullet"/>
      <w:start w:val="1"/>
    </w:lvl>
  </w:abstractNum>
  <w:abstractNum w:abstractNumId="85">
    <w:nsid w:val="23C049A"/>
    <w:multiLevelType w:val="hybridMultilevel"/>
    <w:lvl w:ilvl="0">
      <w:lvlJc w:val="left"/>
      <w:lvlText w:val="•"/>
      <w:numFmt w:val="bullet"/>
      <w:start w:val="1"/>
    </w:lvl>
  </w:abstractNum>
  <w:abstractNum w:abstractNumId="86">
    <w:nsid w:val="5BDA35D4"/>
    <w:multiLevelType w:val="hybridMultilevel"/>
    <w:lvl w:ilvl="0">
      <w:lvlJc w:val="left"/>
      <w:lvlText w:val="(%1)"/>
      <w:numFmt w:val="lowerRoman"/>
      <w:start w:val="1"/>
    </w:lvl>
  </w:abstractNum>
  <w:abstractNum w:abstractNumId="87">
    <w:nsid w:val="496FB218"/>
    <w:multiLevelType w:val="hybridMultilevel"/>
    <w:lvl w:ilvl="0">
      <w:lvlJc w:val="left"/>
      <w:lvlText w:val="(%1)"/>
      <w:numFmt w:val="decimal"/>
      <w:start w:val="1"/>
    </w:lvl>
  </w:abstractNum>
  <w:abstractNum w:abstractNumId="88">
    <w:nsid w:val="680EA5D1"/>
    <w:multiLevelType w:val="hybridMultilevel"/>
    <w:lvl w:ilvl="0">
      <w:lvlJc w:val="left"/>
      <w:lvlText w:val="•"/>
      <w:numFmt w:val="bullet"/>
      <w:start w:val="1"/>
    </w:lvl>
  </w:abstractNum>
  <w:abstractNum w:abstractNumId="89">
    <w:nsid w:val="4A9554FE"/>
    <w:multiLevelType w:val="hybridMultilevel"/>
    <w:lvl w:ilvl="0">
      <w:lvlJc w:val="left"/>
      <w:lvlText w:val="(%1)"/>
      <w:numFmt w:val="decimal"/>
      <w:start w:val="1"/>
    </w:lvl>
  </w:abstractNum>
  <w:abstractNum w:abstractNumId="90">
    <w:nsid w:val="392EDBE4"/>
    <w:multiLevelType w:val="hybridMultilevel"/>
    <w:lvl w:ilvl="0">
      <w:lvlJc w:val="left"/>
      <w:lvlText w:val="(%1)"/>
      <w:numFmt w:val="decimal"/>
      <w:start w:val="1"/>
    </w:lvl>
  </w:abstractNum>
  <w:abstractNum w:abstractNumId="91">
    <w:nsid w:val="3D1A2DD9"/>
    <w:multiLevelType w:val="hybridMultilevel"/>
    <w:lvl w:ilvl="0">
      <w:lvlJc w:val="left"/>
      <w:lvlText w:val="(%1)"/>
      <w:numFmt w:val="decimal"/>
      <w:start w:val="1"/>
    </w:lvl>
  </w:abstractNum>
  <w:abstractNum w:abstractNumId="92">
    <w:nsid w:val="7F618FCD"/>
    <w:multiLevelType w:val="hybridMultilevel"/>
    <w:lvl w:ilvl="0">
      <w:lvlJc w:val="left"/>
      <w:lvlText w:val="(%1)"/>
      <w:numFmt w:val="decimal"/>
      <w:start w:val="6"/>
    </w:lvl>
  </w:abstractNum>
  <w:abstractNum w:abstractNumId="93">
    <w:nsid w:val="7843E45"/>
    <w:multiLevelType w:val="hybridMultilevel"/>
    <w:lvl w:ilvl="0">
      <w:lvlJc w:val="left"/>
      <w:lvlText w:val="•"/>
      <w:numFmt w:val="bullet"/>
      <w:start w:val="1"/>
    </w:lvl>
  </w:abstractNum>
  <w:abstractNum w:abstractNumId="94">
    <w:nsid w:val="9815DA3"/>
    <w:multiLevelType w:val="hybridMultilevel"/>
    <w:lvl w:ilvl="0">
      <w:lvlJc w:val="left"/>
      <w:lvlText w:val="•"/>
      <w:numFmt w:val="bullet"/>
      <w:start w:val="1"/>
    </w:lvl>
  </w:abstractNum>
  <w:abstractNum w:abstractNumId="95">
    <w:nsid w:val="5204A191"/>
    <w:multiLevelType w:val="hybridMultilevel"/>
    <w:lvl w:ilvl="0">
      <w:lvlJc w:val="left"/>
      <w:lvlText w:val="•"/>
      <w:numFmt w:val="bullet"/>
      <w:start w:val="1"/>
    </w:lvl>
  </w:abstractNum>
  <w:abstractNum w:abstractNumId="96">
    <w:nsid w:val="4C73A9C6"/>
    <w:multiLevelType w:val="hybridMultilevel"/>
    <w:lvl w:ilvl="0">
      <w:lvlJc w:val="left"/>
      <w:lvlText w:val="(%1)"/>
      <w:numFmt w:val="lowerRoman"/>
      <w:start w:val="3"/>
    </w:lvl>
  </w:abstractNum>
  <w:abstractNum w:abstractNumId="97">
    <w:nsid w:val="1C7E3C01"/>
    <w:multiLevelType w:val="hybridMultilevel"/>
    <w:lvl w:ilvl="0">
      <w:lvlJc w:val="left"/>
      <w:lvlText w:val="•"/>
      <w:numFmt w:val="bullet"/>
      <w:start w:val="1"/>
    </w:lvl>
  </w:abstractNum>
  <w:abstractNum w:abstractNumId="98">
    <w:nsid w:val="1C2201FF"/>
    <w:multiLevelType w:val="hybridMultilevel"/>
    <w:lvl w:ilvl="0">
      <w:lvlJc w:val="left"/>
      <w:lvlText w:val="•"/>
      <w:numFmt w:val="bullet"/>
      <w:start w:val="1"/>
    </w:lvl>
  </w:abstractNum>
  <w:abstractNum w:abstractNumId="99">
    <w:nsid w:val="50ABCEC9"/>
    <w:multiLevelType w:val="hybridMultilevel"/>
    <w:lvl w:ilvl="0">
      <w:lvlJc w:val="left"/>
      <w:lvlText w:val="•"/>
      <w:numFmt w:val="bullet"/>
      <w:start w:val="1"/>
    </w:lvl>
  </w:abstractNum>
  <w:abstractNum w:abstractNumId="100">
    <w:nsid w:val="7635AA2A"/>
    <w:multiLevelType w:val="hybridMultilevel"/>
    <w:lvl w:ilvl="0">
      <w:lvlJc w:val="left"/>
      <w:lvlText w:val="•"/>
      <w:numFmt w:val="bullet"/>
      <w:start w:val="1"/>
    </w:lvl>
  </w:abstractNum>
  <w:abstractNum w:abstractNumId="101">
    <w:nsid w:val="5E74C4D9"/>
    <w:multiLevelType w:val="hybridMultilevel"/>
    <w:lvl w:ilvl="0">
      <w:lvlJc w:val="left"/>
      <w:lvlText w:val="•"/>
      <w:numFmt w:val="bullet"/>
      <w:start w:val="1"/>
    </w:lvl>
  </w:abstractNum>
  <w:abstractNum w:abstractNumId="102">
    <w:nsid w:val="3B3EBE15"/>
    <w:multiLevelType w:val="hybridMultilevel"/>
    <w:lvl w:ilvl="0">
      <w:lvlJc w:val="left"/>
      <w:lvlText w:val="•"/>
      <w:numFmt w:val="bullet"/>
      <w:start w:val="1"/>
    </w:lvl>
  </w:abstractNum>
  <w:abstractNum w:abstractNumId="103">
    <w:nsid w:val="3822CB01"/>
    <w:multiLevelType w:val="hybridMultilevel"/>
    <w:lvl w:ilvl="0">
      <w:lvlJc w:val="left"/>
      <w:lvlText w:val="•"/>
      <w:numFmt w:val="bullet"/>
      <w:start w:val="1"/>
    </w:lvl>
  </w:abstractNum>
  <w:abstractNum w:abstractNumId="104">
    <w:nsid w:val="6CE00443"/>
    <w:multiLevelType w:val="hybridMultilevel"/>
    <w:lvl w:ilvl="0">
      <w:lvlJc w:val="left"/>
      <w:lvlText w:val="•"/>
      <w:numFmt w:val="bullet"/>
      <w:start w:val="1"/>
    </w:lvl>
  </w:abstractNum>
  <w:abstractNum w:abstractNumId="105">
    <w:nsid w:val="79F0D62F"/>
    <w:multiLevelType w:val="hybridMultilevel"/>
    <w:lvl w:ilvl="0">
      <w:lvlJc w:val="left"/>
      <w:lvlText w:val="•"/>
      <w:numFmt w:val="bullet"/>
      <w:start w:val="1"/>
    </w:lvl>
  </w:abstractNum>
  <w:abstractNum w:abstractNumId="106">
    <w:nsid w:val="7975E8EE"/>
    <w:multiLevelType w:val="hybridMultilevel"/>
    <w:lvl w:ilvl="0">
      <w:lvlJc w:val="left"/>
      <w:lvlText w:val="•"/>
      <w:numFmt w:val="bullet"/>
      <w:start w:val="1"/>
    </w:lvl>
  </w:abstractNum>
  <w:abstractNum w:abstractNumId="107">
    <w:nsid w:val="73154115"/>
    <w:multiLevelType w:val="hybridMultilevel"/>
    <w:lvl w:ilvl="0">
      <w:lvlJc w:val="left"/>
      <w:lvlText w:val="•"/>
      <w:numFmt w:val="bullet"/>
      <w:start w:val="1"/>
    </w:lvl>
  </w:abstractNum>
  <w:abstractNum w:abstractNumId="108">
    <w:nsid w:val="622D8102"/>
    <w:multiLevelType w:val="hybridMultilevel"/>
    <w:lvl w:ilvl="0">
      <w:lvlJc w:val="left"/>
      <w:lvlText w:val="•"/>
      <w:numFmt w:val="bullet"/>
      <w:start w:val="1"/>
    </w:lvl>
  </w:abstractNum>
  <w:abstractNum w:abstractNumId="109">
    <w:nsid w:val="2AB26587"/>
    <w:multiLevelType w:val="hybridMultilevel"/>
    <w:lvl w:ilvl="0">
      <w:lvlJc w:val="left"/>
      <w:lvlText w:val="•"/>
      <w:numFmt w:val="bullet"/>
      <w:start w:val="1"/>
    </w:lvl>
  </w:abstractNum>
  <w:abstractNum w:abstractNumId="110">
    <w:nsid w:val="44B3FA61"/>
    <w:multiLevelType w:val="hybridMultilevel"/>
    <w:lvl w:ilvl="0">
      <w:lvlJc w:val="left"/>
      <w:lvlText w:val="(%1)"/>
      <w:numFmt w:val="decimal"/>
      <w:start w:val="1"/>
    </w:lvl>
  </w:abstractNum>
  <w:abstractNum w:abstractNumId="111">
    <w:nsid w:val="1C0CA67C"/>
    <w:multiLevelType w:val="hybridMultilevel"/>
    <w:lvl w:ilvl="0">
      <w:lvlJc w:val="left"/>
      <w:lvlText w:val="(%1)"/>
      <w:numFmt w:val="decimal"/>
      <w:start w:val="1"/>
    </w:lvl>
  </w:abstractNum>
  <w:abstractNum w:abstractNumId="112">
    <w:nsid w:val="3D206613"/>
    <w:multiLevelType w:val="hybridMultilevel"/>
    <w:lvl w:ilvl="0">
      <w:lvlJc w:val="left"/>
      <w:lvlText w:val="•"/>
      <w:numFmt w:val="bullet"/>
      <w:start w:val="1"/>
    </w:lvl>
  </w:abstractNum>
  <w:abstractNum w:abstractNumId="113">
    <w:nsid w:val="7993B662"/>
    <w:multiLevelType w:val="hybridMultilevel"/>
    <w:lvl w:ilvl="0">
      <w:lvlJc w:val="left"/>
      <w:lvlText w:val="(%1)"/>
      <w:numFmt w:val="decimal"/>
      <w:start w:val="6"/>
    </w:lvl>
  </w:abstractNum>
  <w:abstractNum w:abstractNumId="114">
    <w:nsid w:val="3BAB699E"/>
    <w:multiLevelType w:val="hybridMultilevel"/>
    <w:lvl w:ilvl="0">
      <w:lvlJc w:val="left"/>
      <w:lvlText w:val="•"/>
      <w:numFmt w:val="bullet"/>
      <w:start w:val="1"/>
    </w:lvl>
  </w:abstractNum>
  <w:abstractNum w:abstractNumId="115">
    <w:nsid w:val="71315369"/>
    <w:multiLevelType w:val="hybridMultilevel"/>
    <w:lvl w:ilvl="0">
      <w:lvlJc w:val="left"/>
      <w:lvlText w:val="•"/>
      <w:numFmt w:val="bullet"/>
      <w:start w:val="1"/>
    </w:lvl>
  </w:abstractNum>
  <w:abstractNum w:abstractNumId="116">
    <w:nsid w:val="7BCFBAFC"/>
    <w:multiLevelType w:val="hybridMultilevel"/>
    <w:lvl w:ilvl="0">
      <w:lvlJc w:val="left"/>
      <w:lvlText w:val="•"/>
      <w:numFmt w:val="bullet"/>
      <w:start w:val="1"/>
    </w:lvl>
  </w:abstractNum>
  <w:abstractNum w:abstractNumId="117">
    <w:nsid w:val="17859F72"/>
    <w:multiLevelType w:val="hybridMultilevel"/>
    <w:lvl w:ilvl="0">
      <w:lvlJc w:val="left"/>
      <w:lvlText w:val="•"/>
      <w:numFmt w:val="bullet"/>
      <w:start w:val="1"/>
    </w:lvl>
  </w:abstractNum>
  <w:abstractNum w:abstractNumId="118">
    <w:nsid w:val="3AA10581"/>
    <w:multiLevelType w:val="hybridMultilevel"/>
    <w:lvl w:ilvl="0">
      <w:lvlJc w:val="left"/>
      <w:lvlText w:val="•"/>
      <w:numFmt w:val="bullet"/>
      <w:start w:val="1"/>
    </w:lvl>
  </w:abstractNum>
  <w:abstractNum w:abstractNumId="119">
    <w:nsid w:val="63DE60CD"/>
    <w:multiLevelType w:val="hybridMultilevel"/>
    <w:lvl w:ilvl="0">
      <w:lvlJc w:val="left"/>
      <w:lvlText w:val="•"/>
      <w:numFmt w:val="bullet"/>
      <w:start w:val="1"/>
    </w:lvl>
  </w:abstractNum>
  <w:abstractNum w:abstractNumId="120">
    <w:nsid w:val="621AF471"/>
    <w:multiLevelType w:val="hybridMultilevel"/>
    <w:lvl w:ilvl="0">
      <w:lvlJc w:val="left"/>
      <w:lvlText w:val="•"/>
      <w:numFmt w:val="bullet"/>
      <w:start w:val="1"/>
    </w:lvl>
  </w:abstractNum>
  <w:abstractNum w:abstractNumId="121">
    <w:nsid w:val="73CFE165"/>
    <w:multiLevelType w:val="hybridMultilevel"/>
    <w:lvl w:ilvl="0">
      <w:lvlJc w:val="left"/>
      <w:lvlText w:val="•"/>
      <w:numFmt w:val="bullet"/>
      <w:start w:val="1"/>
    </w:lvl>
  </w:abstractNum>
  <w:abstractNum w:abstractNumId="122">
    <w:nsid w:val="20F88EA6"/>
    <w:multiLevelType w:val="hybridMultilevel"/>
    <w:lvl w:ilvl="0">
      <w:lvlJc w:val="left"/>
      <w:lvlText w:val="•"/>
      <w:numFmt w:val="bullet"/>
      <w:start w:val="1"/>
    </w:lvl>
  </w:abstractNum>
  <w:abstractNum w:abstractNumId="123">
    <w:nsid w:val="617C843E"/>
    <w:multiLevelType w:val="hybridMultilevel"/>
    <w:lvl w:ilvl="0">
      <w:lvlJc w:val="left"/>
      <w:lvlText w:val="•"/>
      <w:numFmt w:val="bullet"/>
      <w:start w:val="1"/>
    </w:lvl>
  </w:abstractNum>
  <w:abstractNum w:abstractNumId="124">
    <w:nsid w:val="7B541FAB"/>
    <w:multiLevelType w:val="hybridMultilevel"/>
    <w:lvl w:ilvl="0">
      <w:lvlJc w:val="left"/>
      <w:lvlText w:val="$"/>
      <w:numFmt w:val="bullet"/>
      <w:start w:val="1"/>
    </w:lvl>
  </w:abstractNum>
  <w:abstractNum w:abstractNumId="125">
    <w:nsid w:val="2A79EC49"/>
    <w:multiLevelType w:val="hybridMultilevel"/>
    <w:lvl w:ilvl="0">
      <w:lvlJc w:val="left"/>
      <w:lvlText w:val="(%1)"/>
      <w:numFmt w:val="lowerLetter"/>
      <w:start w:val="1"/>
    </w:lvl>
  </w:abstractNum>
  <w:abstractNum w:abstractNumId="126">
    <w:nsid w:val="338125CF"/>
    <w:multiLevelType w:val="hybridMultilevel"/>
    <w:lvl w:ilvl="0">
      <w:lvlJc w:val="left"/>
      <w:lvlText w:val="(%1)"/>
      <w:numFmt w:val="lowerLetter"/>
      <w:start w:val="3"/>
    </w:lvl>
  </w:abstractNum>
  <w:abstractNum w:abstractNumId="127">
    <w:nsid w:val="47C7C971"/>
    <w:multiLevelType w:val="hybridMultilevel"/>
    <w:lvl w:ilvl="0">
      <w:lvlJc w:val="left"/>
      <w:lvlText w:val="(%1)"/>
      <w:numFmt w:val="lowerLetter"/>
      <w:start w:val="1"/>
    </w:lvl>
  </w:abstractNum>
  <w:abstractNum w:abstractNumId="128">
    <w:nsid w:val="46F8284B"/>
    <w:multiLevelType w:val="hybridMultilevel"/>
    <w:lvl w:ilvl="0">
      <w:lvlJc w:val="left"/>
      <w:lvlText w:val="%1."/>
      <w:numFmt w:val="decimal"/>
      <w:start w:val="1"/>
    </w:lvl>
  </w:abstractNum>
  <w:abstractNum w:abstractNumId="129">
    <w:nsid w:val="4FA327CE"/>
    <w:multiLevelType w:val="hybridMultilevel"/>
    <w:lvl w:ilvl="0">
      <w:lvlJc w:val="left"/>
      <w:lvlText w:val="%1."/>
      <w:numFmt w:val="decimal"/>
      <w:start w:val="2"/>
    </w:lvl>
  </w:abstractNum>
  <w:abstractNum w:abstractNumId="130">
    <w:nsid w:val="1873983A"/>
    <w:multiLevelType w:val="hybridMultilevel"/>
    <w:lvl w:ilvl="0">
      <w:lvlJc w:val="left"/>
      <w:lvlText w:val="*"/>
      <w:numFmt w:val="bullet"/>
      <w:start w:val="1"/>
    </w:lvl>
  </w:abstractNum>
  <w:abstractNum w:abstractNumId="131">
    <w:nsid w:val="3D2DD275"/>
    <w:multiLevelType w:val="hybridMultilevel"/>
    <w:lvl w:ilvl="0">
      <w:lvlJc w:val="left"/>
      <w:lvlText w:val="(%1)"/>
      <w:numFmt w:val="lowerRoman"/>
      <w:start w:val="1"/>
    </w:lvl>
  </w:abstractNum>
  <w:abstractNum w:abstractNumId="132">
    <w:nsid w:val="2E17ECA7"/>
    <w:multiLevelType w:val="hybridMultilevel"/>
    <w:lvl w:ilvl="0">
      <w:lvlJc w:val="left"/>
      <w:lvlText w:val="%1."/>
      <w:numFmt w:val="decimal"/>
      <w:start w:val="350"/>
    </w:lvl>
  </w:abstractNum>
  <w:abstractNum w:abstractNumId="133">
    <w:nsid w:val="53B2564F"/>
    <w:multiLevelType w:val="hybridMultilevel"/>
    <w:lvl w:ilvl="0">
      <w:lvlJc w:val="left"/>
      <w:lvlText w:val="%1."/>
      <w:numFmt w:val="decimal"/>
      <w:start w:val="3"/>
    </w:lvl>
  </w:abstractNum>
  <w:abstractNum w:abstractNumId="134">
    <w:nsid w:val="75509D76"/>
    <w:multiLevelType w:val="hybridMultilevel"/>
    <w:lvl w:ilvl="0">
      <w:lvlJc w:val="left"/>
      <w:lvlText w:val="(%1)"/>
      <w:numFmt w:val="decimal"/>
      <w:start w:val="1"/>
    </w:lvl>
  </w:abstractNum>
  <w:abstractNum w:abstractNumId="135">
    <w:nsid w:val="1AF7F0EA"/>
    <w:multiLevelType w:val="hybridMultilevel"/>
    <w:lvl w:ilvl="0">
      <w:lvlJc w:val="left"/>
      <w:lvlText w:val="%1."/>
      <w:numFmt w:val="decimal"/>
      <w:start w:val="4"/>
    </w:lvl>
  </w:abstractNum>
  <w:abstractNum w:abstractNumId="136">
    <w:nsid w:val="4DA32C7E"/>
    <w:multiLevelType w:val="hybridMultilevel"/>
    <w:lvl w:ilvl="0">
      <w:lvlJc w:val="left"/>
      <w:lvlText w:val="%1."/>
      <w:numFmt w:val="decimal"/>
      <w:start w:val="5"/>
    </w:lvl>
  </w:abstractNum>
  <w:abstractNum w:abstractNumId="137">
    <w:nsid w:val="6EC68664"/>
    <w:multiLevelType w:val="hybridMultilevel"/>
    <w:lvl w:ilvl="0">
      <w:lvlJc w:val="left"/>
      <w:lvlText w:val="*"/>
      <w:numFmt w:val="bullet"/>
      <w:start w:val="1"/>
    </w:lvl>
  </w:abstractNum>
  <w:abstractNum w:abstractNumId="138">
    <w:nsid w:val="E0D31FF"/>
    <w:multiLevelType w:val="hybridMultilevel"/>
    <w:lvl w:ilvl="0">
      <w:lvlJc w:val="left"/>
      <w:lvlText w:val="*"/>
      <w:numFmt w:val="bullet"/>
      <w:start w:val="1"/>
    </w:lvl>
  </w:abstractNum>
  <w:abstractNum w:abstractNumId="139">
    <w:nsid w:val="2FD0AD81"/>
    <w:multiLevelType w:val="hybridMultilevel"/>
    <w:lvl w:ilvl="0">
      <w:lvlJc w:val="left"/>
      <w:lvlText w:val="%1."/>
      <w:numFmt w:val="decimal"/>
      <w:start w:val="6"/>
    </w:lvl>
  </w:abstractNum>
  <w:abstractNum w:abstractNumId="140">
    <w:nsid w:val="1978EBEB"/>
    <w:multiLevelType w:val="hybridMultilevel"/>
    <w:lvl w:ilvl="0">
      <w:lvlJc w:val="left"/>
      <w:lvlText w:val="%1."/>
      <w:numFmt w:val="decimal"/>
      <w:start w:val="7"/>
    </w:lvl>
  </w:abstractNum>
  <w:abstractNum w:abstractNumId="141">
    <w:nsid w:val="52C12C61"/>
    <w:multiLevelType w:val="hybridMultilevel"/>
    <w:lvl w:ilvl="0">
      <w:lvlJc w:val="left"/>
      <w:lvlText w:val="%1."/>
      <w:numFmt w:val="decimal"/>
      <w:start w:val="9"/>
    </w:lvl>
  </w:abstractNum>
  <w:abstractNum w:abstractNumId="142">
    <w:nsid w:val="4BDD53FD"/>
    <w:multiLevelType w:val="hybridMultilevel"/>
    <w:lvl w:ilvl="0">
      <w:lvlJc w:val="left"/>
      <w:lvlText w:val="•"/>
      <w:numFmt w:val="bullet"/>
      <w:start w:val="1"/>
    </w:lvl>
  </w:abstractNum>
  <w:abstractNum w:abstractNumId="143">
    <w:nsid w:val="569951FE"/>
    <w:multiLevelType w:val="hybridMultilevel"/>
    <w:lvl w:ilvl="0">
      <w:lvlJc w:val="left"/>
      <w:lvlText w:val="%1."/>
      <w:numFmt w:val="decimal"/>
      <w:start w:val="10"/>
    </w:lvl>
  </w:abstractNum>
  <w:abstractNum w:abstractNumId="144">
    <w:nsid w:val="4C54E2C3"/>
    <w:multiLevelType w:val="hybridMultilevel"/>
    <w:lvl w:ilvl="0">
      <w:lvlJc w:val="left"/>
      <w:lvlText w:val="*"/>
      <w:numFmt w:val="bullet"/>
      <w:start w:val="1"/>
    </w:lvl>
  </w:abstractNum>
  <w:abstractNum w:abstractNumId="145">
    <w:nsid w:val="788BD9B"/>
    <w:multiLevelType w:val="hybridMultilevel"/>
    <w:lvl w:ilvl="0">
      <w:lvlJc w:val="left"/>
      <w:lvlText w:val="*"/>
      <w:numFmt w:val="bullet"/>
      <w:start w:val="1"/>
    </w:lvl>
  </w:abstractNum>
  <w:abstractNum w:abstractNumId="146">
    <w:nsid w:val="47CAA567"/>
    <w:multiLevelType w:val="hybridMultilevel"/>
    <w:lvl w:ilvl="0">
      <w:lvlJc w:val="left"/>
      <w:lvlText w:val="%1."/>
      <w:numFmt w:val="decimal"/>
      <w:start w:val="11"/>
    </w:lvl>
  </w:abstractNum>
  <w:abstractNum w:abstractNumId="147">
    <w:nsid w:val="48249DBF"/>
    <w:multiLevelType w:val="hybridMultilevel"/>
    <w:lvl w:ilvl="0">
      <w:lvlJc w:val="left"/>
      <w:lvlText w:val="(%1)"/>
      <w:numFmt w:val="lowerRoman"/>
      <w:start w:val="1"/>
    </w:lvl>
  </w:abstractNum>
  <w:abstractNum w:abstractNumId="148">
    <w:nsid w:val="1F0E5D0D"/>
    <w:multiLevelType w:val="hybridMultilevel"/>
    <w:lvl w:ilvl="0">
      <w:lvlJc w:val="left"/>
      <w:lvlText w:val="(%1)"/>
      <w:numFmt w:val="lowerRoman"/>
      <w:start w:val="4"/>
    </w:lvl>
  </w:abstractNum>
  <w:abstractNum w:abstractNumId="149">
    <w:nsid w:val="26BAAE9"/>
    <w:multiLevelType w:val="hybridMultilevel"/>
    <w:lvl w:ilvl="0">
      <w:lvlJc w:val="left"/>
      <w:lvlText w:val="%1."/>
      <w:numFmt w:val="decimal"/>
      <w:start w:val="13"/>
    </w:lvl>
  </w:abstractNum>
  <w:abstractNum w:abstractNumId="150">
    <w:nsid w:val="2C02FE8C"/>
    <w:multiLevelType w:val="hybridMultilevel"/>
    <w:lvl w:ilvl="0">
      <w:lvlJc w:val="left"/>
      <w:lvlText w:val="%1."/>
      <w:numFmt w:val="decimal"/>
      <w:start w:val="14"/>
    </w:lvl>
  </w:abstractNum>
  <w:abstractNum w:abstractNumId="151">
    <w:nsid w:val="129517E"/>
    <w:multiLevelType w:val="hybridMultilevel"/>
    <w:lvl w:ilvl="0">
      <w:lvlJc w:val="left"/>
      <w:lvlText w:val="%1."/>
      <w:numFmt w:val="decimal"/>
      <w:start w:val="15"/>
    </w:lvl>
  </w:abstractNum>
  <w:abstractNum w:abstractNumId="152">
    <w:nsid w:val="763B8C4E"/>
    <w:multiLevelType w:val="hybridMultilevel"/>
    <w:lvl w:ilvl="0">
      <w:lvlJc w:val="left"/>
      <w:lvlText w:val="%1."/>
      <w:numFmt w:val="decimal"/>
      <w:start w:val="16"/>
    </w:lvl>
  </w:abstractNum>
  <w:abstractNum w:abstractNumId="153">
    <w:nsid w:val="4CFB8D32"/>
    <w:multiLevelType w:val="hybridMultilevel"/>
    <w:lvl w:ilvl="0">
      <w:lvlJc w:val="left"/>
      <w:lvlText w:val="%1."/>
      <w:numFmt w:val="decimal"/>
      <w:start w:val="18"/>
    </w:lvl>
  </w:abstractNum>
  <w:abstractNum w:abstractNumId="154">
    <w:nsid w:val="62A5D5BD"/>
    <w:multiLevelType w:val="hybridMultilevel"/>
    <w:lvl w:ilvl="0">
      <w:lvlJc w:val="left"/>
      <w:lvlText w:val="%1."/>
      <w:numFmt w:val="decimal"/>
      <w:start w:val="19"/>
    </w:lvl>
  </w:abstractNum>
  <w:abstractNum w:abstractNumId="155">
    <w:nsid w:val="718FABF9"/>
    <w:multiLevelType w:val="hybridMultilevel"/>
    <w:lvl w:ilvl="0">
      <w:lvlJc w:val="left"/>
      <w:lvlText w:val="%1."/>
      <w:numFmt w:val="decimal"/>
      <w:start w:val="20"/>
    </w:lvl>
  </w:abstractNum>
  <w:abstractNum w:abstractNumId="156">
    <w:nsid w:val="7775797C"/>
    <w:multiLevelType w:val="hybridMultilevel"/>
    <w:lvl w:ilvl="0">
      <w:lvlJc w:val="left"/>
      <w:lvlText w:val="%1."/>
      <w:numFmt w:val="decimal"/>
      <w:start w:val="1"/>
    </w:lvl>
  </w:abstractNum>
  <w:abstractNum w:abstractNumId="157">
    <w:nsid w:val="1626FB8C"/>
    <w:multiLevelType w:val="hybridMultilevel"/>
    <w:lvl w:ilvl="0">
      <w:lvlJc w:val="left"/>
      <w:lvlText w:val="%1."/>
      <w:numFmt w:val="decimal"/>
      <w:start w:val="2"/>
    </w:lvl>
  </w:abstractNum>
  <w:abstractNum w:abstractNumId="158">
    <w:nsid w:val="3957756A"/>
    <w:multiLevelType w:val="hybridMultilevel"/>
    <w:lvl w:ilvl="0">
      <w:lvlJc w:val="left"/>
      <w:lvlText w:val="*"/>
      <w:numFmt w:val="bullet"/>
      <w:start w:val="1"/>
    </w:lvl>
  </w:abstractNum>
  <w:abstractNum w:abstractNumId="159">
    <w:nsid w:val="3E6DA1C7"/>
    <w:multiLevelType w:val="hybridMultilevel"/>
    <w:lvl w:ilvl="0">
      <w:lvlJc w:val="left"/>
      <w:lvlText w:val="*"/>
      <w:numFmt w:val="bullet"/>
      <w:start w:val="1"/>
    </w:lvl>
  </w:abstractNum>
  <w:abstractNum w:abstractNumId="160">
    <w:nsid w:val="65CA235B"/>
    <w:multiLevelType w:val="hybridMultilevel"/>
    <w:lvl w:ilvl="0">
      <w:lvlJc w:val="left"/>
      <w:lvlText w:val="%1."/>
      <w:numFmt w:val="decimal"/>
      <w:start w:val="3"/>
    </w:lvl>
  </w:abstractNum>
  <w:abstractNum w:abstractNumId="161">
    <w:nsid w:val="51CB0DA4"/>
    <w:multiLevelType w:val="hybridMultilevel"/>
    <w:lvl w:ilvl="0">
      <w:lvlJc w:val="left"/>
      <w:lvlText w:val="(%1)"/>
      <w:numFmt w:val="decimal"/>
      <w:start w:val="1"/>
    </w:lvl>
  </w:abstractNum>
  <w:abstractNum w:abstractNumId="162">
    <w:nsid w:val="7B9B743C"/>
    <w:multiLevelType w:val="hybridMultilevel"/>
    <w:lvl w:ilvl="0">
      <w:lvlJc w:val="left"/>
      <w:lvlText w:val="%1."/>
      <w:numFmt w:val="decimal"/>
      <w:start w:val="4"/>
    </w:lvl>
  </w:abstractNum>
  <w:abstractNum w:abstractNumId="163">
    <w:nsid w:val="13E21002"/>
    <w:multiLevelType w:val="hybridMultilevel"/>
    <w:lvl w:ilvl="0">
      <w:lvlJc w:val="left"/>
      <w:lvlText w:val="%1."/>
      <w:numFmt w:val="decimal"/>
      <w:start w:val="5"/>
    </w:lvl>
  </w:abstractNum>
  <w:abstractNum w:abstractNumId="164">
    <w:nsid w:val="257D63F4"/>
    <w:multiLevelType w:val="hybridMultilevel"/>
    <w:lvl w:ilvl="0">
      <w:lvlJc w:val="left"/>
      <w:lvlText w:val="*"/>
      <w:numFmt w:val="bullet"/>
      <w:start w:val="1"/>
    </w:lvl>
  </w:abstractNum>
  <w:abstractNum w:abstractNumId="165">
    <w:nsid w:val="70EC11B2"/>
    <w:multiLevelType w:val="hybridMultilevel"/>
    <w:lvl w:ilvl="0">
      <w:lvlJc w:val="left"/>
      <w:lvlText w:val="*"/>
      <w:numFmt w:val="bullet"/>
      <w:start w:val="1"/>
    </w:lvl>
  </w:abstractNum>
  <w:abstractNum w:abstractNumId="166">
    <w:nsid w:val="2EDA00ED"/>
    <w:multiLevelType w:val="hybridMultilevel"/>
    <w:lvl w:ilvl="0">
      <w:lvlJc w:val="left"/>
      <w:lvlText w:val="%1."/>
      <w:numFmt w:val="decimal"/>
      <w:start w:val="6"/>
    </w:lvl>
  </w:abstractNum>
  <w:abstractNum w:abstractNumId="167">
    <w:nsid w:val="73209072"/>
    <w:multiLevelType w:val="hybridMultilevel"/>
    <w:lvl w:ilvl="0">
      <w:lvlJc w:val="left"/>
      <w:lvlText w:val="%1."/>
      <w:numFmt w:val="decimal"/>
      <w:start w:val="7"/>
    </w:lvl>
  </w:abstractNum>
  <w:abstractNum w:abstractNumId="168">
    <w:nsid w:val="5FB29816"/>
    <w:multiLevelType w:val="hybridMultilevel"/>
    <w:lvl w:ilvl="0">
      <w:lvlJc w:val="left"/>
      <w:lvlText w:val="%1."/>
      <w:numFmt w:val="decimal"/>
      <w:start w:val="8"/>
    </w:lvl>
  </w:abstractNum>
  <w:abstractNum w:abstractNumId="169">
    <w:nsid w:val="3CE732EC"/>
    <w:multiLevelType w:val="hybridMultilevel"/>
    <w:lvl w:ilvl="0">
      <w:lvlJc w:val="left"/>
      <w:lvlText w:val="•"/>
      <w:numFmt w:val="bullet"/>
      <w:start w:val="1"/>
    </w:lvl>
  </w:abstractNum>
  <w:abstractNum w:abstractNumId="170">
    <w:nsid w:val="22F13DF3"/>
    <w:multiLevelType w:val="hybridMultilevel"/>
    <w:lvl w:ilvl="0">
      <w:lvlJc w:val="left"/>
      <w:lvlText w:val="%1."/>
      <w:numFmt w:val="decimal"/>
      <w:start w:val="10"/>
    </w:lvl>
  </w:abstractNum>
  <w:abstractNum w:abstractNumId="171">
    <w:nsid w:val="792B8401"/>
    <w:multiLevelType w:val="hybridMultilevel"/>
    <w:lvl w:ilvl="0">
      <w:lvlJc w:val="left"/>
      <w:lvlText w:val="*"/>
      <w:numFmt w:val="bullet"/>
      <w:start w:val="1"/>
    </w:lvl>
  </w:abstractNum>
  <w:abstractNum w:abstractNumId="172">
    <w:nsid w:val="FA85F4D"/>
    <w:multiLevelType w:val="hybridMultilevel"/>
    <w:lvl w:ilvl="0">
      <w:lvlJc w:val="left"/>
      <w:lvlText w:val="*"/>
      <w:numFmt w:val="bullet"/>
      <w:start w:val="1"/>
    </w:lvl>
  </w:abstractNum>
  <w:abstractNum w:abstractNumId="173">
    <w:nsid w:val="6ECE91F0"/>
    <w:multiLevelType w:val="hybridMultilevel"/>
    <w:lvl w:ilvl="0">
      <w:lvlJc w:val="left"/>
      <w:lvlText w:val="%1."/>
      <w:numFmt w:val="decimal"/>
      <w:start w:val="11"/>
    </w:lvl>
  </w:abstractNum>
  <w:abstractNum w:abstractNumId="174">
    <w:nsid w:val="4FC4D600"/>
    <w:multiLevelType w:val="hybridMultilevel"/>
    <w:lvl w:ilvl="0">
      <w:lvlJc w:val="left"/>
      <w:lvlText w:val="(%1)"/>
      <w:numFmt w:val="lowerRoman"/>
      <w:start w:val="1"/>
    </w:lvl>
  </w:abstractNum>
  <w:abstractNum w:abstractNumId="175">
    <w:nsid w:val="5BFD4210"/>
    <w:multiLevelType w:val="hybridMultilevel"/>
    <w:lvl w:ilvl="0">
      <w:lvlJc w:val="left"/>
      <w:lvlText w:val="%1."/>
      <w:numFmt w:val="decimal"/>
      <w:start w:val="12"/>
    </w:lvl>
  </w:abstractNum>
  <w:abstractNum w:abstractNumId="176">
    <w:nsid w:val="76574F8B"/>
    <w:multiLevelType w:val="hybridMultilevel"/>
    <w:lvl w:ilvl="0">
      <w:lvlJc w:val="left"/>
      <w:lvlText w:val="(%1)"/>
      <w:numFmt w:val="lowerRoman"/>
      <w:start w:val="4"/>
    </w:lvl>
  </w:abstractNum>
  <w:abstractNum w:abstractNumId="177">
    <w:nsid w:val="178F7B67"/>
    <w:multiLevelType w:val="hybridMultilevel"/>
    <w:lvl w:ilvl="0">
      <w:lvlJc w:val="left"/>
      <w:lvlText w:val="(%1)"/>
      <w:numFmt w:val="lowerRoman"/>
      <w:start w:val="4"/>
    </w:lvl>
  </w:abstractNum>
  <w:abstractNum w:abstractNumId="178">
    <w:nsid w:val="2421DFCF"/>
    <w:multiLevelType w:val="hybridMultilevel"/>
    <w:lvl w:ilvl="0">
      <w:lvlJc w:val="left"/>
      <w:lvlText w:val="%1."/>
      <w:numFmt w:val="decimal"/>
      <w:start w:val="13"/>
    </w:lvl>
  </w:abstractNum>
  <w:abstractNum w:abstractNumId="179">
    <w:nsid w:val="1565AC99"/>
    <w:multiLevelType w:val="hybridMultilevel"/>
    <w:lvl w:ilvl="0">
      <w:lvlJc w:val="left"/>
      <w:lvlText w:val="%1."/>
      <w:numFmt w:val="decimal"/>
      <w:start w:val="14"/>
    </w:lvl>
  </w:abstractNum>
  <w:abstractNum w:abstractNumId="180">
    <w:nsid w:val="19FB2650"/>
    <w:multiLevelType w:val="hybridMultilevel"/>
    <w:lvl w:ilvl="0">
      <w:lvlJc w:val="left"/>
      <w:lvlText w:val="%1."/>
      <w:numFmt w:val="decimal"/>
      <w:start w:val="15"/>
    </w:lvl>
  </w:abstractNum>
  <w:abstractNum w:abstractNumId="181">
    <w:nsid w:val="5024DE5B"/>
    <w:multiLevelType w:val="hybridMultilevel"/>
    <w:lvl w:ilvl="0">
      <w:lvlJc w:val="left"/>
      <w:lvlText w:val="*"/>
      <w:numFmt w:val="bullet"/>
      <w:start w:val="1"/>
    </w:lvl>
  </w:abstractNum>
  <w:abstractNum w:abstractNumId="182">
    <w:nsid w:val="168EFE17"/>
    <w:multiLevelType w:val="hybridMultilevel"/>
    <w:lvl w:ilvl="0">
      <w:lvlJc w:val="left"/>
      <w:lvlText w:val="%1."/>
      <w:numFmt w:val="decimal"/>
      <w:start w:val="16"/>
    </w:lvl>
  </w:abstractNum>
  <w:abstractNum w:abstractNumId="183">
    <w:nsid w:val="1036B29F"/>
    <w:multiLevelType w:val="hybridMultilevel"/>
    <w:lvl w:ilvl="0">
      <w:lvlJc w:val="left"/>
      <w:lvlText w:val="%1."/>
      <w:numFmt w:val="decimal"/>
      <w:start w:val="18"/>
    </w:lvl>
  </w:abstractNum>
  <w:abstractNum w:abstractNumId="184">
    <w:nsid w:val="1D206B8E"/>
    <w:multiLevelType w:val="hybridMultilevel"/>
    <w:lvl w:ilvl="0">
      <w:lvlJc w:val="left"/>
      <w:lvlText w:val="%1."/>
      <w:numFmt w:val="decimal"/>
      <w:start w:val="19"/>
    </w:lvl>
  </w:abstractNum>
  <w:abstractNum w:abstractNumId="185">
    <w:nsid w:val="7934D3D4"/>
    <w:multiLevelType w:val="hybridMultilevel"/>
    <w:lvl w:ilvl="0">
      <w:lvlJc w:val="left"/>
      <w:lvlText w:val="*"/>
      <w:numFmt w:val="bullet"/>
      <w:start w:val="1"/>
    </w:lvl>
  </w:abstractNum>
  <w:abstractNum w:abstractNumId="186">
    <w:nsid w:val="1C65E98"/>
    <w:multiLevelType w:val="hybridMultilevel"/>
    <w:lvl w:ilvl="0">
      <w:lvlJc w:val="left"/>
      <w:lvlText w:val="%1."/>
      <w:numFmt w:val="lowerLetter"/>
      <w:start w:val="1"/>
    </w:lvl>
  </w:abstractNum>
  <w:abstractNum w:abstractNumId="187">
    <w:nsid w:val="1495E50A"/>
    <w:multiLevelType w:val="hybridMultilevel"/>
    <w:lvl w:ilvl="0">
      <w:lvlJc w:val="left"/>
      <w:lvlText w:val="%1."/>
      <w:numFmt w:val="lowerLetter"/>
      <w:start w:val="3"/>
    </w:lvl>
  </w:abstractNum>
  <w:abstractNum w:abstractNumId="188">
    <w:nsid w:val="F5BCF61"/>
    <w:multiLevelType w:val="hybridMultilevel"/>
    <w:lvl w:ilvl="0">
      <w:lvlJc w:val="left"/>
      <w:lvlText w:val="%1."/>
      <w:numFmt w:val="lowerLetter"/>
      <w:start w:val="7"/>
    </w:lvl>
  </w:abstractNum>
  <w:abstractNum w:abstractNumId="189">
    <w:nsid w:val="3B1DD403"/>
    <w:multiLevelType w:val="hybridMultilevel"/>
    <w:lvl w:ilvl="0">
      <w:lvlJc w:val="left"/>
      <w:lvlText w:val="%1."/>
      <w:numFmt w:val="decimal"/>
      <w:start w:val="1"/>
    </w:lvl>
  </w:abstractNum>
  <w:abstractNum w:abstractNumId="190">
    <w:nsid w:val="530386D1"/>
    <w:multiLevelType w:val="hybridMultilevel"/>
    <w:lvl w:ilvl="0">
      <w:lvlJc w:val="left"/>
      <w:lvlText w:val="•"/>
      <w:numFmt w:val="bullet"/>
      <w:start w:val="1"/>
    </w:lvl>
  </w:abstractNum>
  <w:abstractNum w:abstractNumId="191">
    <w:nsid w:val="7525F2BC"/>
    <w:multiLevelType w:val="hybridMultilevel"/>
    <w:lvl w:ilvl="0">
      <w:lvlJc w:val="left"/>
      <w:lvlText w:val="%1."/>
      <w:numFmt w:val="lowerLetter"/>
      <w:start w:val="9"/>
    </w:lvl>
  </w:abstractNum>
  <w:abstractNum w:abstractNumId="192">
    <w:nsid w:val="CE8E1A7"/>
    <w:multiLevelType w:val="hybridMultilevel"/>
    <w:lvl w:ilvl="0">
      <w:lvlJc w:val="left"/>
      <w:lvlText w:val="%1."/>
      <w:numFmt w:val="lowerLetter"/>
      <w:start w:val="12"/>
    </w:lvl>
  </w:abstractNum>
  <w:abstractNum w:abstractNumId="193">
    <w:nsid w:val="4E9EFB0D"/>
    <w:multiLevelType w:val="hybridMultilevel"/>
    <w:lvl w:ilvl="0">
      <w:lvlJc w:val="left"/>
      <w:lvlText w:val="%1."/>
      <w:numFmt w:val="lowerLetter"/>
      <w:start w:val="15"/>
    </w:lvl>
  </w:abstractNum>
  <w:abstractNum w:abstractNumId="194">
    <w:nsid w:val="90802BE"/>
    <w:multiLevelType w:val="hybridMultilevel"/>
    <w:lvl w:ilvl="0">
      <w:lvlJc w:val="left"/>
      <w:lvlText w:val="%1."/>
      <w:numFmt w:val="lowerLetter"/>
      <w:start w:val="17"/>
    </w:lvl>
  </w:abstractNum>
  <w:abstractNum w:abstractNumId="195">
    <w:nsid w:val="3266459B"/>
    <w:multiLevelType w:val="hybridMultilevel"/>
    <w:lvl w:ilvl="0">
      <w:lvlJc w:val="left"/>
      <w:lvlText w:val="%1."/>
      <w:numFmt w:val="lowerLetter"/>
      <w:start w:val="19"/>
    </w:lvl>
    <w:lvl w:ilvl="1">
      <w:lvlJc w:val="left"/>
      <w:lvlText w:val="%2."/>
      <w:numFmt w:val="decimal"/>
      <w:start w:val="1"/>
    </w:lvl>
  </w:abstractNum>
  <w:abstractNum w:abstractNumId="196">
    <w:nsid w:val="3F8B0CBF"/>
    <w:multiLevelType w:val="hybridMultilevel"/>
    <w:lvl w:ilvl="0">
      <w:lvlJc w:val="left"/>
      <w:lvlText w:val="%1."/>
      <w:numFmt w:val="decimal"/>
      <w:start w:val="1"/>
    </w:lvl>
  </w:abstractNum>
  <w:abstractNum w:abstractNumId="197">
    <w:nsid w:val="37E203AB"/>
    <w:multiLevelType w:val="hybridMultilevel"/>
    <w:lvl w:ilvl="0">
      <w:lvlJc w:val="left"/>
      <w:lvlText w:val="%1."/>
      <w:numFmt w:val="lowerLetter"/>
      <w:start w:val="21"/>
    </w:lvl>
  </w:abstractNum>
  <w:abstractNum w:abstractNumId="198">
    <w:nsid w:val="2586D60E"/>
    <w:multiLevelType w:val="hybridMultilevel"/>
    <w:lvl w:ilvl="0">
      <w:lvlJc w:val="left"/>
      <w:lvlText w:val="%1."/>
      <w:numFmt w:val="decimal"/>
      <w:start w:val="1"/>
    </w:lvl>
  </w:abstractNum>
  <w:abstractNum w:abstractNumId="199">
    <w:nsid w:val="1F3DA4D5"/>
    <w:multiLevelType w:val="hybridMultilevel"/>
    <w:lvl w:ilvl="0">
      <w:lvlJc w:val="left"/>
      <w:lvlText w:val="%1."/>
      <w:numFmt w:val="decimal"/>
      <w:start w:val="2"/>
    </w:lvl>
  </w:abstractNum>
  <w:abstractNum w:abstractNumId="200">
    <w:nsid w:val="74C93698"/>
    <w:multiLevelType w:val="hybridMultilevel"/>
    <w:lvl w:ilvl="0">
      <w:lvlJc w:val="left"/>
      <w:lvlText w:val="%1."/>
      <w:numFmt w:val="lowerLetter"/>
      <w:start w:val="1"/>
    </w:lvl>
  </w:abstractNum>
  <w:abstractNum w:abstractNumId="201">
    <w:nsid w:val="48781401"/>
    <w:multiLevelType w:val="hybridMultilevel"/>
    <w:lvl w:ilvl="0">
      <w:lvlJc w:val="left"/>
      <w:lvlText w:val="%1."/>
      <w:numFmt w:val="lowerLetter"/>
      <w:start w:val="1"/>
    </w:lvl>
  </w:abstractNum>
  <w:abstractNum w:abstractNumId="202">
    <w:nsid w:val="186928D6"/>
    <w:multiLevelType w:val="hybridMultilevel"/>
    <w:lvl w:ilvl="0">
      <w:lvlJc w:val="left"/>
      <w:lvlText w:val="%1."/>
      <w:numFmt w:val="lowerLetter"/>
      <w:start w:val="2"/>
    </w:lvl>
  </w:abstractNum>
  <w:abstractNum w:abstractNumId="203">
    <w:nsid w:val="47195E5"/>
    <w:multiLevelType w:val="hybridMultilevel"/>
    <w:lvl w:ilvl="0">
      <w:lvlJc w:val="left"/>
      <w:lvlText w:val="%1."/>
      <w:numFmt w:val="lowerLetter"/>
      <w:start w:val="1"/>
    </w:lvl>
  </w:abstractNum>
  <w:abstractNum w:abstractNumId="204">
    <w:nsid w:val="3746A5F2"/>
    <w:multiLevelType w:val="hybridMultilevel"/>
    <w:lvl w:ilvl="0">
      <w:lvlJc w:val="left"/>
      <w:lvlText w:val="%1."/>
      <w:numFmt w:val="lowerLetter"/>
      <w:start w:val="4"/>
    </w:lvl>
  </w:abstractNum>
  <w:abstractNum w:abstractNumId="205">
    <w:nsid w:val="682DFED6"/>
    <w:multiLevelType w:val="hybridMultilevel"/>
    <w:lvl w:ilvl="0">
      <w:lvlJc w:val="left"/>
      <w:lvlText w:val="%1."/>
      <w:numFmt w:val="lowerLetter"/>
      <w:start w:val="5"/>
    </w:lvl>
  </w:abstractNum>
  <w:abstractNum w:abstractNumId="206">
    <w:nsid w:val="606ED7F6"/>
    <w:multiLevelType w:val="hybridMultilevel"/>
    <w:lvl w:ilvl="0">
      <w:lvlJc w:val="left"/>
      <w:lvlText w:val="%1."/>
      <w:numFmt w:val="lowerLetter"/>
      <w:start w:val="6"/>
    </w:lvl>
  </w:abstractNum>
  <w:abstractNum w:abstractNumId="207">
    <w:nsid w:val="2D9DF57D"/>
    <w:multiLevelType w:val="hybridMultilevel"/>
    <w:lvl w:ilvl="0">
      <w:lvlJc w:val="left"/>
      <w:lvlText w:val="%1."/>
      <w:numFmt w:val="lowerLetter"/>
      <w:start w:val="7"/>
    </w:lvl>
  </w:abstractNum>
  <w:abstractNum w:abstractNumId="208">
    <w:nsid w:val="7FBD7A3E"/>
    <w:multiLevelType w:val="hybridMultilevel"/>
    <w:lvl w:ilvl="0">
      <w:lvlJc w:val="left"/>
      <w:lvlText w:val="%1."/>
      <w:numFmt w:val="lowerLetter"/>
      <w:start w:val="1"/>
    </w:lvl>
  </w:abstractNum>
  <w:abstractNum w:abstractNumId="209">
    <w:nsid w:val="490B7C5"/>
    <w:multiLevelType w:val="hybridMultilevel"/>
    <w:lvl w:ilvl="0">
      <w:lvlJc w:val="left"/>
      <w:lvlText w:val="•"/>
      <w:numFmt w:val="bullet"/>
      <w:start w:val="1"/>
    </w:lvl>
  </w:abstractNum>
  <w:abstractNum w:abstractNumId="210">
    <w:nsid w:val="4303A216"/>
    <w:multiLevelType w:val="hybridMultilevel"/>
    <w:lvl w:ilvl="0">
      <w:lvlJc w:val="left"/>
      <w:lvlText w:val="(%1)"/>
      <w:numFmt w:val="lowerLetter"/>
      <w:start w:val="1"/>
    </w:lvl>
    <w:lvl w:ilvl="1">
      <w:lvlJc w:val="left"/>
      <w:lvlText w:val="•"/>
      <w:numFmt w:val="bullet"/>
      <w:start w:val="1"/>
    </w:lvl>
  </w:abstractNum>
  <w:abstractNum w:abstractNumId="211">
    <w:nsid w:val="19B8A08E"/>
    <w:multiLevelType w:val="hybridMultilevel"/>
    <w:lvl w:ilvl="0">
      <w:lvlJc w:val="left"/>
      <w:lvlText w:val="•"/>
      <w:numFmt w:val="bullet"/>
      <w:start w:val="1"/>
    </w:lvl>
  </w:abstractNum>
  <w:abstractNum w:abstractNumId="212">
    <w:nsid w:val="54B59621"/>
    <w:multiLevelType w:val="hybridMultilevel"/>
    <w:lvl w:ilvl="0">
      <w:lvlJc w:val="left"/>
      <w:lvlText w:val="•"/>
      <w:numFmt w:val="bullet"/>
      <w:start w:val="1"/>
    </w:lvl>
  </w:abstractNum>
  <w:abstractNum w:abstractNumId="213">
    <w:nsid w:val="5992A02E"/>
    <w:multiLevelType w:val="hybridMultilevel"/>
    <w:lvl w:ilvl="0">
      <w:lvlJc w:val="left"/>
      <w:lvlText w:val="%1."/>
      <w:numFmt w:val="decimal"/>
      <w:start w:val="1"/>
    </w:lvl>
  </w:abstractNum>
  <w:abstractNum w:abstractNumId="214">
    <w:nsid w:val="29EF532D"/>
    <w:multiLevelType w:val="hybridMultilevel"/>
    <w:lvl w:ilvl="0">
      <w:lvlJc w:val="left"/>
      <w:lvlText w:val="%1."/>
      <w:numFmt w:val="decimal"/>
      <w:start w:val="5"/>
    </w:lvl>
  </w:abstractNum>
  <w:abstractNum w:abstractNumId="215">
    <w:nsid w:val="71D601AF"/>
    <w:multiLevelType w:val="hybridMultilevel"/>
    <w:lvl w:ilvl="0">
      <w:lvlJc w:val="left"/>
      <w:lvlText w:val="*"/>
      <w:numFmt w:val="bullet"/>
      <w:start w:val="1"/>
    </w:lvl>
  </w:abstractNum>
  <w:abstractNum w:abstractNumId="216">
    <w:nsid w:val="52C77402"/>
    <w:multiLevelType w:val="hybridMultilevel"/>
    <w:lvl w:ilvl="0">
      <w:lvlJc w:val="left"/>
      <w:lvlText w:val="(%1)"/>
      <w:numFmt w:val="decimal"/>
      <w:start w:val="1"/>
    </w:lvl>
  </w:abstractNum>
  <w:abstractNum w:abstractNumId="217">
    <w:nsid w:val="2BB5B1C6"/>
    <w:multiLevelType w:val="hybridMultilevel"/>
    <w:lvl w:ilvl="0">
      <w:lvlJc w:val="left"/>
      <w:lvlText w:val="%1."/>
      <w:numFmt w:val="decimal"/>
      <w:start w:val="1"/>
    </w:lvl>
  </w:abstractNum>
  <w:abstractNum w:abstractNumId="218">
    <w:nsid w:val="66BE6B9"/>
    <w:multiLevelType w:val="hybridMultilevel"/>
    <w:lvl w:ilvl="0">
      <w:lvlJc w:val="left"/>
      <w:lvlText w:val="%1."/>
      <w:numFmt w:val="upperLetter"/>
      <w:start w:val="1"/>
    </w:lvl>
    <w:lvl w:ilvl="1">
      <w:lvlJc w:val="left"/>
      <w:lvlText w:val="%2."/>
      <w:numFmt w:val="decimal"/>
      <w:start w:val="1"/>
    </w:lvl>
  </w:abstractNum>
  <w:abstractNum w:abstractNumId="219">
    <w:nsid w:val="62234363"/>
    <w:multiLevelType w:val="hybridMultilevel"/>
    <w:lvl w:ilvl="0">
      <w:lvlJc w:val="left"/>
      <w:lvlText w:val="%1"/>
      <w:numFmt w:val="upperLetter"/>
      <w:start w:val="1"/>
    </w:lvl>
    <w:lvl w:ilvl="1">
      <w:lvlJc w:val="left"/>
      <w:lvlText w:val="%2."/>
      <w:numFmt w:val="decimal"/>
      <w:start w:val="2"/>
    </w:lvl>
  </w:abstractNum>
  <w:abstractNum w:abstractNumId="220">
    <w:nsid w:val="66D385C9"/>
    <w:multiLevelType w:val="hybridMultilevel"/>
    <w:lvl w:ilvl="0">
      <w:lvlJc w:val="left"/>
      <w:lvlText w:val="%1."/>
      <w:numFmt w:val="upperLetter"/>
      <w:start w:val="2"/>
    </w:lvl>
    <w:lvl w:ilvl="1">
      <w:lvlJc w:val="left"/>
      <w:lvlText w:val="%2."/>
      <w:numFmt w:val="decimal"/>
      <w:start w:val="1"/>
    </w:lvl>
  </w:abstractNum>
  <w:abstractNum w:abstractNumId="221">
    <w:nsid w:val="596F6D8A"/>
    <w:multiLevelType w:val="hybridMultilevel"/>
    <w:lvl w:ilvl="0">
      <w:lvlJc w:val="left"/>
      <w:lvlText w:val="%1"/>
      <w:numFmt w:val="upperLetter"/>
      <w:start w:val="1"/>
    </w:lvl>
    <w:lvl w:ilvl="1">
      <w:lvlJc w:val="left"/>
      <w:lvlText w:val="%2."/>
      <w:numFmt w:val="decimal"/>
      <w:start w:val="2"/>
    </w:lvl>
  </w:abstractNum>
  <w:abstractNum w:abstractNumId="222">
    <w:nsid w:val="5749361F"/>
    <w:multiLevelType w:val="hybridMultilevel"/>
    <w:lvl w:ilvl="0">
      <w:lvlJc w:val="left"/>
      <w:lvlText w:val="%1."/>
      <w:numFmt w:val="upperLetter"/>
      <w:start w:val="3"/>
    </w:lvl>
    <w:lvl w:ilvl="1">
      <w:lvlJc w:val="left"/>
      <w:lvlText w:val="%2"/>
      <w:numFmt w:val="decimal"/>
      <w:start w:val="1"/>
    </w:lvl>
  </w:abstractNum>
  <w:abstractNum w:abstractNumId="223">
    <w:nsid w:val="73BC6770"/>
    <w:multiLevelType w:val="hybridMultilevel"/>
    <w:lvl w:ilvl="0">
      <w:lvlJc w:val="left"/>
      <w:lvlText w:val="%1."/>
      <w:numFmt w:val="decimal"/>
      <w:start w:val="1"/>
    </w:lvl>
  </w:abstractNum>
  <w:abstractNum w:abstractNumId="224">
    <w:nsid w:val="280E6897"/>
    <w:multiLevelType w:val="hybridMultilevel"/>
    <w:lvl w:ilvl="0">
      <w:lvlJc w:val="left"/>
      <w:lvlText w:val="%1."/>
      <w:numFmt w:val="decimal"/>
      <w:start w:val="2"/>
    </w:lvl>
  </w:abstractNum>
  <w:abstractNum w:abstractNumId="225">
    <w:nsid w:val="605138DE"/>
    <w:multiLevelType w:val="hybridMultilevel"/>
    <w:lvl w:ilvl="0">
      <w:lvlJc w:val="left"/>
      <w:lvlText w:val="(%1)"/>
      <w:numFmt w:val="lowerLetter"/>
      <w:start w:val="9"/>
    </w:lvl>
  </w:abstractNum>
  <w:abstractNum w:abstractNumId="226">
    <w:nsid w:val="2622AD0C"/>
    <w:multiLevelType w:val="hybridMultilevel"/>
    <w:lvl w:ilvl="0">
      <w:lvlJc w:val="left"/>
      <w:lvlText w:val="(%1)"/>
      <w:numFmt w:val="lowerLetter"/>
      <w:start w:val="2"/>
    </w:lvl>
  </w:abstractNum>
  <w:abstractNum w:abstractNumId="227">
    <w:nsid w:val="67997556"/>
    <w:multiLevelType w:val="hybridMultilevel"/>
    <w:lvl w:ilvl="0">
      <w:lvlJc w:val="left"/>
      <w:lvlText w:val="(%1)"/>
      <w:numFmt w:val="lowerLetter"/>
      <w:start w:val="1"/>
    </w:lvl>
    <w:lvl w:ilvl="1">
      <w:lvlJc w:val="left"/>
      <w:lvlText w:val="(%2)"/>
      <w:numFmt w:val="lowerRoman"/>
      <w:start w:val="1"/>
    </w:lvl>
  </w:abstractNum>
  <w:abstractNum w:abstractNumId="228">
    <w:nsid w:val="18333C89"/>
    <w:multiLevelType w:val="hybridMultilevel"/>
    <w:lvl w:ilvl="0">
      <w:lvlJc w:val="left"/>
      <w:lvlText w:val="(%1)"/>
      <w:numFmt w:val="lowerLetter"/>
      <w:start w:val="2"/>
    </w:lvl>
  </w:abstractNum>
  <w:abstractNum w:abstractNumId="229">
    <w:nsid w:val="4BA9831A"/>
    <w:multiLevelType w:val="hybridMultilevel"/>
    <w:lvl w:ilvl="0">
      <w:lvlJc w:val="left"/>
      <w:lvlText w:val="(%1)"/>
      <w:numFmt w:val="lowerLetter"/>
      <w:start w:val="1"/>
    </w:lvl>
  </w:abstractNum>
  <w:abstractNum w:abstractNumId="230">
    <w:nsid w:val="6D71A2B"/>
    <w:multiLevelType w:val="hybridMultilevel"/>
    <w:lvl w:ilvl="0">
      <w:lvlJc w:val="left"/>
      <w:lvlText w:val="%1"/>
      <w:numFmt w:val="lowerLetter"/>
      <w:start w:val="1"/>
    </w:lvl>
    <w:lvl w:ilvl="1">
      <w:lvlJc w:val="left"/>
      <w:lvlText w:val="(%2)"/>
      <w:numFmt w:val="lowerLetter"/>
      <w:start w:val="2"/>
    </w:lvl>
  </w:abstractNum>
  <w:abstractNum w:abstractNumId="231">
    <w:nsid w:val="CFC7321"/>
    <w:multiLevelType w:val="hybridMultilevel"/>
    <w:lvl w:ilvl="0">
      <w:lvlJc w:val="left"/>
      <w:lvlText w:val="(%1)"/>
      <w:numFmt w:val="lowerLetter"/>
      <w:start w:val="35"/>
    </w:lvl>
    <w:lvl w:ilvl="1">
      <w:lvlJc w:val="left"/>
      <w:lvlText w:val="%2"/>
      <w:numFmt w:val="lowerLetter"/>
      <w:start w:val="1"/>
    </w:lvl>
  </w:abstractNum>
  <w:abstractNum w:abstractNumId="232">
    <w:nsid w:val="1421971B"/>
    <w:multiLevelType w:val="hybridMultilevel"/>
    <w:lvl w:ilvl="0">
      <w:lvlJc w:val="left"/>
      <w:lvlText w:val="(%1)"/>
      <w:numFmt w:val="lowerRoman"/>
      <w:start w:val="6"/>
    </w:lvl>
  </w:abstractNum>
  <w:abstractNum w:abstractNumId="233">
    <w:nsid w:val="1F404301"/>
    <w:multiLevelType w:val="hybridMultilevel"/>
    <w:lvl w:ilvl="0">
      <w:lvlJc w:val="left"/>
      <w:lvlText w:val="(%1)"/>
      <w:numFmt w:val="lowerLetter"/>
      <w:start w:val="2"/>
    </w:lvl>
  </w:abstractNum>
  <w:abstractNum w:abstractNumId="234">
    <w:nsid w:val="116E0907"/>
    <w:multiLevelType w:val="hybridMultilevel"/>
    <w:lvl w:ilvl="0">
      <w:lvlJc w:val="left"/>
      <w:lvlText w:val="%1."/>
      <w:numFmt w:val="decimal"/>
      <w:start w:val="3"/>
    </w:lvl>
  </w:abstractNum>
  <w:abstractNum w:abstractNumId="235">
    <w:nsid w:val="4B683D0D"/>
    <w:multiLevelType w:val="hybridMultilevel"/>
    <w:lvl w:ilvl="0">
      <w:lvlJc w:val="left"/>
      <w:lvlText w:val="(%1)"/>
      <w:numFmt w:val="decimal"/>
      <w:start w:val="3"/>
    </w:lvl>
  </w:abstractNum>
  <w:abstractNum w:abstractNumId="236">
    <w:nsid w:val="76E41D8"/>
    <w:multiLevelType w:val="hybridMultilevel"/>
    <w:lvl w:ilvl="0">
      <w:lvlJc w:val="left"/>
      <w:lvlText w:val="(%1)"/>
      <w:numFmt w:val="lowerLetter"/>
      <w:start w:val="1"/>
    </w:lvl>
  </w:abstractNum>
  <w:abstractNum w:abstractNumId="237">
    <w:nsid w:val="71DCE0FD"/>
    <w:multiLevelType w:val="hybridMultilevel"/>
    <w:lvl w:ilvl="0">
      <w:lvlJc w:val="left"/>
      <w:lvlText w:val="(%1)"/>
      <w:numFmt w:val="lowerRoman"/>
      <w:start w:val="1"/>
    </w:lvl>
  </w:abstractNum>
  <w:abstractNum w:abstractNumId="238">
    <w:nsid w:val="7906328B"/>
    <w:multiLevelType w:val="hybridMultilevel"/>
    <w:lvl w:ilvl="0">
      <w:lvlJc w:val="left"/>
      <w:lvlText w:val="(%1)"/>
      <w:numFmt w:val="lowerRoman"/>
      <w:start w:val="2"/>
    </w:lvl>
  </w:abstractNum>
  <w:abstractNum w:abstractNumId="239">
    <w:nsid w:val="72BBC16"/>
    <w:multiLevelType w:val="hybridMultilevel"/>
    <w:lvl w:ilvl="0">
      <w:lvlJc w:val="left"/>
      <w:lvlText w:val="(%1)"/>
      <w:numFmt w:val="lowerLetter"/>
      <w:start w:val="1"/>
    </w:lvl>
  </w:abstractNum>
  <w:abstractNum w:abstractNumId="240">
    <w:nsid w:val="766D98C2"/>
    <w:multiLevelType w:val="hybridMultilevel"/>
    <w:lvl w:ilvl="0">
      <w:lvlJc w:val="left"/>
      <w:lvlText w:val="(%1)"/>
      <w:numFmt w:val="lowerLetter"/>
      <w:start w:val="2"/>
    </w:lvl>
  </w:abstractNum>
  <w:abstractNum w:abstractNumId="241">
    <w:nsid w:val="3C09D4A1"/>
    <w:multiLevelType w:val="hybridMultilevel"/>
    <w:lvl w:ilvl="0">
      <w:lvlJc w:val="left"/>
      <w:lvlText w:val="(%1)"/>
      <w:numFmt w:val="lowerLetter"/>
      <w:start w:val="2"/>
    </w:lvl>
  </w:abstractNum>
  <w:abstractNum w:abstractNumId="242">
    <w:nsid w:val="20E45CA4"/>
    <w:multiLevelType w:val="hybridMultilevel"/>
    <w:lvl w:ilvl="0">
      <w:lvlJc w:val="left"/>
      <w:lvlText w:val="(%1)"/>
      <w:numFmt w:val="lowerRoman"/>
      <w:start w:val="1"/>
    </w:lvl>
  </w:abstractNum>
  <w:abstractNum w:abstractNumId="243">
    <w:nsid w:val="4B232EE3"/>
    <w:multiLevelType w:val="hybridMultilevel"/>
    <w:lvl w:ilvl="0">
      <w:lvlJc w:val="left"/>
      <w:lvlText w:val="(%1)"/>
      <w:numFmt w:val="lowerRoman"/>
      <w:start w:val="2"/>
    </w:lvl>
  </w:abstractNum>
  <w:abstractNum w:abstractNumId="244">
    <w:nsid w:val="159C74CF"/>
    <w:multiLevelType w:val="hybridMultilevel"/>
    <w:lvl w:ilvl="0">
      <w:lvlJc w:val="left"/>
      <w:lvlText w:val="(%1)"/>
      <w:numFmt w:val="lowerRoman"/>
      <w:start w:val="12"/>
    </w:lvl>
  </w:abstractNum>
  <w:abstractNum w:abstractNumId="245">
    <w:nsid w:val="4AD3AFD2"/>
    <w:multiLevelType w:val="hybridMultilevel"/>
    <w:lvl w:ilvl="0">
      <w:lvlJc w:val="left"/>
      <w:lvlText w:val="(%1)"/>
      <w:numFmt w:val="lowerLetter"/>
      <w:start w:val="1"/>
    </w:lvl>
  </w:abstractNum>
  <w:abstractNum w:abstractNumId="246">
    <w:nsid w:val="3CF93092"/>
    <w:multiLevelType w:val="hybridMultilevel"/>
    <w:lvl w:ilvl="0">
      <w:lvlJc w:val="left"/>
      <w:lvlText w:val="(%1)"/>
      <w:numFmt w:val="lowerLetter"/>
      <w:start w:val="3"/>
    </w:lvl>
  </w:abstractNum>
  <w:abstractNum w:abstractNumId="247">
    <w:nsid w:val="6863E8D2"/>
    <w:multiLevelType w:val="hybridMultilevel"/>
    <w:lvl w:ilvl="0">
      <w:lvlJc w:val="left"/>
      <w:lvlText w:val="(%1)"/>
      <w:numFmt w:val="lowerLetter"/>
      <w:start w:val="1"/>
    </w:lvl>
  </w:abstractNum>
  <w:abstractNum w:abstractNumId="248">
    <w:nsid w:val="7689619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49">
    <w:nsid w:val="4365174B"/>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250">
    <w:nsid w:val="4A872C35"/>
    <w:multiLevelType w:val="hybridMultilevel"/>
    <w:lvl w:ilvl="0">
      <w:lvlJc w:val="left"/>
      <w:lvlText w:val="(%1)"/>
      <w:numFmt w:val="lowerLetter"/>
      <w:start w:val="1"/>
    </w:lvl>
  </w:abstractNum>
  <w:abstractNum w:abstractNumId="251">
    <w:nsid w:val="5D5CE761"/>
    <w:multiLevelType w:val="hybridMultilevel"/>
    <w:lvl w:ilvl="0">
      <w:lvlJc w:val="left"/>
      <w:lvlText w:val="(%1)"/>
      <w:numFmt w:val="lowerLetter"/>
      <w:start w:val="1"/>
    </w:lvl>
  </w:abstractNum>
  <w:abstractNum w:abstractNumId="252">
    <w:nsid w:val="1CD484D5"/>
    <w:multiLevelType w:val="hybridMultilevel"/>
    <w:lvl w:ilvl="0">
      <w:lvlJc w:val="left"/>
      <w:lvlText w:val="(%1)"/>
      <w:numFmt w:val="lowerRoman"/>
      <w:start w:val="1"/>
    </w:lvl>
  </w:abstractNum>
  <w:abstractNum w:abstractNumId="253">
    <w:nsid w:val="21D06255"/>
    <w:multiLevelType w:val="hybridMultilevel"/>
    <w:lvl w:ilvl="0">
      <w:lvlJc w:val="left"/>
      <w:lvlText w:val="%1."/>
      <w:numFmt w:val="decimal"/>
      <w:start w:val="5"/>
    </w:lvl>
  </w:abstractNum>
  <w:abstractNum w:abstractNumId="254">
    <w:nsid w:val="51194ED1"/>
    <w:multiLevelType w:val="hybridMultilevel"/>
    <w:lvl w:ilvl="0">
      <w:lvlJc w:val="left"/>
      <w:lvlText w:val="%1."/>
      <w:numFmt w:val="decimal"/>
      <w:start w:val="6"/>
    </w:lvl>
  </w:abstractNum>
  <w:abstractNum w:abstractNumId="255">
    <w:nsid w:val="44E2ED6C"/>
    <w:multiLevelType w:val="hybridMultilevel"/>
    <w:lvl w:ilvl="0">
      <w:lvlJc w:val="left"/>
      <w:lvlText w:val="%1."/>
      <w:numFmt w:val="decimal"/>
      <w:start w:val="7"/>
    </w:lvl>
  </w:abstractNum>
  <w:abstractNum w:abstractNumId="256">
    <w:nsid w:val="2219B33"/>
    <w:multiLevelType w:val="hybridMultilevel"/>
    <w:lvl w:ilvl="0">
      <w:lvlJc w:val="left"/>
      <w:lvlText w:val="%1"/>
      <w:numFmt w:val="lowerRoman"/>
      <w:start w:val="1"/>
    </w:lvl>
    <w:lvl w:ilvl="1">
      <w:lvlJc w:val="left"/>
      <w:lvlText w:val="%2."/>
      <w:numFmt w:val="decimal"/>
      <w:start w:val="8"/>
    </w:lvl>
  </w:abstractNum>
  <w:abstractNum w:abstractNumId="257">
    <w:nsid w:val="773BFBDD"/>
    <w:multiLevelType w:val="hybridMultilevel"/>
    <w:lvl w:ilvl="0">
      <w:lvlJc w:val="left"/>
      <w:lvlText w:val="(%1)"/>
      <w:numFmt w:val="lowerRoman"/>
      <w:start w:val="2"/>
    </w:lvl>
    <w:lvl w:ilvl="1">
      <w:lvlJc w:val="left"/>
      <w:lvlText w:val="%2"/>
      <w:numFmt w:val="decimal"/>
      <w:start w:val="1"/>
    </w:lvl>
  </w:abstractNum>
  <w:abstractNum w:abstractNumId="258">
    <w:nsid w:val="2C7C62C2"/>
    <w:multiLevelType w:val="hybridMultilevel"/>
    <w:lvl w:ilvl="0">
      <w:lvlJc w:val="left"/>
      <w:lvlText w:val="%1."/>
      <w:numFmt w:val="decimal"/>
      <w:start w:val="10"/>
    </w:lvl>
  </w:abstractNum>
  <w:abstractNum w:abstractNumId="259">
    <w:nsid w:val="1A54D7BC"/>
    <w:multiLevelType w:val="hybridMultilevel"/>
    <w:lvl w:ilvl="0">
      <w:lvlJc w:val="left"/>
      <w:lvlText w:val="%1."/>
      <w:numFmt w:val="decimal"/>
      <w:start w:val="1"/>
    </w:lvl>
  </w:abstractNum>
  <w:abstractNum w:abstractNumId="260">
    <w:nsid w:val="42E57EF7"/>
    <w:multiLevelType w:val="hybridMultilevel"/>
    <w:lvl w:ilvl="0">
      <w:lvlJc w:val="left"/>
      <w:lvlText w:val="%1."/>
      <w:numFmt w:val="decimal"/>
      <w:start w:val="4"/>
    </w:lvl>
  </w:abstractNum>
  <w:abstractNum w:abstractNumId="261">
    <w:nsid w:val="33537CED"/>
    <w:multiLevelType w:val="hybridMultilevel"/>
    <w:lvl w:ilvl="0">
      <w:lvlJc w:val="left"/>
      <w:lvlText w:val="(%1)"/>
      <w:numFmt w:val="lowerRoman"/>
      <w:start w:val="3"/>
    </w:lvl>
    <w:lvl w:ilvl="1">
      <w:lvlJc w:val="left"/>
      <w:lvlText w:val="%2."/>
      <w:numFmt w:val="decimal"/>
      <w:start w:val="10"/>
    </w:lvl>
    <w:lvl w:ilvl="2">
      <w:lvlJc w:val="left"/>
      <w:lvlText w:val="*"/>
      <w:numFmt w:val="bullet"/>
      <w:start w:val="1"/>
    </w:lvl>
  </w:abstractNum>
  <w:abstractNum w:abstractNumId="262">
    <w:nsid w:val="27514ADE"/>
    <w:multiLevelType w:val="hybridMultilevel"/>
    <w:lvl w:ilvl="0">
      <w:lvlJc w:val="left"/>
      <w:lvlText w:val="%1."/>
      <w:numFmt w:val="decimal"/>
      <w:start w:val="1"/>
    </w:lvl>
  </w:abstractNum>
  <w:abstractNum w:abstractNumId="263">
    <w:nsid w:val="5707161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64">
    <w:nsid w:val="5293BFEF"/>
    <w:multiLevelType w:val="hybridMultilevel"/>
    <w:lvl w:ilvl="0">
      <w:lvlJc w:val="left"/>
      <w:lvlText w:val="(%1)"/>
      <w:numFmt w:val="lowerLetter"/>
      <w:start w:val="2"/>
    </w:lvl>
  </w:abstractNum>
  <w:abstractNum w:abstractNumId="265">
    <w:nsid w:val="38BF53E5"/>
    <w:multiLevelType w:val="hybridMultilevel"/>
    <w:lvl w:ilvl="0">
      <w:lvlJc w:val="left"/>
      <w:lvlText w:val="%1"/>
      <w:numFmt w:val="upperLetter"/>
      <w:start w:val="1"/>
    </w:lvl>
    <w:lvl w:ilvl="1">
      <w:lvlJc w:val="left"/>
      <w:lvlText w:val="%2."/>
      <w:numFmt w:val="decimal"/>
      <w:start w:val="6"/>
    </w:lvl>
  </w:abstractNum>
  <w:abstractNum w:abstractNumId="266">
    <w:nsid w:val="226F5320"/>
    <w:multiLevelType w:val="hybridMultilevel"/>
    <w:lvl w:ilvl="0">
      <w:lvlJc w:val="left"/>
      <w:lvlText w:val="%1."/>
      <w:numFmt w:val="upperLetter"/>
      <w:start w:val="2"/>
    </w:lvl>
    <w:lvl w:ilvl="1">
      <w:lvlJc w:val="left"/>
      <w:lvlText w:val="%2"/>
      <w:numFmt w:val="decimal"/>
      <w:start w:val="1"/>
    </w:lvl>
  </w:abstractNum>
  <w:abstractNum w:abstractNumId="267">
    <w:nsid w:val="5A0201C7"/>
    <w:multiLevelType w:val="hybridMultilevel"/>
    <w:lvl w:ilvl="0">
      <w:lvlJc w:val="left"/>
      <w:lvlText w:val="(%1)"/>
      <w:numFmt w:val="lowerLetter"/>
      <w:start w:val="1"/>
    </w:lvl>
  </w:abstractNum>
  <w:abstractNum w:abstractNumId="268">
    <w:nsid w:val="2A9C34E2"/>
    <w:multiLevelType w:val="hybridMultilevel"/>
    <w:lvl w:ilvl="0">
      <w:lvlJc w:val="left"/>
      <w:lvlText w:val="(%1)"/>
      <w:numFmt w:val="lowerLetter"/>
      <w:start w:val="7"/>
    </w:lvl>
  </w:abstractNum>
  <w:abstractNum w:abstractNumId="269">
    <w:nsid w:val="1B7585AB"/>
    <w:multiLevelType w:val="hybridMultilevel"/>
    <w:lvl w:ilvl="0">
      <w:lvlJc w:val="left"/>
      <w:lvlText w:val="%1."/>
      <w:numFmt w:val="upperLetter"/>
      <w:start w:val="1"/>
    </w:lvl>
  </w:abstractNum>
  <w:abstractNum w:abstractNumId="270">
    <w:nsid w:val="612DBDDD"/>
    <w:multiLevelType w:val="hybridMultilevel"/>
    <w:lvl w:ilvl="0">
      <w:lvlJc w:val="left"/>
      <w:lvlText w:val="%1."/>
      <w:numFmt w:val="upperLetter"/>
      <w:start w:val="5"/>
    </w:lvl>
  </w:abstractNum>
  <w:abstractNum w:abstractNumId="271">
    <w:nsid w:val="2109CDA4"/>
    <w:multiLevelType w:val="hybridMultilevel"/>
    <w:lvl w:ilvl="0">
      <w:lvlJc w:val="left"/>
      <w:lvlText w:val="%1."/>
      <w:numFmt w:val="upperLetter"/>
      <w:start w:val="1"/>
    </w:lvl>
    <w:lvl w:ilvl="1">
      <w:lvlJc w:val="left"/>
      <w:lvlText w:val="(%2)"/>
      <w:numFmt w:val="lowerLetter"/>
      <w:start w:val="1"/>
    </w:lvl>
  </w:abstractNum>
  <w:abstractNum w:abstractNumId="272">
    <w:nsid w:val="577F5A4D"/>
    <w:multiLevelType w:val="hybridMultilevel"/>
    <w:lvl w:ilvl="0">
      <w:lvlJc w:val="left"/>
      <w:lvlText w:val="(%1)"/>
      <w:numFmt w:val="lowerRoman"/>
      <w:start w:val="3"/>
    </w:lvl>
  </w:abstractNum>
  <w:abstractNum w:abstractNumId="273">
    <w:nsid w:val="2121A81"/>
    <w:multiLevelType w:val="hybridMultilevel"/>
    <w:lvl w:ilvl="0">
      <w:lvlJc w:val="left"/>
      <w:lvlText w:val="(%1)"/>
      <w:numFmt w:val="lowerLetter"/>
      <w:start w:val="1"/>
    </w:lvl>
  </w:abstractNum>
  <w:abstractNum w:abstractNumId="274">
    <w:nsid w:val="6C2CFC88"/>
    <w:multiLevelType w:val="hybridMultilevel"/>
    <w:lvl w:ilvl="0">
      <w:lvlJc w:val="left"/>
      <w:lvlText w:val="(%1)"/>
      <w:numFmt w:val="lowerRoman"/>
      <w:start w:val="2"/>
    </w:lvl>
  </w:abstractNum>
  <w:abstractNum w:abstractNumId="275">
    <w:nsid w:val="6D1BCF1C"/>
    <w:multiLevelType w:val="hybridMultilevel"/>
    <w:lvl w:ilvl="0">
      <w:lvlJc w:val="left"/>
      <w:lvlText w:val="(%1)"/>
      <w:numFmt w:val="lowerLetter"/>
      <w:start w:val="1"/>
    </w:lvl>
  </w:abstractNum>
  <w:abstractNum w:abstractNumId="276">
    <w:nsid w:val="4CE5CA53"/>
    <w:multiLevelType w:val="hybridMultilevel"/>
    <w:lvl w:ilvl="0">
      <w:lvlJc w:val="left"/>
      <w:lvlText w:val="(%1)"/>
      <w:numFmt w:val="lowerLetter"/>
      <w:start w:val="2"/>
    </w:lvl>
  </w:abstractNum>
  <w:abstractNum w:abstractNumId="277">
    <w:nsid w:val="29262D1A"/>
    <w:multiLevelType w:val="hybridMultilevel"/>
    <w:lvl w:ilvl="0">
      <w:lvlJc w:val="left"/>
      <w:lvlText w:val="(%1)"/>
      <w:numFmt w:val="lowerLetter"/>
      <w:start w:val="4"/>
    </w:lvl>
  </w:abstractNum>
  <w:abstractNum w:abstractNumId="278">
    <w:nsid w:val="557FB7EE"/>
    <w:multiLevelType w:val="hybridMultilevel"/>
    <w:lvl w:ilvl="0">
      <w:lvlJc w:val="left"/>
      <w:lvlText w:val="(%1)"/>
      <w:numFmt w:val="lowerLetter"/>
      <w:start w:val="4"/>
    </w:lvl>
  </w:abstractNum>
  <w:abstractNum w:abstractNumId="279">
    <w:nsid w:val="436F2BEB"/>
    <w:multiLevelType w:val="hybridMultilevel"/>
    <w:lvl w:ilvl="0">
      <w:lvlJc w:val="left"/>
      <w:lvlText w:val="(%1)"/>
      <w:numFmt w:val="lowerLetter"/>
      <w:start w:val="7"/>
    </w:lvl>
  </w:abstractNum>
  <w:abstractNum w:abstractNumId="280">
    <w:nsid w:val="6C8B4466"/>
    <w:multiLevelType w:val="hybridMultilevel"/>
    <w:lvl w:ilvl="0">
      <w:lvlJc w:val="left"/>
      <w:lvlText w:val="(%1)"/>
      <w:numFmt w:val="lowerLetter"/>
      <w:start w:val="13"/>
    </w:lvl>
  </w:abstractNum>
  <w:abstractNum w:abstractNumId="281">
    <w:nsid w:val="2006E424"/>
    <w:multiLevelType w:val="hybridMultilevel"/>
    <w:lvl w:ilvl="0">
      <w:lvlJc w:val="left"/>
      <w:lvlText w:val="(%1)"/>
      <w:numFmt w:val="lowerLetter"/>
      <w:start w:val="15"/>
    </w:lvl>
  </w:abstractNum>
  <w:abstractNum w:abstractNumId="282">
    <w:nsid w:val="20CC134C"/>
    <w:multiLevelType w:val="hybridMultilevel"/>
    <w:lvl w:ilvl="0">
      <w:lvlJc w:val="left"/>
      <w:lvlText w:val="(%1)"/>
      <w:numFmt w:val="lowerRoman"/>
      <w:start w:val="10"/>
    </w:lvl>
  </w:abstractNum>
  <w:abstractNum w:abstractNumId="283">
    <w:nsid w:val="95FC93B"/>
    <w:multiLevelType w:val="hybridMultilevel"/>
    <w:lvl w:ilvl="0">
      <w:lvlJc w:val="left"/>
      <w:lvlText w:val="(%1)"/>
      <w:numFmt w:val="lowerRoman"/>
      <w:start w:val="4"/>
    </w:lvl>
  </w:abstractNum>
  <w:abstractNum w:abstractNumId="284">
    <w:nsid w:val="41D74679"/>
    <w:multiLevelType w:val="hybridMultilevel"/>
    <w:lvl w:ilvl="0">
      <w:lvlJc w:val="left"/>
      <w:lvlText w:val="(%1)"/>
      <w:numFmt w:val="lowerLetter"/>
      <w:start w:val="1"/>
    </w:lvl>
  </w:abstractNum>
  <w:abstractNum w:abstractNumId="285">
    <w:nsid w:val="71E5621E"/>
    <w:multiLevelType w:val="hybridMultilevel"/>
    <w:lvl w:ilvl="0">
      <w:lvlJc w:val="left"/>
      <w:lvlText w:val="(%1)"/>
      <w:numFmt w:val="lowerLetter"/>
      <w:start w:val="2"/>
    </w:lvl>
    <w:lvl w:ilvl="1">
      <w:lvlJc w:val="left"/>
      <w:lvlText w:val="(%2)"/>
      <w:numFmt w:val="lowerRoman"/>
      <w:start w:val="1"/>
    </w:lvl>
  </w:abstractNum>
  <w:abstractNum w:abstractNumId="286">
    <w:nsid w:val="4E42B6A8"/>
    <w:multiLevelType w:val="hybridMultilevel"/>
    <w:lvl w:ilvl="0">
      <w:lvlJc w:val="left"/>
      <w:lvlText w:val="%1"/>
      <w:numFmt w:val="lowerLetter"/>
      <w:start w:val="1"/>
    </w:lvl>
    <w:lvl w:ilvl="1">
      <w:lvlJc w:val="left"/>
      <w:lvlText w:val="(%2)"/>
      <w:numFmt w:val="lowerRoman"/>
      <w:start w:val="2"/>
    </w:lvl>
  </w:abstractNum>
  <w:abstractNum w:abstractNumId="287">
    <w:nsid w:val="43F8E1AC"/>
    <w:multiLevelType w:val="hybridMultilevel"/>
    <w:lvl w:ilvl="0">
      <w:lvlJc w:val="left"/>
      <w:lvlText w:val="(%1)"/>
      <w:numFmt w:val="lowerLetter"/>
      <w:start w:val="4"/>
    </w:lvl>
    <w:lvl w:ilvl="1">
      <w:lvlJc w:val="left"/>
      <w:lvlText w:val="(%2)"/>
      <w:numFmt w:val="lowerRoman"/>
      <w:start w:val="1"/>
    </w:lvl>
  </w:abstractNum>
  <w:abstractNum w:abstractNumId="288">
    <w:nsid w:val="69215DFB"/>
    <w:multiLevelType w:val="hybridMultilevel"/>
    <w:lvl w:ilvl="0">
      <w:lvlJc w:val="left"/>
      <w:lvlText w:val="%1"/>
      <w:numFmt w:val="lowerLetter"/>
      <w:start w:val="1"/>
    </w:lvl>
    <w:lvl w:ilvl="1">
      <w:lvlJc w:val="left"/>
      <w:lvlText w:val="(%2)"/>
      <w:numFmt w:val="lowerLetter"/>
      <w:start w:val="35"/>
    </w:lvl>
  </w:abstractNum>
  <w:abstractNum w:abstractNumId="289">
    <w:nsid w:val="7ABF196A"/>
    <w:multiLevelType w:val="hybridMultilevel"/>
    <w:lvl w:ilvl="0">
      <w:lvlJc w:val="left"/>
      <w:lvlText w:val="(%1)"/>
      <w:numFmt w:val="lowerLetter"/>
      <w:start w:val="5"/>
    </w:lvl>
    <w:lvl w:ilvl="1">
      <w:lvlJc w:val="left"/>
      <w:lvlText w:val="(%2)"/>
      <w:numFmt w:val="lowerLetter"/>
      <w:start w:val="9"/>
    </w:lvl>
  </w:abstractNum>
  <w:abstractNum w:abstractNumId="290">
    <w:nsid w:val="5E4DB968"/>
    <w:multiLevelType w:val="hybridMultilevel"/>
    <w:lvl w:ilvl="0">
      <w:lvlJc w:val="left"/>
      <w:lvlText w:val="(%1)"/>
      <w:numFmt w:val="lowerRoman"/>
      <w:start w:val="2"/>
    </w:lvl>
  </w:abstractNum>
  <w:abstractNum w:abstractNumId="291">
    <w:nsid w:val="2C06DCF3"/>
    <w:multiLevelType w:val="hybridMultilevel"/>
    <w:lvl w:ilvl="0">
      <w:lvlJc w:val="left"/>
      <w:lvlText w:val="(%1)"/>
      <w:numFmt w:val="lowerRoman"/>
      <w:start w:val="5"/>
    </w:lvl>
  </w:abstractNum>
  <w:abstractNum w:abstractNumId="292">
    <w:nsid w:val="2E129658"/>
    <w:multiLevelType w:val="hybridMultilevel"/>
    <w:lvl w:ilvl="0">
      <w:lvlJc w:val="left"/>
      <w:lvlText w:val="(%1)"/>
      <w:numFmt w:val="lowerLetter"/>
      <w:start w:val="6"/>
    </w:lvl>
  </w:abstractNum>
  <w:abstractNum w:abstractNumId="293">
    <w:nsid w:val="59F0446"/>
    <w:multiLevelType w:val="hybridMultilevel"/>
    <w:lvl w:ilvl="0">
      <w:lvlJc w:val="left"/>
      <w:lvlText w:val="(%1)"/>
      <w:numFmt w:val="lowerLetter"/>
      <w:start w:val="4"/>
    </w:lvl>
  </w:abstractNum>
  <w:abstractNum w:abstractNumId="294">
    <w:nsid w:val="30DF306"/>
    <w:multiLevelType w:val="hybridMultilevel"/>
    <w:lvl w:ilvl="0">
      <w:lvlJc w:val="left"/>
      <w:lvlText w:val="(%1)"/>
      <w:numFmt w:val="lowerLetter"/>
      <w:start w:val="1"/>
    </w:lvl>
  </w:abstractNum>
  <w:abstractNum w:abstractNumId="295">
    <w:nsid w:val="A65647"/>
    <w:multiLevelType w:val="hybridMultilevel"/>
    <w:lvl w:ilvl="0">
      <w:lvlJc w:val="left"/>
      <w:lvlText w:val="(%1)"/>
      <w:numFmt w:val="lowerLetter"/>
      <w:start w:val="2"/>
    </w:lvl>
  </w:abstractNum>
  <w:abstractNum w:abstractNumId="296">
    <w:nsid w:val="3E5E582B"/>
    <w:multiLevelType w:val="hybridMultilevel"/>
    <w:lvl w:ilvl="0">
      <w:lvlJc w:val="left"/>
      <w:lvlText w:val="(%1)"/>
      <w:numFmt w:val="upperLetter"/>
      <w:start w:val="1"/>
    </w:lvl>
  </w:abstractNum>
  <w:abstractNum w:abstractNumId="297">
    <w:nsid w:val="257D4626"/>
    <w:multiLevelType w:val="hybridMultilevel"/>
    <w:lvl w:ilvl="0">
      <w:lvlJc w:val="left"/>
      <w:lvlText w:val="(%1)"/>
      <w:numFmt w:val="upperLetter"/>
      <w:start w:val="3"/>
    </w:lvl>
  </w:abstractNum>
  <w:abstractNum w:abstractNumId="298">
    <w:nsid w:val="5AA8580E"/>
    <w:multiLevelType w:val="hybridMultilevel"/>
    <w:lvl w:ilvl="0">
      <w:lvlJc w:val="left"/>
      <w:lvlText w:val="(%1)"/>
      <w:numFmt w:val="upperLetter"/>
      <w:start w:val="4"/>
    </w:lvl>
  </w:abstractNum>
  <w:abstractNum w:abstractNumId="299">
    <w:nsid w:val="68FA8D0D"/>
    <w:multiLevelType w:val="hybridMultilevel"/>
    <w:lvl w:ilvl="0">
      <w:lvlJc w:val="left"/>
      <w:lvlText w:val="(%1)"/>
      <w:numFmt w:val="lowerLetter"/>
      <w:start w:val="1"/>
    </w:lvl>
  </w:abstractNum>
  <w:abstractNum w:abstractNumId="300">
    <w:nsid w:val="40F2CBD2"/>
    <w:multiLevelType w:val="hybridMultilevel"/>
    <w:lvl w:ilvl="0">
      <w:lvlJc w:val="left"/>
      <w:lvlText w:val="(%1)"/>
      <w:numFmt w:val="lowerRoman"/>
      <w:start w:val="1"/>
    </w:lvl>
  </w:abstractNum>
  <w:abstractNum w:abstractNumId="301">
    <w:nsid w:val="3BD615EB"/>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
      <w:numFmt w:val="bullet"/>
      <w:start w:val="1"/>
    </w:lvl>
  </w:abstractNum>
  <w:abstractNum w:abstractNumId="302">
    <w:nsid w:val="A045AB2"/>
    <w:multiLevelType w:val="hybridMultilevel"/>
    <w:lvl w:ilvl="0">
      <w:lvlJc w:val="left"/>
      <w:lvlText w:val="(%1)"/>
      <w:numFmt w:val="decimal"/>
      <w:start w:val="180"/>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303">
    <w:nsid w:val="1872261F"/>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304">
    <w:nsid w:val="3DE8306C"/>
    <w:multiLevelType w:val="hybridMultilevel"/>
    <w:lvl w:ilvl="0">
      <w:lvlJc w:val="left"/>
      <w:lvlText w:val="(%1)"/>
      <w:numFmt w:val="lowerLetter"/>
      <w:start w:val="2"/>
    </w:lvl>
  </w:abstractNum>
  <w:abstractNum w:abstractNumId="305">
    <w:nsid w:val="7631573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06">
    <w:nsid w:val="58DF53B"/>
    <w:multiLevelType w:val="hybridMultilevel"/>
    <w:lvl w:ilvl="0">
      <w:lvlJc w:val="left"/>
      <w:lvlText w:val="(%1)"/>
      <w:numFmt w:val="decimal"/>
      <w:start w:val="180"/>
    </w:lvl>
    <w:lvl w:ilvl="1">
      <w:lvlJc w:val="left"/>
      <w:lvlText w:val="%2"/>
      <w:numFmt w:val="lowerLetter"/>
      <w:start w:val="1"/>
    </w:lvl>
    <w:lvl w:ilvl="2">
      <w:lvlJc w:val="left"/>
      <w:lvlText w:val="-"/>
      <w:numFmt w:val="bullet"/>
      <w:start w:val="1"/>
    </w:lvl>
  </w:abstractNum>
  <w:abstractNum w:abstractNumId="307">
    <w:nsid w:val="ACDFAC0"/>
    <w:multiLevelType w:val="hybridMultilevel"/>
    <w:lvl w:ilvl="0">
      <w:lvlJc w:val="left"/>
      <w:lvlText w:val="(%1)"/>
      <w:numFmt w:val="decimal"/>
      <w:start w:val="5"/>
    </w:lvl>
    <w:lvl w:ilvl="1">
      <w:lvlJc w:val="left"/>
      <w:lvlText w:val="-"/>
      <w:numFmt w:val="bullet"/>
      <w:start w:val="1"/>
    </w:lvl>
  </w:abstractNum>
  <w:abstractNum w:abstractNumId="308">
    <w:nsid w:val="1F578454"/>
    <w:multiLevelType w:val="hybridMultilevel"/>
    <w:lvl w:ilvl="0">
      <w:lvlJc w:val="left"/>
      <w:lvlText w:val="(%1)"/>
      <w:numFmt w:val="lowerLetter"/>
      <w:start w:val="1"/>
    </w:lvl>
    <w:lvl w:ilvl="1">
      <w:lvlJc w:val="left"/>
      <w:lvlText w:val="-"/>
      <w:numFmt w:val="bullet"/>
      <w:start w:val="1"/>
    </w:lvl>
  </w:abstractNum>
  <w:abstractNum w:abstractNumId="309">
    <w:nsid w:val="5B0DAD2A"/>
    <w:multiLevelType w:val="hybridMultilevel"/>
    <w:lvl w:ilvl="0">
      <w:lvlJc w:val="left"/>
      <w:lvlText w:val="(%1)"/>
      <w:numFmt w:val="lowerLetter"/>
      <w:start w:val="3"/>
    </w:lvl>
  </w:abstractNum>
  <w:abstractNum w:abstractNumId="310">
    <w:nsid w:val="4E3D26AB"/>
    <w:multiLevelType w:val="hybridMultilevel"/>
    <w:lvl w:ilvl="0">
      <w:lvlJc w:val="left"/>
      <w:lvlText w:val="(%1)"/>
      <w:numFmt w:val="lowerLetter"/>
      <w:start w:val="3"/>
    </w:lvl>
    <w:lvl w:ilvl="1">
      <w:lvlJc w:val="left"/>
      <w:lvlText w:val="-"/>
      <w:numFmt w:val="bullet"/>
      <w:start w:val="1"/>
    </w:lvl>
  </w:abstractNum>
  <w:abstractNum w:abstractNumId="311">
    <w:nsid w:val="BE2C8BA"/>
    <w:multiLevelType w:val="hybridMultilevel"/>
    <w:lvl w:ilvl="0">
      <w:lvlJc w:val="left"/>
      <w:lvlText w:val="(%1)"/>
      <w:numFmt w:val="lowerLetter"/>
      <w:start w:val="4"/>
    </w:lvl>
    <w:lvl w:ilvl="1">
      <w:lvlJc w:val="left"/>
      <w:lvlText w:val="-"/>
      <w:numFmt w:val="bullet"/>
      <w:start w:val="1"/>
    </w:lvl>
  </w:abstractNum>
  <w:abstractNum w:abstractNumId="312">
    <w:nsid w:val="7B14914E"/>
    <w:multiLevelType w:val="hybridMultilevel"/>
    <w:lvl w:ilvl="0">
      <w:lvlJc w:val="left"/>
      <w:lvlText w:val="(%1)"/>
      <w:numFmt w:val="lowerLetter"/>
      <w:start w:val="10"/>
    </w:lvl>
  </w:abstractNum>
  <w:abstractNum w:abstractNumId="313">
    <w:nsid w:val="6F0939F8"/>
    <w:multiLevelType w:val="hybridMultilevel"/>
    <w:lvl w:ilvl="0">
      <w:lvlJc w:val="left"/>
      <w:lvlText w:val="(%1)"/>
      <w:numFmt w:val="lowerLetter"/>
      <w:start w:val="3"/>
    </w:lvl>
    <w:lvl w:ilvl="1">
      <w:lvlJc w:val="left"/>
      <w:lvlText w:val="-"/>
      <w:numFmt w:val="bullet"/>
      <w:start w:val="1"/>
    </w:lvl>
  </w:abstractNum>
  <w:abstractNum w:abstractNumId="314">
    <w:nsid w:val="154291F6"/>
    <w:multiLevelType w:val="hybridMultilevel"/>
    <w:lvl w:ilvl="0">
      <w:lvlJc w:val="left"/>
      <w:lvlText w:val="(%1)"/>
      <w:numFmt w:val="lowerLetter"/>
      <w:start w:val="3"/>
    </w:lvl>
  </w:abstractNum>
  <w:abstractNum w:abstractNumId="315">
    <w:nsid w:val="3CEBD7C7"/>
    <w:multiLevelType w:val="hybridMultilevel"/>
    <w:lvl w:ilvl="0">
      <w:lvlJc w:val="left"/>
      <w:lvlText w:val="%1"/>
      <w:numFmt w:val="lowerLetter"/>
      <w:start w:val="1"/>
    </w:lvl>
    <w:lvl w:ilvl="1">
      <w:lvlJc w:val="left"/>
      <w:lvlText w:val="(%2)"/>
      <w:numFmt w:val="lowerLetter"/>
      <w:start w:val="5"/>
    </w:lvl>
    <w:lvl w:ilvl="2">
      <w:lvlJc w:val="left"/>
      <w:lvlText w:val="-"/>
      <w:numFmt w:val="bullet"/>
      <w:start w:val="1"/>
    </w:lvl>
  </w:abstractNum>
  <w:abstractNum w:abstractNumId="316">
    <w:nsid w:val="60EE9C16"/>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317">
    <w:nsid w:val="6385489E"/>
    <w:multiLevelType w:val="hybridMultilevel"/>
    <w:lvl w:ilvl="0">
      <w:lvlJc w:val="left"/>
      <w:lvlText w:val="(%1)"/>
      <w:numFmt w:val="lowerLetter"/>
      <w:start w:val="5"/>
    </w:lvl>
  </w:abstractNum>
  <w:abstractNum w:abstractNumId="318">
    <w:nsid w:val="E4B973"/>
    <w:multiLevelType w:val="hybridMultilevel"/>
    <w:lvl w:ilvl="0">
      <w:lvlJc w:val="left"/>
      <w:lvlText w:val="(%1)"/>
      <w:numFmt w:val="lowerLetter"/>
      <w:start w:val="12"/>
    </w:lvl>
  </w:abstractNum>
  <w:abstractNum w:abstractNumId="319">
    <w:nsid w:val="4A0FFA11"/>
    <w:multiLevelType w:val="hybridMultilevel"/>
    <w:lvl w:ilvl="0">
      <w:lvlJc w:val="left"/>
      <w:lvlText w:val="(%1)"/>
      <w:numFmt w:val="lowerLetter"/>
      <w:start w:val="13"/>
    </w:lvl>
    <w:lvl w:ilvl="1">
      <w:lvlJc w:val="left"/>
      <w:lvlText w:val="-"/>
      <w:numFmt w:val="bullet"/>
      <w:start w:val="1"/>
    </w:lvl>
  </w:abstractNum>
  <w:abstractNum w:abstractNumId="320">
    <w:nsid w:val="5E446208"/>
    <w:multiLevelType w:val="hybridMultilevel"/>
    <w:lvl w:ilvl="0">
      <w:lvlJc w:val="left"/>
      <w:lvlText w:val="(%1)"/>
      <w:numFmt w:val="lowerRoman"/>
      <w:start w:val="1"/>
    </w:lvl>
  </w:abstractNum>
  <w:abstractNum w:abstractNumId="321">
    <w:nsid w:val="5F3272DB"/>
    <w:multiLevelType w:val="hybridMultilevel"/>
    <w:lvl w:ilvl="0">
      <w:lvlJc w:val="left"/>
      <w:lvlText w:val="(%1)"/>
      <w:numFmt w:val="decimal"/>
      <w:start w:val="180"/>
    </w:lvl>
    <w:lvl w:ilvl="1">
      <w:lvlJc w:val="left"/>
      <w:lvlText w:val="-"/>
      <w:numFmt w:val="bullet"/>
      <w:start w:val="1"/>
    </w:lvl>
  </w:abstractNum>
  <w:abstractNum w:abstractNumId="322">
    <w:nsid w:val="7616D704"/>
    <w:multiLevelType w:val="hybridMultilevel"/>
    <w:lvl w:ilvl="0">
      <w:lvlJc w:val="left"/>
      <w:lvlText w:val="(%1)"/>
      <w:numFmt w:val="lowerLetter"/>
      <w:start w:val="16"/>
    </w:lvl>
  </w:abstractNum>
  <w:abstractNum w:abstractNumId="323">
    <w:nsid w:val="C56F860"/>
    <w:multiLevelType w:val="hybridMultilevel"/>
    <w:lvl w:ilvl="0">
      <w:lvlJc w:val="left"/>
      <w:lvlText w:val="(%1)"/>
      <w:numFmt w:val="lowerLetter"/>
      <w:start w:val="4"/>
    </w:lvl>
  </w:abstractNum>
  <w:abstractNum w:abstractNumId="324">
    <w:nsid w:val="64D17722"/>
    <w:multiLevelType w:val="hybridMultilevel"/>
    <w:lvl w:ilvl="0">
      <w:lvlJc w:val="left"/>
      <w:lvlText w:val="(%1)"/>
      <w:numFmt w:val="lowerLetter"/>
      <w:start w:val="6"/>
    </w:lvl>
    <w:lvl w:ilvl="1">
      <w:lvlJc w:val="left"/>
      <w:lvlText w:val="-"/>
      <w:numFmt w:val="bullet"/>
      <w:start w:val="1"/>
    </w:lvl>
  </w:abstractNum>
  <w:abstractNum w:abstractNumId="325">
    <w:nsid w:val="7924CA0A"/>
    <w:multiLevelType w:val="hybridMultilevel"/>
    <w:lvl w:ilvl="0">
      <w:lvlJc w:val="left"/>
      <w:lvlText w:val="(%1)"/>
      <w:numFmt w:val="lowerLetter"/>
      <w:start w:val="6"/>
    </w:lvl>
  </w:abstractNum>
  <w:abstractNum w:abstractNumId="326">
    <w:nsid w:val="CFD4EA7"/>
    <w:multiLevelType w:val="hybridMultilevel"/>
    <w:lvl w:ilvl="0">
      <w:lvlJc w:val="left"/>
      <w:lvlText w:val="(%1)"/>
      <w:numFmt w:val="lowerLetter"/>
      <w:start w:val="18"/>
    </w:lvl>
    <w:lvl w:ilvl="1">
      <w:lvlJc w:val="left"/>
      <w:lvlText w:val="-"/>
      <w:numFmt w:val="bullet"/>
      <w:start w:val="1"/>
    </w:lvl>
  </w:abstractNum>
  <w:abstractNum w:abstractNumId="327">
    <w:nsid w:val="232FCF4D"/>
    <w:multiLevelType w:val="hybridMultilevel"/>
    <w:lvl w:ilvl="0">
      <w:lvlJc w:val="left"/>
      <w:lvlText w:val="%1"/>
      <w:numFmt w:val="decimal"/>
      <w:start w:val="1"/>
    </w:lvl>
    <w:lvl w:ilvl="1">
      <w:lvlJc w:val="left"/>
      <w:lvlText w:val="(%2)"/>
      <w:numFmt w:val="lowerLetter"/>
      <w:start w:val="3"/>
    </w:lvl>
  </w:abstractNum>
  <w:abstractNum w:abstractNumId="328">
    <w:nsid w:val="1EA21031"/>
    <w:multiLevelType w:val="hybridMultilevel"/>
    <w:lvl w:ilvl="0">
      <w:lvlJc w:val="left"/>
      <w:lvlText w:val="%1."/>
      <w:numFmt w:val="decimal"/>
      <w:start w:val="3"/>
    </w:lvl>
    <w:lvl w:ilvl="1">
      <w:lvlJc w:val="left"/>
      <w:lvlText w:val="%2"/>
      <w:numFmt w:val="lowerLetter"/>
      <w:start w:val="1"/>
    </w:lvl>
  </w:abstractNum>
  <w:abstractNum w:abstractNumId="329">
    <w:nsid w:val="67A5A6B5"/>
    <w:multiLevelType w:val="hybridMultilevel"/>
    <w:lvl w:ilvl="0">
      <w:lvlJc w:val="left"/>
      <w:lvlText w:val="%1"/>
      <w:numFmt w:val="lowerLetter"/>
      <w:start w:val="1"/>
    </w:lvl>
    <w:lvl w:ilvl="1">
      <w:lvlJc w:val="left"/>
      <w:lvlText w:val="(%2)"/>
      <w:numFmt w:val="lowerLetter"/>
      <w:start w:val="20"/>
    </w:lvl>
    <w:lvl w:ilvl="2">
      <w:lvlJc w:val="left"/>
      <w:lvlText w:val="-"/>
      <w:numFmt w:val="bullet"/>
      <w:start w:val="1"/>
    </w:lvl>
  </w:abstractNum>
  <w:abstractNum w:abstractNumId="330">
    <w:nsid w:val="C2A5C5B"/>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331">
    <w:nsid w:val="5F94DC03"/>
    <w:multiLevelType w:val="hybridMultilevel"/>
    <w:lvl w:ilvl="0">
      <w:lvlJc w:val="left"/>
      <w:lvlText w:val="(%1)"/>
      <w:numFmt w:val="lowerLetter"/>
      <w:start w:val="61"/>
    </w:lvl>
    <w:lvl w:ilvl="1">
      <w:lvlJc w:val="left"/>
      <w:lvlText w:val="(%2)"/>
      <w:numFmt w:val="lowerLetter"/>
      <w:start w:val="21"/>
    </w:lvl>
    <w:lvl w:ilvl="2">
      <w:lvlJc w:val="left"/>
      <w:lvlText w:val="-"/>
      <w:numFmt w:val="bullet"/>
      <w:start w:val="1"/>
    </w:lvl>
  </w:abstractNum>
  <w:abstractNum w:abstractNumId="332">
    <w:nsid w:val="237BBCA0"/>
    <w:multiLevelType w:val="hybridMultilevel"/>
    <w:lvl w:ilvl="0">
      <w:lvlJc w:val="left"/>
      <w:lvlText w:val="(%1)"/>
      <w:numFmt w:val="lowerLetter"/>
      <w:start w:val="6"/>
    </w:lvl>
  </w:abstractNum>
  <w:abstractNum w:abstractNumId="333">
    <w:nsid w:val="162EB70D"/>
    <w:multiLevelType w:val="hybridMultilevel"/>
    <w:lvl w:ilvl="0">
      <w:lvlJc w:val="left"/>
      <w:lvlText w:val="(%1)"/>
      <w:numFmt w:val="lowerLetter"/>
      <w:start w:val="24"/>
    </w:lvl>
  </w:abstractNum>
  <w:abstractNum w:abstractNumId="334">
    <w:nsid w:val="78070222"/>
    <w:multiLevelType w:val="hybridMultilevel"/>
    <w:lvl w:ilvl="0">
      <w:lvlJc w:val="left"/>
      <w:lvlText w:val="(%1)"/>
      <w:numFmt w:val="lowerLetter"/>
      <w:start w:val="25"/>
    </w:lvl>
    <w:lvl w:ilvl="1">
      <w:lvlJc w:val="left"/>
      <w:lvlText w:val="-"/>
      <w:numFmt w:val="bullet"/>
      <w:start w:val="1"/>
    </w:lvl>
  </w:abstractNum>
  <w:abstractNum w:abstractNumId="335">
    <w:nsid w:val="6163ED0D"/>
    <w:multiLevelType w:val="hybridMultilevel"/>
    <w:lvl w:ilvl="0">
      <w:lvlJc w:val="left"/>
      <w:lvlText w:val="(%1)"/>
      <w:numFmt w:val="lowerRoman"/>
      <w:start w:val="3"/>
    </w:lvl>
    <w:lvl w:ilvl="1">
      <w:lvlJc w:val="left"/>
      <w:lvlText w:val="-"/>
      <w:numFmt w:val="bullet"/>
      <w:start w:val="1"/>
    </w:lvl>
  </w:abstractNum>
  <w:abstractNum w:abstractNumId="336">
    <w:nsid w:val="C600E47"/>
    <w:multiLevelType w:val="hybridMultilevel"/>
    <w:lvl w:ilvl="0">
      <w:lvlJc w:val="left"/>
      <w:lvlText w:val="%1."/>
      <w:numFmt w:val="decimal"/>
      <w:start w:val="4"/>
    </w:lvl>
  </w:abstractNum>
  <w:abstractNum w:abstractNumId="337">
    <w:nsid w:val="7D94F75D"/>
    <w:multiLevelType w:val="hybridMultilevel"/>
    <w:lvl w:ilvl="0">
      <w:lvlJc w:val="left"/>
      <w:lvlText w:val="(%1)"/>
      <w:numFmt w:val="lowerLetter"/>
      <w:start w:val="25"/>
    </w:lvl>
    <w:lvl w:ilvl="1">
      <w:lvlJc w:val="left"/>
      <w:lvlText w:val="(%2)"/>
      <w:numFmt w:val="lowerLetter"/>
      <w:start w:val="8"/>
    </w:lvl>
    <w:lvl w:ilvl="2">
      <w:lvlJc w:val="left"/>
      <w:lvlText w:val="-"/>
      <w:numFmt w:val="bullet"/>
      <w:start w:val="1"/>
    </w:lvl>
  </w:abstractNum>
  <w:abstractNum w:abstractNumId="338">
    <w:nsid w:val="6C31E7CD"/>
    <w:multiLevelType w:val="hybridMultilevel"/>
    <w:lvl w:ilvl="0">
      <w:lvlJc w:val="left"/>
      <w:lvlText w:val="(%1)"/>
      <w:numFmt w:val="lowerLetter"/>
      <w:start w:val="5"/>
    </w:lvl>
  </w:abstractNum>
  <w:abstractNum w:abstractNumId="339">
    <w:nsid w:val="2BB7929B"/>
    <w:multiLevelType w:val="hybridMultilevel"/>
    <w:lvl w:ilvl="0">
      <w:lvlJc w:val="left"/>
      <w:lvlText w:val="(%1)"/>
      <w:numFmt w:val="lowerLetter"/>
      <w:start w:val="10"/>
    </w:lvl>
    <w:lvl w:ilvl="1">
      <w:lvlJc w:val="left"/>
      <w:lvlText w:val="-"/>
      <w:numFmt w:val="bullet"/>
      <w:start w:val="1"/>
    </w:lvl>
  </w:abstractNum>
  <w:abstractNum w:abstractNumId="340">
    <w:nsid w:val="58A2A487"/>
    <w:multiLevelType w:val="hybridMultilevel"/>
    <w:lvl w:ilvl="0">
      <w:lvlJc w:val="left"/>
      <w:lvlText w:val="%1."/>
      <w:numFmt w:val="decimal"/>
      <w:start w:val="5"/>
    </w:lvl>
  </w:abstractNum>
  <w:abstractNum w:abstractNumId="341">
    <w:nsid w:val="3A6F0E78"/>
    <w:multiLevelType w:val="hybridMultilevel"/>
    <w:lvl w:ilvl="0">
      <w:lvlJc w:val="left"/>
      <w:lvlText w:val="(%1)"/>
      <w:numFmt w:val="lowerRoman"/>
      <w:start w:val="1"/>
    </w:lvl>
  </w:abstractNum>
  <w:abstractNum w:abstractNumId="342">
    <w:nsid w:val="379A5B56"/>
    <w:multiLevelType w:val="hybridMultilevel"/>
    <w:lvl w:ilvl="0">
      <w:lvlJc w:val="left"/>
      <w:lvlText w:val="(%1)"/>
      <w:numFmt w:val="lowerLetter"/>
      <w:start w:val="26"/>
    </w:lvl>
  </w:abstractNum>
  <w:abstractNum w:abstractNumId="343">
    <w:nsid w:val="53B735D5"/>
    <w:multiLevelType w:val="hybridMultilevel"/>
    <w:lvl w:ilvl="0">
      <w:lvlJc w:val="left"/>
      <w:lvlText w:val="(%1)"/>
      <w:numFmt w:val="lowerLetter"/>
      <w:start w:val="27"/>
    </w:lvl>
  </w:abstractNum>
  <w:abstractNum w:abstractNumId="344">
    <w:nsid w:val="29784870"/>
    <w:multiLevelType w:val="hybridMultilevel"/>
    <w:lvl w:ilvl="0">
      <w:lvlJc w:val="left"/>
      <w:lvlText w:val="(%1)"/>
      <w:numFmt w:val="lowerLetter"/>
      <w:start w:val="1"/>
    </w:lvl>
    <w:lvl w:ilvl="1">
      <w:lvlJc w:val="left"/>
      <w:lvlText w:val="-"/>
      <w:numFmt w:val="bullet"/>
      <w:start w:val="1"/>
    </w:lvl>
  </w:abstractNum>
  <w:abstractNum w:abstractNumId="345">
    <w:nsid w:val="4CDCED4C"/>
    <w:multiLevelType w:val="hybridMultilevel"/>
    <w:lvl w:ilvl="0">
      <w:lvlJc w:val="left"/>
      <w:lvlText w:val="(%1)"/>
      <w:numFmt w:val="lowerLetter"/>
      <w:start w:val="2"/>
    </w:lvl>
  </w:abstractNum>
  <w:abstractNum w:abstractNumId="346">
    <w:nsid w:val="10A30D9C"/>
    <w:multiLevelType w:val="hybridMultilevel"/>
    <w:lvl w:ilvl="0">
      <w:lvlJc w:val="left"/>
      <w:lvlText w:val="(%1)"/>
      <w:numFmt w:val="lowerLetter"/>
      <w:start w:val="28"/>
    </w:lvl>
    <w:lvl w:ilvl="1">
      <w:lvlJc w:val="left"/>
      <w:lvlText w:val="-"/>
      <w:numFmt w:val="bullet"/>
      <w:start w:val="1"/>
    </w:lvl>
  </w:abstractNum>
  <w:abstractNum w:abstractNumId="347">
    <w:nsid w:val="A66E486"/>
    <w:multiLevelType w:val="hybridMultilevel"/>
    <w:lvl w:ilvl="0">
      <w:lvlJc w:val="left"/>
      <w:lvlText w:val="(%1)"/>
      <w:numFmt w:val="lowerLetter"/>
      <w:start w:val="3"/>
    </w:lvl>
  </w:abstractNum>
  <w:abstractNum w:abstractNumId="348">
    <w:nsid w:val="306235EA"/>
    <w:multiLevelType w:val="hybridMultilevel"/>
    <w:lvl w:ilvl="0">
      <w:lvlJc w:val="left"/>
      <w:lvlText w:val="(%1)"/>
      <w:numFmt w:val="lowerLetter"/>
      <w:start w:val="1"/>
    </w:lvl>
    <w:lvl w:ilvl="1">
      <w:lvlJc w:val="left"/>
      <w:lvlText w:val="-"/>
      <w:numFmt w:val="bullet"/>
      <w:start w:val="1"/>
    </w:lvl>
  </w:abstractNum>
  <w:abstractNum w:abstractNumId="349">
    <w:nsid w:val="1187C70F"/>
    <w:multiLevelType w:val="hybridMultilevel"/>
    <w:lvl w:ilvl="0">
      <w:lvlJc w:val="left"/>
      <w:lvlText w:val="(%1)"/>
      <w:numFmt w:val="lowerLetter"/>
      <w:start w:val="2"/>
    </w:lvl>
  </w:abstractNum>
  <w:abstractNum w:abstractNumId="350">
    <w:nsid w:val="5476DE98"/>
    <w:multiLevelType w:val="hybridMultilevel"/>
    <w:lvl w:ilvl="0">
      <w:lvlJc w:val="left"/>
      <w:lvlText w:val="(%1)"/>
      <w:numFmt w:val="lowerLetter"/>
      <w:start w:val="30"/>
    </w:lvl>
    <w:lvl w:ilvl="1">
      <w:lvlJc w:val="left"/>
      <w:lvlText w:val="-"/>
      <w:numFmt w:val="bullet"/>
      <w:start w:val="1"/>
    </w:lvl>
  </w:abstractNum>
  <w:abstractNum w:abstractNumId="351">
    <w:nsid w:val="EA697F2"/>
    <w:multiLevelType w:val="hybridMultilevel"/>
    <w:lvl w:ilvl="0">
      <w:lvlJc w:val="left"/>
      <w:lvlText w:val="(%1)"/>
      <w:numFmt w:val="lowerLetter"/>
      <w:start w:val="1"/>
    </w:lvl>
    <w:lvl w:ilvl="1">
      <w:lvlJc w:val="left"/>
      <w:lvlText w:val="-"/>
      <w:numFmt w:val="bullet"/>
      <w:start w:val="1"/>
    </w:lvl>
  </w:abstractNum>
  <w:abstractNum w:abstractNumId="352">
    <w:nsid w:val="70BA39EB"/>
    <w:multiLevelType w:val="hybridMultilevel"/>
    <w:lvl w:ilvl="0">
      <w:lvlJc w:val="left"/>
      <w:lvlText w:val="(%1)"/>
      <w:numFmt w:val="lowerLetter"/>
      <w:start w:val="3"/>
    </w:lvl>
  </w:abstractNum>
  <w:abstractNum w:abstractNumId="353">
    <w:nsid w:val="4A8DB59C"/>
    <w:multiLevelType w:val="hybridMultilevel"/>
    <w:lvl w:ilvl="0">
      <w:lvlJc w:val="left"/>
      <w:lvlText w:val="(%1)"/>
      <w:numFmt w:val="lowerLetter"/>
      <w:start w:val="32"/>
    </w:lvl>
  </w:abstractNum>
  <w:abstractNum w:abstractNumId="354">
    <w:nsid w:val="1AFD9053"/>
    <w:multiLevelType w:val="hybridMultilevel"/>
    <w:lvl w:ilvl="0">
      <w:lvlJc w:val="left"/>
      <w:lvlText w:val="%1."/>
      <w:numFmt w:val="decimal"/>
      <w:start w:val="6"/>
    </w:lvl>
  </w:abstractNum>
  <w:abstractNum w:abstractNumId="355">
    <w:nsid w:val="558BB10D"/>
    <w:multiLevelType w:val="hybridMultilevel"/>
    <w:lvl w:ilvl="0">
      <w:lvlJc w:val="left"/>
      <w:lvlText w:val="(%1)"/>
      <w:numFmt w:val="decimal"/>
      <w:start w:val="617"/>
    </w:lvl>
    <w:lvl w:ilvl="1">
      <w:lvlJc w:val="left"/>
      <w:lvlText w:val="-"/>
      <w:numFmt w:val="bullet"/>
      <w:start w:val="1"/>
    </w:lvl>
  </w:abstractNum>
  <w:abstractNum w:abstractNumId="356">
    <w:nsid w:val="43B27FA7"/>
    <w:multiLevelType w:val="hybridMultilevel"/>
    <w:lvl w:ilvl="0">
      <w:lvlJc w:val="left"/>
      <w:lvlText w:val="(%1)"/>
      <w:numFmt w:val="lowerLetter"/>
      <w:start w:val="4"/>
    </w:lvl>
  </w:abstractNum>
  <w:abstractNum w:abstractNumId="357">
    <w:nsid w:val="27FADEFA"/>
    <w:multiLevelType w:val="hybridMultilevel"/>
    <w:lvl w:ilvl="0">
      <w:lvlJc w:val="left"/>
      <w:lvlText w:val="(%1)"/>
      <w:numFmt w:val="lowerLetter"/>
      <w:start w:val="1"/>
    </w:lvl>
  </w:abstractNum>
  <w:abstractNum w:abstractNumId="358">
    <w:nsid w:val="78BB805A"/>
    <w:multiLevelType w:val="hybridMultilevel"/>
    <w:lvl w:ilvl="0">
      <w:lvlJc w:val="left"/>
      <w:lvlText w:val="(%1)"/>
      <w:numFmt w:val="lowerLetter"/>
      <w:start w:val="1"/>
    </w:lvl>
  </w:abstractNum>
  <w:abstractNum w:abstractNumId="359">
    <w:nsid w:val="62548FD8"/>
    <w:multiLevelType w:val="hybridMultilevel"/>
    <w:lvl w:ilvl="0">
      <w:lvlJc w:val="left"/>
      <w:lvlText w:val="(%1)"/>
      <w:numFmt w:val="lowerLetter"/>
      <w:start w:val="2"/>
    </w:lvl>
  </w:abstractNum>
  <w:abstractNum w:abstractNumId="360">
    <w:nsid w:val="FA085B0"/>
    <w:multiLevelType w:val="hybridMultilevel"/>
    <w:lvl w:ilvl="0">
      <w:lvlJc w:val="left"/>
      <w:lvlText w:val="(%1)"/>
      <w:numFmt w:val="lowerLetter"/>
      <w:start w:val="1"/>
    </w:lvl>
  </w:abstractNum>
  <w:abstractNum w:abstractNumId="361">
    <w:nsid w:val="4E5DCB5"/>
    <w:multiLevelType w:val="hybridMultilevel"/>
    <w:lvl w:ilvl="0">
      <w:lvlJc w:val="left"/>
      <w:lvlText w:val="(%1)"/>
      <w:numFmt w:val="lowerLetter"/>
      <w:start w:val="1"/>
    </w:lvl>
  </w:abstractNum>
  <w:abstractNum w:abstractNumId="362">
    <w:nsid w:val="41E96BDB"/>
    <w:multiLevelType w:val="hybridMultilevel"/>
    <w:lvl w:ilvl="0">
      <w:lvlJc w:val="left"/>
      <w:lvlText w:val="(%1)"/>
      <w:numFmt w:val="lowerLetter"/>
      <w:start w:val="5"/>
    </w:lvl>
  </w:abstractNum>
  <w:abstractNum w:abstractNumId="363">
    <w:nsid w:val="331C4250"/>
    <w:multiLevelType w:val="hybridMultilevel"/>
    <w:lvl w:ilvl="0">
      <w:lvlJc w:val="left"/>
      <w:lvlText w:val="(%1)"/>
      <w:numFmt w:val="lowerLetter"/>
      <w:start w:val="2"/>
    </w:lvl>
  </w:abstractNum>
  <w:abstractNum w:abstractNumId="364">
    <w:nsid w:val="1B1493C2"/>
    <w:multiLevelType w:val="hybridMultilevel"/>
    <w:lvl w:ilvl="0">
      <w:lvlJc w:val="left"/>
      <w:lvlText w:val="(%1)"/>
      <w:numFmt w:val="lowerLetter"/>
      <w:start w:val="1"/>
    </w:lvl>
  </w:abstractNum>
  <w:abstractNum w:abstractNumId="365">
    <w:nsid w:val="39F06DFD"/>
    <w:multiLevelType w:val="hybridMultilevel"/>
    <w:lvl w:ilvl="0">
      <w:lvlJc w:val="left"/>
      <w:lvlText w:val="(%1)"/>
      <w:numFmt w:val="lowerLetter"/>
      <w:start w:val="3"/>
    </w:lvl>
  </w:abstractNum>
  <w:abstractNum w:abstractNumId="366">
    <w:nsid w:val="14802F5D"/>
    <w:multiLevelType w:val="hybridMultilevel"/>
    <w:lvl w:ilvl="0">
      <w:lvlJc w:val="left"/>
      <w:lvlText w:val="•"/>
      <w:numFmt w:val="bullet"/>
      <w:start w:val="1"/>
    </w:lvl>
  </w:abstractNum>
  <w:abstractNum w:abstractNumId="367">
    <w:nsid w:val="2774A209"/>
    <w:multiLevelType w:val="hybridMultilevel"/>
    <w:lvl w:ilvl="0">
      <w:lvlJc w:val="left"/>
      <w:lvlText w:val="(%1)"/>
      <w:numFmt w:val="lowerLetter"/>
      <w:start w:val="1"/>
    </w:lvl>
  </w:abstractNum>
  <w:abstractNum w:abstractNumId="368">
    <w:nsid w:val="3785655A"/>
    <w:multiLevelType w:val="hybridMultilevel"/>
    <w:lvl w:ilvl="0">
      <w:lvlJc w:val="left"/>
      <w:lvlText w:val="(%1)"/>
      <w:numFmt w:val="lowerLetter"/>
      <w:start w:val="1"/>
    </w:lvl>
  </w:abstractNum>
  <w:abstractNum w:abstractNumId="369">
    <w:nsid w:val="B2172A"/>
    <w:multiLevelType w:val="hybridMultilevel"/>
    <w:lvl w:ilvl="0">
      <w:lvlJc w:val="left"/>
      <w:lvlText w:val="(%1)"/>
      <w:numFmt w:val="lowerLetter"/>
      <w:start w:val="2"/>
    </w:lvl>
  </w:abstractNum>
  <w:abstractNum w:abstractNumId="370">
    <w:nsid w:val="532C34A5"/>
    <w:multiLevelType w:val="hybridMultilevel"/>
    <w:lvl w:ilvl="0">
      <w:lvlJc w:val="left"/>
      <w:lvlText w:val="(%1)"/>
      <w:numFmt w:val="lowerLetter"/>
      <w:start w:val="1"/>
    </w:lvl>
    <w:lvl w:ilvl="1">
      <w:lvlJc w:val="left"/>
      <w:lvlText w:val="(%2)"/>
      <w:numFmt w:val="lowerRoman"/>
      <w:start w:val="1"/>
    </w:lvl>
  </w:abstractNum>
  <w:abstractNum w:abstractNumId="371">
    <w:nsid w:val="102809E2"/>
    <w:multiLevelType w:val="hybridMultilevel"/>
    <w:lvl w:ilvl="0">
      <w:lvlJc w:val="left"/>
      <w:lvlText w:val="%1"/>
      <w:numFmt w:val="lowerLetter"/>
      <w:start w:val="1"/>
    </w:lvl>
    <w:lvl w:ilvl="1">
      <w:lvlJc w:val="left"/>
      <w:lvlText w:val="(%2)"/>
      <w:numFmt w:val="lowerRoman"/>
      <w:start w:val="2"/>
    </w:lvl>
  </w:abstractNum>
  <w:abstractNum w:abstractNumId="372">
    <w:nsid w:val="3B2125A3"/>
    <w:multiLevelType w:val="hybridMultilevel"/>
    <w:lvl w:ilvl="0">
      <w:lvlJc w:val="left"/>
      <w:lvlText w:val="(%1)"/>
      <w:numFmt w:val="lowerLetter"/>
      <w:start w:val="2"/>
    </w:lvl>
    <w:lvl w:ilvl="1">
      <w:lvlJc w:val="left"/>
      <w:lvlText w:val="%2"/>
      <w:numFmt w:val="lowerRoman"/>
      <w:start w:val="1"/>
    </w:lvl>
  </w:abstractNum>
  <w:abstractNum w:abstractNumId="373">
    <w:nsid w:val="AC68FFB"/>
    <w:multiLevelType w:val="hybridMultilevel"/>
    <w:lvl w:ilvl="0">
      <w:lvlJc w:val="left"/>
      <w:lvlText w:val="(%1)"/>
      <w:numFmt w:val="lowerLetter"/>
      <w:start w:val="3"/>
    </w:lvl>
    <w:lvl w:ilvl="1">
      <w:lvlJc w:val="left"/>
      <w:lvlText w:val="(%2)"/>
      <w:numFmt w:val="lowerRoman"/>
      <w:start w:val="1"/>
    </w:lvl>
  </w:abstractNum>
  <w:abstractNum w:abstractNumId="374">
    <w:nsid w:val="63DF3FB7"/>
    <w:multiLevelType w:val="hybridMultilevel"/>
    <w:lvl w:ilvl="0">
      <w:lvlJc w:val="left"/>
      <w:lvlText w:val="(%1)"/>
      <w:numFmt w:val="lowerLetter"/>
      <w:start w:val="4"/>
    </w:lvl>
    <w:lvl w:ilvl="1">
      <w:lvlJc w:val="left"/>
      <w:lvlText w:val="(%2)"/>
      <w:numFmt w:val="lowerRoman"/>
      <w:start w:val="1"/>
    </w:lvl>
  </w:abstractNum>
  <w:abstractNum w:abstractNumId="375">
    <w:nsid w:val="64996E13"/>
    <w:multiLevelType w:val="hybridMultilevel"/>
    <w:lvl w:ilvl="0">
      <w:lvlJc w:val="left"/>
      <w:lvlText w:val="(%1)"/>
      <w:numFmt w:val="lowerLetter"/>
      <w:start w:val="1"/>
    </w:lvl>
  </w:abstractNum>
  <w:abstractNum w:abstractNumId="376">
    <w:nsid w:val="57A37D47"/>
    <w:multiLevelType w:val="hybridMultilevel"/>
    <w:lvl w:ilvl="0">
      <w:lvlJc w:val="left"/>
      <w:lvlText w:val="(%1)"/>
      <w:numFmt w:val="lowerLetter"/>
      <w:start w:val="2"/>
    </w:lvl>
  </w:abstractNum>
  <w:abstractNum w:abstractNumId="377">
    <w:nsid w:val="74824D54"/>
    <w:multiLevelType w:val="hybridMultilevel"/>
    <w:lvl w:ilvl="0">
      <w:lvlJc w:val="left"/>
      <w:lvlText w:val="(%1)"/>
      <w:numFmt w:val="lowerLetter"/>
      <w:start w:val="1"/>
    </w:lvl>
  </w:abstractNum>
  <w:abstractNum w:abstractNumId="378">
    <w:nsid w:val="6F00529A"/>
    <w:multiLevelType w:val="hybridMultilevel"/>
    <w:lvl w:ilvl="0">
      <w:lvlJc w:val="left"/>
      <w:lvlText w:val="(%1)"/>
      <w:numFmt w:val="lowerLetter"/>
      <w:start w:val="1"/>
    </w:lvl>
  </w:abstractNum>
  <w:abstractNum w:abstractNumId="379">
    <w:nsid w:val="805B331"/>
    <w:multiLevelType w:val="hybridMultilevel"/>
    <w:lvl w:ilvl="0">
      <w:lvlJc w:val="left"/>
      <w:lvlText w:val="(%1)"/>
      <w:numFmt w:val="lowerLetter"/>
      <w:start w:val="1"/>
    </w:lvl>
    <w:lvl w:ilvl="1">
      <w:lvlJc w:val="left"/>
      <w:lvlText w:val="(%2)"/>
      <w:numFmt w:val="lowerRoman"/>
      <w:start w:val="1"/>
    </w:lvl>
  </w:abstractNum>
  <w:abstractNum w:abstractNumId="380">
    <w:nsid w:val="60A1463"/>
    <w:multiLevelType w:val="hybridMultilevel"/>
    <w:lvl w:ilvl="0">
      <w:lvlJc w:val="left"/>
      <w:lvlText w:val="(%1)"/>
      <w:numFmt w:val="lowerLetter"/>
      <w:start w:val="3"/>
    </w:lvl>
  </w:abstractNum>
  <w:abstractNum w:abstractNumId="381">
    <w:nsid w:val="43773132"/>
    <w:multiLevelType w:val="hybridMultilevel"/>
    <w:lvl w:ilvl="0">
      <w:lvlJc w:val="left"/>
      <w:lvlText w:val="(%1)"/>
      <w:numFmt w:val="lowerLetter"/>
      <w:start w:val="7"/>
    </w:lvl>
  </w:abstractNum>
  <w:abstractNum w:abstractNumId="382">
    <w:nsid w:val="16AC4B23"/>
    <w:multiLevelType w:val="hybridMultilevel"/>
    <w:lvl w:ilvl="0">
      <w:lvlJc w:val="left"/>
      <w:lvlText w:val="(%1)"/>
      <w:numFmt w:val="lowerLetter"/>
      <w:start w:val="1"/>
    </w:lvl>
  </w:abstractNum>
  <w:abstractNum w:abstractNumId="383">
    <w:nsid w:val="76C44E4E"/>
    <w:multiLevelType w:val="hybridMultilevel"/>
    <w:lvl w:ilvl="0">
      <w:lvlJc w:val="left"/>
      <w:lvlText w:val="(%1)"/>
      <w:numFmt w:val="lowerLetter"/>
      <w:start w:val="3"/>
    </w:lvl>
  </w:abstractNum>
  <w:abstractNum w:abstractNumId="384">
    <w:nsid w:val="E04E6CE"/>
    <w:multiLevelType w:val="hybridMultilevel"/>
    <w:lvl w:ilvl="0">
      <w:lvlJc w:val="left"/>
      <w:lvlText w:val="(%1)"/>
      <w:numFmt w:val="lowerLetter"/>
      <w:start w:val="1"/>
    </w:lvl>
  </w:abstractNum>
  <w:abstractNum w:abstractNumId="385">
    <w:nsid w:val="31A9DB76"/>
    <w:multiLevelType w:val="hybridMultilevel"/>
    <w:lvl w:ilvl="0">
      <w:lvlJc w:val="left"/>
      <w:lvlText w:val="(%1)"/>
      <w:numFmt w:val="lowerLetter"/>
      <w:start w:val="2"/>
    </w:lvl>
    <w:lvl w:ilvl="1">
      <w:lvlJc w:val="left"/>
      <w:lvlText w:val="(%2)"/>
      <w:numFmt w:val="lowerRoman"/>
      <w:start w:val="1"/>
    </w:lvl>
  </w:abstractNum>
  <w:abstractNum w:abstractNumId="386">
    <w:nsid w:val="4C4FFF5B"/>
    <w:multiLevelType w:val="hybridMultilevel"/>
    <w:lvl w:ilvl="0">
      <w:lvlJc w:val="left"/>
      <w:lvlText w:val="(%1)"/>
      <w:numFmt w:val="lowerLetter"/>
      <w:start w:val="4"/>
    </w:lvl>
  </w:abstractNum>
  <w:abstractNum w:abstractNumId="387">
    <w:nsid w:val="51B76675"/>
    <w:multiLevelType w:val="hybridMultilevel"/>
    <w:lvl w:ilvl="0">
      <w:lvlJc w:val="left"/>
      <w:lvlText w:val="(%1)"/>
      <w:numFmt w:val="lowerLetter"/>
      <w:start w:val="5"/>
    </w:lvl>
  </w:abstractNum>
  <w:abstractNum w:abstractNumId="388">
    <w:nsid w:val="59A4BA7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89">
    <w:nsid w:val="450B7FB6"/>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90">
    <w:nsid w:val="340BF64D"/>
    <w:multiLevelType w:val="hybridMultilevel"/>
    <w:lvl w:ilvl="0">
      <w:lvlJc w:val="left"/>
      <w:lvlText w:val="(%1)"/>
      <w:numFmt w:val="lowerLetter"/>
      <w:start w:val="9"/>
    </w:lvl>
  </w:abstractNum>
  <w:abstractNum w:abstractNumId="391">
    <w:nsid w:val="69454021"/>
    <w:multiLevelType w:val="hybridMultilevel"/>
    <w:lvl w:ilvl="0">
      <w:lvlJc w:val="left"/>
      <w:lvlText w:val="(%1)"/>
      <w:numFmt w:val="lowerLetter"/>
      <w:start w:val="17"/>
    </w:lvl>
  </w:abstractNum>
  <w:abstractNum w:abstractNumId="392">
    <w:nsid w:val="49F15C6B"/>
    <w:multiLevelType w:val="hybridMultilevel"/>
    <w:lvl w:ilvl="0">
      <w:lvlJc w:val="left"/>
      <w:lvlText w:val="(%1)"/>
      <w:numFmt w:val="lowerRoman"/>
      <w:start w:val="1"/>
    </w:lvl>
  </w:abstractNum>
  <w:abstractNum w:abstractNumId="393">
    <w:nsid w:val="75F56228"/>
    <w:multiLevelType w:val="hybridMultilevel"/>
    <w:lvl w:ilvl="0">
      <w:lvlJc w:val="left"/>
      <w:lvlText w:val="(%1)"/>
      <w:numFmt w:val="lowerRoman"/>
      <w:start w:val="1"/>
    </w:lvl>
  </w:abstractNum>
  <w:abstractNum w:abstractNumId="394">
    <w:nsid w:val="1C618271"/>
    <w:multiLevelType w:val="hybridMultilevel"/>
    <w:lvl w:ilvl="0">
      <w:lvlJc w:val="left"/>
      <w:lvlText w:val="(%1)"/>
      <w:numFmt w:val="lowerRoman"/>
      <w:start w:val="2"/>
    </w:lvl>
    <w:lvl w:ilvl="1">
      <w:lvlJc w:val="left"/>
      <w:lvlText w:val="-"/>
      <w:numFmt w:val="bullet"/>
      <w:start w:val="1"/>
    </w:lvl>
  </w:abstractNum>
  <w:abstractNum w:abstractNumId="395">
    <w:nsid w:val="6505F02E"/>
    <w:multiLevelType w:val="hybridMultilevel"/>
    <w:lvl w:ilvl="0">
      <w:lvlJc w:val="left"/>
      <w:lvlText w:val="(%1)"/>
      <w:numFmt w:val="lowerRoman"/>
      <w:start w:val="5"/>
    </w:lvl>
  </w:abstractNum>
  <w:abstractNum w:abstractNumId="396">
    <w:nsid w:val="2FE5D025"/>
    <w:multiLevelType w:val="hybridMultilevel"/>
    <w:lvl w:ilvl="0">
      <w:lvlJc w:val="left"/>
      <w:lvlText w:val="(%1)"/>
      <w:numFmt w:val="lowerLetter"/>
      <w:start w:val="1"/>
    </w:lvl>
  </w:abstractNum>
  <w:abstractNum w:abstractNumId="397">
    <w:nsid w:val="30E1B1CF"/>
    <w:multiLevelType w:val="hybridMultilevel"/>
    <w:lvl w:ilvl="0">
      <w:lvlJc w:val="left"/>
      <w:lvlText w:val="%1."/>
      <w:numFmt w:val="decimal"/>
      <w:start w:val="1"/>
    </w:lvl>
  </w:abstractNum>
  <w:abstractNum w:abstractNumId="398">
    <w:nsid w:val="C7A9237"/>
    <w:multiLevelType w:val="hybridMultilevel"/>
    <w:lvl w:ilvl="0">
      <w:lvlJc w:val="left"/>
      <w:lvlText w:val="%1."/>
      <w:numFmt w:val="decimal"/>
      <w:start w:val="2"/>
    </w:lvl>
  </w:abstractNum>
  <w:abstractNum w:abstractNumId="399">
    <w:nsid w:val="676B3580"/>
    <w:multiLevelType w:val="hybridMultilevel"/>
    <w:lvl w:ilvl="0">
      <w:lvlJc w:val="left"/>
      <w:lvlText w:val="(%1)"/>
      <w:numFmt w:val="decimal"/>
      <w:start w:val="1"/>
    </w:lvl>
  </w:abstractNum>
  <w:abstractNum w:abstractNumId="400">
    <w:nsid w:val="3193C8F9"/>
    <w:multiLevelType w:val="hybridMultilevel"/>
    <w:lvl w:ilvl="0">
      <w:lvlJc w:val="left"/>
      <w:lvlText w:val="(%1)"/>
      <w:numFmt w:val="decimal"/>
      <w:start w:val="1"/>
    </w:lvl>
  </w:abstractNum>
  <w:abstractNum w:abstractNumId="401">
    <w:nsid w:val="5FA6C6DC"/>
    <w:multiLevelType w:val="hybridMultilevel"/>
    <w:lvl w:ilvl="0">
      <w:lvlJc w:val="left"/>
      <w:lvlText w:val="%1."/>
      <w:numFmt w:val="decimal"/>
      <w:start w:val="5"/>
    </w:lvl>
  </w:abstractNum>
  <w:abstractNum w:abstractNumId="402">
    <w:nsid w:val="77933F62"/>
    <w:multiLevelType w:val="hybridMultilevel"/>
    <w:lvl w:ilvl="0">
      <w:lvlJc w:val="left"/>
      <w:lvlText w:val="%1."/>
      <w:numFmt w:val="decimal"/>
      <w:start w:val="6"/>
    </w:lvl>
  </w:abstractNum>
  <w:abstractNum w:abstractNumId="403">
    <w:nsid w:val="6CB4EE9C"/>
    <w:multiLevelType w:val="hybridMultilevel"/>
    <w:lvl w:ilvl="0">
      <w:lvlJc w:val="left"/>
      <w:lvlText w:val="%1."/>
      <w:numFmt w:val="decimal"/>
      <w:start w:val="8"/>
    </w:lvl>
  </w:abstractNum>
  <w:abstractNum w:abstractNumId="404">
    <w:nsid w:val="6A6D56D7"/>
    <w:multiLevelType w:val="hybridMultilevel"/>
    <w:lvl w:ilvl="0">
      <w:lvlJc w:val="left"/>
      <w:lvlText w:val="%1."/>
      <w:numFmt w:val="decimal"/>
      <w:start w:val="11"/>
    </w:lvl>
  </w:abstractNum>
  <w:abstractNum w:abstractNumId="405">
    <w:nsid w:val="5B727F19"/>
    <w:multiLevelType w:val="hybridMultilevel"/>
    <w:lvl w:ilvl="0">
      <w:lvlJc w:val="left"/>
      <w:lvlText w:val="%1."/>
      <w:numFmt w:val="decimal"/>
      <w:start w:val="12"/>
    </w:lvl>
  </w:abstractNum>
  <w:abstractNum w:abstractNumId="406">
    <w:nsid w:val="514E5CB0"/>
    <w:multiLevelType w:val="hybridMultilevel"/>
    <w:lvl w:ilvl="0">
      <w:lvlJc w:val="left"/>
      <w:lvlText w:val="%1."/>
      <w:numFmt w:val="decimal"/>
      <w:start w:val="16"/>
    </w:lvl>
  </w:abstractNum>
  <w:abstractNum w:abstractNumId="407">
    <w:nsid w:val="4210D41E"/>
    <w:multiLevelType w:val="hybridMultilevel"/>
    <w:lvl w:ilvl="0">
      <w:lvlJc w:val="left"/>
      <w:lvlText w:val="%1."/>
      <w:numFmt w:val="decimal"/>
      <w:start w:val="19"/>
    </w:lvl>
  </w:abstractNum>
  <w:abstractNum w:abstractNumId="408">
    <w:nsid w:val="4FF4CC6D"/>
    <w:multiLevelType w:val="hybridMultilevel"/>
    <w:lvl w:ilvl="0">
      <w:lvlJc w:val="left"/>
      <w:lvlText w:val="%1."/>
      <w:numFmt w:val="decimal"/>
      <w:start w:val="20"/>
    </w:lvl>
  </w:abstractNum>
  <w:abstractNum w:abstractNumId="409">
    <w:nsid w:val="404EAF4A"/>
    <w:multiLevelType w:val="hybridMultilevel"/>
    <w:lvl w:ilvl="0">
      <w:lvlJc w:val="left"/>
      <w:lvlText w:val="%1."/>
      <w:numFmt w:val="decimal"/>
      <w:start w:val="26"/>
    </w:lvl>
  </w:abstractNum>
  <w:abstractNum w:abstractNumId="410">
    <w:nsid w:val="4A16874F"/>
    <w:multiLevelType w:val="hybridMultilevel"/>
    <w:lvl w:ilvl="0">
      <w:lvlJc w:val="left"/>
      <w:lvlText w:val="%1."/>
      <w:numFmt w:val="decimal"/>
      <w:start w:val="1"/>
    </w:lvl>
  </w:abstractNum>
  <w:abstractNum w:abstractNumId="411">
    <w:nsid w:val="55FEE0D1"/>
    <w:multiLevelType w:val="hybridMultilevel"/>
    <w:lvl w:ilvl="0">
      <w:lvlJc w:val="left"/>
      <w:lvlText w:val="%1."/>
      <w:numFmt w:val="decimal"/>
      <w:start w:val="3"/>
    </w:lvl>
    <w:lvl w:ilvl="1">
      <w:lvlJc w:val="left"/>
      <w:lvlText w:val="(%2)"/>
      <w:numFmt w:val="decimal"/>
      <w:start w:val="4"/>
    </w:lvl>
  </w:abstractNum>
  <w:abstractNum w:abstractNumId="412">
    <w:nsid w:val="3C5E07C"/>
    <w:multiLevelType w:val="hybridMultilevel"/>
    <w:lvl w:ilvl="0">
      <w:lvlJc w:val="left"/>
      <w:lvlText w:val="%1"/>
      <w:numFmt w:val="decimal"/>
      <w:start w:val="1"/>
    </w:lvl>
    <w:lvl w:ilvl="1">
      <w:lvlJc w:val="left"/>
      <w:lvlText w:val="(%2)"/>
      <w:numFmt w:val="decimal"/>
      <w:start w:val="4"/>
    </w:lvl>
  </w:abstractNum>
  <w:abstractNum w:abstractNumId="413">
    <w:nsid w:val="60C2D273"/>
    <w:multiLevelType w:val="hybridMultilevel"/>
    <w:lvl w:ilvl="0">
      <w:lvlJc w:val="left"/>
      <w:lvlText w:val="%1."/>
      <w:numFmt w:val="decimal"/>
      <w:start w:val="4"/>
    </w:lvl>
  </w:abstractNum>
  <w:abstractNum w:abstractNumId="414">
    <w:nsid w:val="4CC32F1F"/>
    <w:multiLevelType w:val="hybridMultilevel"/>
    <w:lvl w:ilvl="0">
      <w:lvlJc w:val="left"/>
      <w:lvlText w:val="%1."/>
      <w:numFmt w:val="decimal"/>
      <w:start w:val="6"/>
    </w:lvl>
  </w:abstractNum>
  <w:abstractNum w:abstractNumId="415">
    <w:nsid w:val="11CAC74A"/>
    <w:multiLevelType w:val="hybridMultilevel"/>
    <w:lvl w:ilvl="0">
      <w:lvlJc w:val="left"/>
      <w:lvlText w:val="%1."/>
      <w:numFmt w:val="decimal"/>
      <w:start w:val="9"/>
    </w:lvl>
  </w:abstractNum>
  <w:abstractNum w:abstractNumId="416">
    <w:nsid w:val="126CADE9"/>
    <w:multiLevelType w:val="hybridMultilevel"/>
    <w:lvl w:ilvl="0">
      <w:lvlJc w:val="left"/>
      <w:lvlText w:val="%1."/>
      <w:numFmt w:val="decimal"/>
      <w:start w:val="10"/>
    </w:lvl>
  </w:abstractNum>
  <w:abstractNum w:abstractNumId="417">
    <w:nsid w:val="19132E7B"/>
    <w:multiLevelType w:val="hybridMultilevel"/>
    <w:lvl w:ilvl="0">
      <w:lvlJc w:val="left"/>
      <w:lvlText w:val="%1."/>
      <w:numFmt w:val="decimal"/>
      <w:start w:val="14"/>
    </w:lvl>
  </w:abstractNum>
  <w:abstractNum w:abstractNumId="418">
    <w:nsid w:val="63822DC0"/>
    <w:multiLevelType w:val="hybridMultilevel"/>
    <w:lvl w:ilvl="0">
      <w:lvlJc w:val="left"/>
      <w:lvlText w:val="%1."/>
      <w:numFmt w:val="decimal"/>
      <w:start w:val="18"/>
    </w:lvl>
  </w:abstractNum>
  <w:abstractNum w:abstractNumId="419">
    <w:nsid w:val="6C11685A"/>
    <w:multiLevelType w:val="hybridMultilevel"/>
    <w:lvl w:ilvl="0">
      <w:lvlJc w:val="left"/>
      <w:lvlText w:val="%1."/>
      <w:numFmt w:val="decimal"/>
      <w:start w:val="1"/>
    </w:lvl>
  </w:abstractNum>
  <w:abstractNum w:abstractNumId="420">
    <w:nsid w:val="5E1EAE31"/>
    <w:multiLevelType w:val="hybridMultilevel"/>
    <w:lvl w:ilvl="0">
      <w:lvlJc w:val="left"/>
      <w:lvlText w:val="%1."/>
      <w:numFmt w:val="decimal"/>
      <w:start w:val="1"/>
    </w:lvl>
  </w:abstractNum>
  <w:abstractNum w:abstractNumId="421">
    <w:nsid w:val="178E240D"/>
    <w:multiLevelType w:val="hybridMultilevel"/>
    <w:lvl w:ilvl="0">
      <w:lvlJc w:val="left"/>
      <w:lvlText w:val="*"/>
      <w:numFmt w:val="bullet"/>
      <w:start w:val="1"/>
    </w:lvl>
  </w:abstractNum>
  <w:abstractNum w:abstractNumId="422">
    <w:nsid w:val="5556A87B"/>
    <w:multiLevelType w:val="hybridMultilevel"/>
    <w:lvl w:ilvl="0">
      <w:lvlJc w:val="left"/>
      <w:lvlText w:val="(%1)"/>
      <w:numFmt w:val="upperLetter"/>
      <w:start w:val="1"/>
    </w:lvl>
    <w:lvl w:ilvl="1">
      <w:lvlJc w:val="left"/>
      <w:lvlText w:val="-"/>
      <w:numFmt w:val="bullet"/>
      <w:start w:val="1"/>
    </w:lvl>
  </w:abstractNum>
  <w:abstractNum w:abstractNumId="423">
    <w:nsid w:val="28100A9C"/>
    <w:multiLevelType w:val="hybridMultilevel"/>
    <w:lvl w:ilvl="0">
      <w:lvlJc w:val="left"/>
      <w:lvlText w:val="(%1)"/>
      <w:numFmt w:val="upperLetter"/>
      <w:start w:val="2"/>
    </w:lvl>
  </w:abstractNum>
  <w:abstractNum w:abstractNumId="424">
    <w:nsid w:val="D838636"/>
    <w:multiLevelType w:val="hybridMultilevel"/>
    <w:lvl w:ilvl="0">
      <w:lvlJc w:val="left"/>
      <w:lvlText w:val="(%1)"/>
      <w:numFmt w:val="upperLetter"/>
      <w:start w:val="3"/>
    </w:lvl>
    <w:lvl w:ilvl="1">
      <w:lvlJc w:val="left"/>
      <w:lvlText w:val="-"/>
      <w:numFmt w:val="bullet"/>
      <w:start w:val="1"/>
    </w:lvl>
  </w:abstractNum>
  <w:abstractNum w:abstractNumId="425">
    <w:nsid w:val="71B82AED"/>
    <w:multiLevelType w:val="hybridMultilevel"/>
    <w:lvl w:ilvl="0">
      <w:lvlJc w:val="left"/>
      <w:lvlText w:val="(%1)"/>
      <w:numFmt w:val="decimal"/>
      <w:start w:val="1"/>
    </w:lvl>
    <w:lvl w:ilvl="1">
      <w:lvlJc w:val="left"/>
      <w:lvlText w:val="(%2)"/>
      <w:numFmt w:val="upperLetter"/>
      <w:start w:val="7"/>
    </w:lvl>
  </w:abstractNum>
  <w:abstractNum w:abstractNumId="426">
    <w:nsid w:val="D15FACA"/>
    <w:multiLevelType w:val="hybridMultilevel"/>
    <w:lvl w:ilvl="0">
      <w:lvlJc w:val="left"/>
      <w:lvlText w:val="(%1)"/>
      <w:numFmt w:val="lowerLetter"/>
      <w:start w:val="1"/>
    </w:lvl>
  </w:abstractNum>
  <w:abstractNum w:abstractNumId="427">
    <w:nsid w:val="3D69565B"/>
    <w:multiLevelType w:val="hybridMultilevel"/>
    <w:lvl w:ilvl="0">
      <w:lvlJc w:val="left"/>
      <w:lvlText w:val="(%1)"/>
      <w:numFmt w:val="lowerLetter"/>
      <w:start w:val="2"/>
    </w:lvl>
  </w:abstractNum>
  <w:abstractNum w:abstractNumId="428">
    <w:nsid w:val="2299DCBC"/>
    <w:multiLevelType w:val="hybridMultilevel"/>
    <w:lvl w:ilvl="0">
      <w:lvlJc w:val="left"/>
      <w:lvlText w:val="(%1)"/>
      <w:numFmt w:val="lowerLetter"/>
      <w:start w:val="1"/>
    </w:lvl>
  </w:abstractNum>
  <w:abstractNum w:abstractNumId="429">
    <w:nsid w:val="19908D02"/>
    <w:multiLevelType w:val="hybridMultilevel"/>
    <w:lvl w:ilvl="0">
      <w:lvlJc w:val="left"/>
      <w:lvlText w:val="(%1)"/>
      <w:numFmt w:val="decimal"/>
      <w:start w:val="3"/>
    </w:lvl>
  </w:abstractNum>
  <w:abstractNum w:abstractNumId="430">
    <w:nsid w:val="24D48BDB"/>
    <w:multiLevelType w:val="hybridMultilevel"/>
    <w:lvl w:ilvl="0">
      <w:lvlJc w:val="left"/>
      <w:lvlText w:val="(%1)"/>
      <w:numFmt w:val="decimal"/>
      <w:start w:val="8"/>
    </w:lvl>
  </w:abstractNum>
  <w:abstractNum w:abstractNumId="431">
    <w:nsid w:val="542DA5B5"/>
    <w:multiLevelType w:val="hybridMultilevel"/>
    <w:lvl w:ilvl="0">
      <w:lvlJc w:val="left"/>
      <w:lvlText w:val="(%1)"/>
      <w:numFmt w:val="lowerLetter"/>
      <w:start w:val="4"/>
    </w:lvl>
    <w:lvl w:ilvl="1">
      <w:lvlJc w:val="left"/>
      <w:lvlText w:val="-"/>
      <w:numFmt w:val="bullet"/>
      <w:start w:val="1"/>
    </w:lvl>
  </w:abstractNum>
  <w:abstractNum w:abstractNumId="432">
    <w:nsid w:val="793753DE"/>
    <w:multiLevelType w:val="hybridMultilevel"/>
    <w:lvl w:ilvl="0">
      <w:lvlJc w:val="left"/>
      <w:lvlText w:val="(%1)"/>
      <w:numFmt w:val="lowerLetter"/>
      <w:start w:val="7"/>
    </w:lvl>
  </w:abstractNum>
  <w:abstractNum w:abstractNumId="433">
    <w:nsid w:val="1C67CB3D"/>
    <w:multiLevelType w:val="hybridMultilevel"/>
    <w:lvl w:ilvl="0">
      <w:lvlJc w:val="left"/>
      <w:lvlText w:val="(%1)"/>
      <w:numFmt w:val="lowerLetter"/>
      <w:start w:val="1"/>
    </w:lvl>
    <w:lvl w:ilvl="1">
      <w:lvlJc w:val="left"/>
      <w:lvlText w:val="-"/>
      <w:numFmt w:val="bullet"/>
      <w:start w:val="1"/>
    </w:lvl>
  </w:abstractNum>
  <w:abstractNum w:abstractNumId="434">
    <w:nsid w:val="40E29452"/>
    <w:multiLevelType w:val="hybridMultilevel"/>
    <w:lvl w:ilvl="0">
      <w:lvlJc w:val="left"/>
      <w:lvlText w:val="(%1)"/>
      <w:numFmt w:val="lowerLetter"/>
      <w:start w:val="2"/>
    </w:lvl>
  </w:abstractNum>
  <w:abstractNum w:abstractNumId="435">
    <w:nsid w:val="63A4AAB6"/>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36">
    <w:nsid w:val="77DA4A57"/>
    <w:multiLevelType w:val="hybridMultilevel"/>
    <w:lvl w:ilvl="0">
      <w:lvlJc w:val="left"/>
      <w:lvlText w:val="(%1)"/>
      <w:numFmt w:val="decimal"/>
      <w:start w:val="30"/>
    </w:lvl>
    <w:lvl w:ilvl="1">
      <w:lvlJc w:val="left"/>
      <w:lvlText w:val="%2"/>
      <w:numFmt w:val="lowerLetter"/>
      <w:start w:val="1"/>
    </w:lvl>
    <w:lvl w:ilvl="2">
      <w:lvlJc w:val="left"/>
      <w:lvlText w:val="-"/>
      <w:numFmt w:val="bullet"/>
      <w:start w:val="1"/>
    </w:lvl>
  </w:abstractNum>
  <w:abstractNum w:abstractNumId="437">
    <w:nsid w:val="1230F102"/>
    <w:multiLevelType w:val="hybridMultilevel"/>
    <w:lvl w:ilvl="0">
      <w:lvlJc w:val="left"/>
      <w:lvlText w:val="%1"/>
      <w:numFmt w:val="decimal"/>
      <w:start w:val="1"/>
    </w:lvl>
    <w:lvl w:ilvl="1">
      <w:lvlJc w:val="left"/>
      <w:lvlText w:val="(%2)"/>
      <w:numFmt w:val="upperLetter"/>
      <w:start w:val="1"/>
    </w:lvl>
  </w:abstractNum>
  <w:abstractNum w:abstractNumId="438">
    <w:nsid w:val="25B57ED4"/>
    <w:multiLevelType w:val="hybridMultilevel"/>
    <w:lvl w:ilvl="0">
      <w:lvlJc w:val="left"/>
      <w:lvlText w:val="(%1)"/>
      <w:numFmt w:val="decimal"/>
      <w:start w:val="20"/>
    </w:lvl>
    <w:lvl w:ilvl="1">
      <w:lvlJc w:val="left"/>
      <w:lvlText w:val="%2"/>
      <w:numFmt w:val="upperLetter"/>
      <w:start w:val="1"/>
    </w:lvl>
  </w:abstractNum>
  <w:abstractNum w:abstractNumId="439">
    <w:nsid w:val="47CF16C4"/>
    <w:multiLevelType w:val="hybridMultilevel"/>
    <w:lvl w:ilvl="0">
      <w:lvlJc w:val="left"/>
      <w:lvlText w:val="(%1)"/>
      <w:numFmt w:val="upperLetter"/>
      <w:start w:val="1"/>
    </w:lvl>
    <w:lvl w:ilvl="1">
      <w:lvlJc w:val="left"/>
      <w:lvlText w:val="-"/>
      <w:numFmt w:val="bullet"/>
      <w:start w:val="1"/>
    </w:lvl>
  </w:abstractNum>
  <w:abstractNum w:abstractNumId="440">
    <w:nsid w:val="527FA04C"/>
    <w:multiLevelType w:val="hybridMultilevel"/>
    <w:lvl w:ilvl="0">
      <w:lvlJc w:val="left"/>
      <w:lvlText w:val="(%1)"/>
      <w:numFmt w:val="upperLetter"/>
      <w:start w:val="2"/>
    </w:lvl>
  </w:abstractNum>
  <w:abstractNum w:abstractNumId="441">
    <w:nsid w:val="6FCC0624"/>
    <w:multiLevelType w:val="hybridMultilevel"/>
    <w:lvl w:ilvl="0">
      <w:lvlJc w:val="left"/>
      <w:lvlText w:val="(%1)"/>
      <w:numFmt w:val="lowerRoman"/>
      <w:start w:val="2"/>
    </w:lvl>
    <w:lvl w:ilvl="1">
      <w:lvlJc w:val="left"/>
      <w:lvlText w:val="-"/>
      <w:numFmt w:val="bullet"/>
      <w:start w:val="1"/>
    </w:lvl>
  </w:abstractNum>
  <w:abstractNum w:abstractNumId="442">
    <w:nsid w:val="1DCDF795"/>
    <w:multiLevelType w:val="hybridMultilevel"/>
    <w:lvl w:ilvl="0">
      <w:lvlJc w:val="left"/>
      <w:lvlText w:val="(%1)"/>
      <w:numFmt w:val="lowerLetter"/>
      <w:start w:val="2"/>
    </w:lvl>
    <w:lvl w:ilvl="1">
      <w:lvlJc w:val="left"/>
      <w:lvlText w:val="-"/>
      <w:numFmt w:val="bullet"/>
      <w:start w:val="1"/>
    </w:lvl>
  </w:abstractNum>
  <w:abstractNum w:abstractNumId="443">
    <w:nsid w:val="564580C8"/>
    <w:multiLevelType w:val="hybridMultilevel"/>
    <w:lvl w:ilvl="0">
      <w:lvlJc w:val="left"/>
      <w:lvlText w:val="(%1)"/>
      <w:numFmt w:val="lowerLetter"/>
      <w:start w:val="35"/>
    </w:lvl>
    <w:lvl w:ilvl="1">
      <w:lvlJc w:val="left"/>
      <w:lvlText w:val="-"/>
      <w:numFmt w:val="bullet"/>
      <w:start w:val="1"/>
    </w:lvl>
  </w:abstractNum>
  <w:abstractNum w:abstractNumId="444">
    <w:nsid w:val="508ED897"/>
    <w:multiLevelType w:val="hybridMultilevel"/>
    <w:lvl w:ilvl="0">
      <w:lvlJc w:val="left"/>
      <w:lvlText w:val="(%1)"/>
      <w:numFmt w:val="lowerLetter"/>
      <w:start w:val="8"/>
    </w:lvl>
  </w:abstractNum>
  <w:abstractNum w:abstractNumId="445">
    <w:nsid w:val="6A9126B5"/>
    <w:multiLevelType w:val="hybridMultilevel"/>
    <w:lvl w:ilvl="0">
      <w:lvlJc w:val="left"/>
      <w:lvlText w:val="%1"/>
      <w:numFmt w:val="lowerLetter"/>
      <w:start w:val="1"/>
    </w:lvl>
    <w:lvl w:ilvl="1">
      <w:lvlJc w:val="left"/>
      <w:lvlText w:val="(%2)"/>
      <w:numFmt w:val="upperLetter"/>
      <w:start w:val="1"/>
    </w:lvl>
  </w:abstractNum>
  <w:abstractNum w:abstractNumId="446">
    <w:nsid w:val="68104812"/>
    <w:multiLevelType w:val="hybridMultilevel"/>
    <w:lvl w:ilvl="0">
      <w:lvlJc w:val="left"/>
      <w:lvlText w:val="(%1)"/>
      <w:numFmt w:val="lowerLetter"/>
      <w:start w:val="2"/>
    </w:lvl>
    <w:lvl w:ilvl="1">
      <w:lvlJc w:val="left"/>
      <w:lvlText w:val="(%2)"/>
      <w:numFmt w:val="upperLetter"/>
      <w:start w:val="2"/>
    </w:lvl>
  </w:abstractNum>
  <w:abstractNum w:abstractNumId="447">
    <w:nsid w:val="62FB8680"/>
    <w:multiLevelType w:val="hybridMultilevel"/>
    <w:lvl w:ilvl="0">
      <w:lvlJc w:val="left"/>
      <w:lvlText w:val="(%1)"/>
      <w:numFmt w:val="lowerLetter"/>
      <w:start w:val="1"/>
    </w:lvl>
    <w:lvl w:ilvl="1">
      <w:lvlJc w:val="left"/>
      <w:lvlText w:val="-"/>
      <w:numFmt w:val="bullet"/>
      <w:start w:val="1"/>
    </w:lvl>
  </w:abstractNum>
  <w:abstractNum w:abstractNumId="448">
    <w:nsid w:val="3A45530"/>
    <w:multiLevelType w:val="hybridMultilevel"/>
    <w:lvl w:ilvl="0">
      <w:lvlJc w:val="left"/>
      <w:lvlText w:val="(%1)"/>
      <w:numFmt w:val="lowerLetter"/>
      <w:start w:val="2"/>
    </w:lvl>
  </w:abstractNum>
  <w:abstractNum w:abstractNumId="449">
    <w:nsid w:val="4B9275D2"/>
    <w:multiLevelType w:val="hybridMultilevel"/>
    <w:lvl w:ilvl="0">
      <w:lvlJc w:val="left"/>
      <w:lvlText w:val="(%1)"/>
      <w:numFmt w:val="upperLetter"/>
      <w:start w:val="1"/>
    </w:lvl>
    <w:lvl w:ilvl="1">
      <w:lvlJc w:val="left"/>
      <w:lvlText w:val="-"/>
      <w:numFmt w:val="bullet"/>
      <w:start w:val="1"/>
    </w:lvl>
  </w:abstractNum>
  <w:abstractNum w:abstractNumId="450">
    <w:nsid w:val="4F0CEEDB"/>
    <w:multiLevelType w:val="hybridMultilevel"/>
    <w:lvl w:ilvl="0">
      <w:lvlJc w:val="left"/>
      <w:lvlText w:val="(%1)"/>
      <w:numFmt w:val="upperLetter"/>
      <w:start w:val="3"/>
    </w:lvl>
  </w:abstractNum>
  <w:abstractNum w:abstractNumId="451">
    <w:nsid w:val="61C30361"/>
    <w:multiLevelType w:val="hybridMultilevel"/>
    <w:lvl w:ilvl="0">
      <w:lvlJc w:val="left"/>
      <w:lvlText w:val="(%1)"/>
      <w:numFmt w:val="upperLetter"/>
      <w:start w:val="1"/>
    </w:lvl>
  </w:abstractNum>
  <w:abstractNum w:abstractNumId="452">
    <w:nsid w:val="632099E0"/>
    <w:multiLevelType w:val="hybridMultilevel"/>
    <w:lvl w:ilvl="0">
      <w:lvlJc w:val="left"/>
      <w:lvlText w:val="(%1)"/>
      <w:numFmt w:val="decimal"/>
      <w:start w:val="8"/>
    </w:lvl>
  </w:abstractNum>
  <w:abstractNum w:abstractNumId="453">
    <w:nsid w:val="24639756"/>
    <w:multiLevelType w:val="hybridMultilevel"/>
    <w:lvl w:ilvl="0">
      <w:lvlJc w:val="left"/>
      <w:lvlText w:val="(%1)"/>
      <w:numFmt w:val="upperLetter"/>
      <w:start w:val="3"/>
    </w:lvl>
    <w:lvl w:ilvl="1">
      <w:lvlJc w:val="left"/>
      <w:lvlText w:val="-"/>
      <w:numFmt w:val="bullet"/>
      <w:start w:val="1"/>
    </w:lvl>
  </w:abstractNum>
  <w:abstractNum w:abstractNumId="454">
    <w:nsid w:val="9D30DFD"/>
    <w:multiLevelType w:val="hybridMultilevel"/>
    <w:lvl w:ilvl="0">
      <w:lvlJc w:val="left"/>
      <w:lvlText w:val="(%1)"/>
      <w:numFmt w:val="upperLetter"/>
      <w:start w:val="1"/>
    </w:lvl>
  </w:abstractNum>
  <w:abstractNum w:abstractNumId="455">
    <w:nsid w:val="70A42016"/>
    <w:multiLevelType w:val="hybridMultilevel"/>
    <w:lvl w:ilvl="0">
      <w:lvlJc w:val="left"/>
      <w:lvlText w:val="(%1)"/>
      <w:numFmt w:val="lowerLetter"/>
      <w:start w:val="2"/>
    </w:lvl>
  </w:abstractNum>
  <w:abstractNum w:abstractNumId="456">
    <w:nsid w:val="161BC243"/>
    <w:multiLevelType w:val="hybridMultilevel"/>
    <w:lvl w:ilvl="0">
      <w:lvlJc w:val="left"/>
      <w:lvlText w:val="(%1)"/>
      <w:numFmt w:val="decimal"/>
      <w:start w:val="30"/>
    </w:lvl>
    <w:lvl w:ilvl="1">
      <w:lvlJc w:val="left"/>
      <w:lvlText w:val="-"/>
      <w:numFmt w:val="bullet"/>
      <w:start w:val="1"/>
    </w:lvl>
  </w:abstractNum>
  <w:abstractNum w:abstractNumId="457">
    <w:nsid w:val="16E908C8"/>
    <w:multiLevelType w:val="hybridMultilevel"/>
    <w:lvl w:ilvl="0">
      <w:lvlJc w:val="left"/>
      <w:lvlText w:val="(%1)"/>
      <w:numFmt w:val="lowerLetter"/>
      <w:start w:val="1"/>
    </w:lvl>
  </w:abstractNum>
  <w:abstractNum w:abstractNumId="458">
    <w:nsid w:val="2E0D7671"/>
    <w:multiLevelType w:val="hybridMultilevel"/>
    <w:lvl w:ilvl="0">
      <w:lvlJc w:val="left"/>
      <w:lvlText w:val="(%1)"/>
      <w:numFmt w:val="decimal"/>
      <w:start w:val="12"/>
    </w:lvl>
    <w:lvl w:ilvl="1">
      <w:lvlJc w:val="left"/>
      <w:lvlText w:val="-"/>
      <w:numFmt w:val="bullet"/>
      <w:start w:val="1"/>
    </w:lvl>
  </w:abstractNum>
  <w:abstractNum w:abstractNumId="459">
    <w:nsid w:val="38B59EFF"/>
    <w:multiLevelType w:val="hybridMultilevel"/>
    <w:lvl w:ilvl="0">
      <w:lvlJc w:val="left"/>
      <w:lvlText w:val="(%1)"/>
      <w:numFmt w:val="decimal"/>
      <w:start w:val="30"/>
    </w:lvl>
  </w:abstractNum>
  <w:abstractNum w:abstractNumId="460">
    <w:nsid w:val="307995CA"/>
    <w:multiLevelType w:val="hybridMultilevel"/>
    <w:lvl w:ilvl="0">
      <w:lvlJc w:val="left"/>
      <w:lvlText w:val="(%1)"/>
      <w:numFmt w:val="decimal"/>
      <w:start w:val="30"/>
    </w:lvl>
  </w:abstractNum>
  <w:abstractNum w:abstractNumId="461">
    <w:nsid w:val="52E2024D"/>
    <w:multiLevelType w:val="hybridMultilevel"/>
    <w:lvl w:ilvl="0">
      <w:lvlJc w:val="left"/>
      <w:lvlText w:val="(%1)"/>
      <w:numFmt w:val="lowerLetter"/>
      <w:start w:val="2"/>
    </w:lvl>
    <w:lvl w:ilvl="1">
      <w:lvlJc w:val="left"/>
      <w:lvlText w:val="-"/>
      <w:numFmt w:val="bullet"/>
      <w:start w:val="1"/>
    </w:lvl>
  </w:abstractNum>
  <w:abstractNum w:abstractNumId="462">
    <w:nsid w:val="CE344B5"/>
    <w:multiLevelType w:val="hybridMultilevel"/>
    <w:lvl w:ilvl="0">
      <w:lvlJc w:val="left"/>
      <w:lvlText w:val="%1."/>
      <w:numFmt w:val="decimal"/>
      <w:start w:val="1"/>
    </w:lvl>
  </w:abstractNum>
  <w:abstractNum w:abstractNumId="463">
    <w:nsid w:val="29B0E9A8"/>
    <w:multiLevelType w:val="hybridMultilevel"/>
    <w:lvl w:ilvl="0">
      <w:lvlJc w:val="left"/>
      <w:lvlText w:val="-"/>
      <w:numFmt w:val="bullet"/>
      <w:start w:val="1"/>
    </w:lvl>
  </w:abstractNum>
  <w:abstractNum w:abstractNumId="464">
    <w:nsid w:val="6F49CD8A"/>
    <w:multiLevelType w:val="hybridMultilevel"/>
    <w:lvl w:ilvl="0">
      <w:lvlJc w:val="left"/>
      <w:lvlText w:val="-"/>
      <w:numFmt w:val="bullet"/>
      <w:start w:val="1"/>
    </w:lvl>
  </w:abstractNum>
  <w:abstractNum w:abstractNumId="465">
    <w:nsid w:val="4DC5D907"/>
    <w:multiLevelType w:val="hybridMultilevel"/>
    <w:lvl w:ilvl="0">
      <w:lvlJc w:val="left"/>
      <w:lvlText w:val="-"/>
      <w:numFmt w:val="bullet"/>
      <w:start w:val="1"/>
    </w:lvl>
  </w:abstractNum>
  <w:abstractNum w:abstractNumId="466">
    <w:nsid w:val="D55945E"/>
    <w:multiLevelType w:val="hybridMultilevel"/>
    <w:lvl w:ilvl="0">
      <w:lvlJc w:val="left"/>
      <w:lvlText w:val="-"/>
      <w:numFmt w:val="bullet"/>
      <w:start w:val="1"/>
    </w:lvl>
  </w:abstractNum>
  <w:abstractNum w:abstractNumId="467">
    <w:nsid w:val="672417E1"/>
    <w:multiLevelType w:val="hybridMultilevel"/>
    <w:lvl w:ilvl="0">
      <w:lvlJc w:val="left"/>
      <w:lvlText w:val="•"/>
      <w:numFmt w:val="bullet"/>
      <w:start w:val="1"/>
    </w:lvl>
  </w:abstractNum>
  <w:abstractNum w:abstractNumId="468">
    <w:nsid w:val="5FF6CA09"/>
    <w:multiLevelType w:val="hybridMultilevel"/>
    <w:lvl w:ilvl="0">
      <w:lvlJc w:val="left"/>
      <w:lvlText w:val="•"/>
      <w:numFmt w:val="bullet"/>
      <w:start w:val="1"/>
    </w:lvl>
  </w:abstractNum>
  <w:abstractNum w:abstractNumId="469">
    <w:nsid w:val="330B1333"/>
    <w:multiLevelType w:val="hybridMultilevel"/>
    <w:lvl w:ilvl="0">
      <w:lvlJc w:val="left"/>
      <w:lvlText w:val="•"/>
      <w:numFmt w:val="bullet"/>
      <w:start w:val="1"/>
    </w:lvl>
  </w:abstractNum>
  <w:abstractNum w:abstractNumId="470">
    <w:nsid w:val="2EF32EA6"/>
    <w:multiLevelType w:val="hybridMultilevel"/>
    <w:lvl w:ilvl="0">
      <w:lvlJc w:val="left"/>
      <w:lvlText w:val="•"/>
      <w:numFmt w:val="bullet"/>
      <w:start w:val="1"/>
    </w:lvl>
  </w:abstractNum>
  <w:abstractNum w:abstractNumId="471">
    <w:nsid w:val="32766A55"/>
    <w:multiLevelType w:val="hybridMultilevel"/>
    <w:lvl w:ilvl="0">
      <w:lvlJc w:val="left"/>
      <w:lvlText w:val="•"/>
      <w:numFmt w:val="bullet"/>
      <w:start w:val="1"/>
    </w:lvl>
  </w:abstractNum>
  <w:abstractNum w:abstractNumId="472">
    <w:nsid w:val="22D71957"/>
    <w:multiLevelType w:val="hybridMultilevel"/>
    <w:lvl w:ilvl="0">
      <w:lvlJc w:val="left"/>
      <w:lvlText w:val="•"/>
      <w:numFmt w:val="bullet"/>
      <w:start w:val="1"/>
    </w:lvl>
  </w:abstractNum>
  <w:abstractNum w:abstractNumId="473">
    <w:nsid w:val="4CC1263B"/>
    <w:multiLevelType w:val="hybridMultilevel"/>
    <w:lvl w:ilvl="0">
      <w:lvlJc w:val="left"/>
      <w:lvlText w:val="•"/>
      <w:numFmt w:val="bullet"/>
      <w:start w:val="1"/>
    </w:lvl>
  </w:abstractNum>
  <w:abstractNum w:abstractNumId="474">
    <w:nsid w:val="8BBEB1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75">
    <w:nsid w:val="7365F1EE"/>
    <w:multiLevelType w:val="hybridMultilevel"/>
    <w:lvl w:ilvl="0">
      <w:lvlJc w:val="left"/>
      <w:lvlText w:val="%1."/>
      <w:numFmt w:val="decimal"/>
      <w:start w:val="1"/>
    </w:lvl>
  </w:abstractNum>
  <w:abstractNum w:abstractNumId="476">
    <w:nsid w:val="37524CF0"/>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jpe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jpe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jpeg"/><Relationship Id="rId665" Type="http://schemas.openxmlformats.org/officeDocument/2006/relationships/image" Target="media/image658.png"/><Relationship Id="rId666" Type="http://schemas.openxmlformats.org/officeDocument/2006/relationships/image" Target="media/image659.jpeg"/><Relationship Id="rId667" Type="http://schemas.openxmlformats.org/officeDocument/2006/relationships/image" Target="media/image660.png"/><Relationship Id="rId668" Type="http://schemas.openxmlformats.org/officeDocument/2006/relationships/image" Target="media/image661.jpeg"/><Relationship Id="rId669" Type="http://schemas.openxmlformats.org/officeDocument/2006/relationships/image" Target="media/image662.pn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jpeg"/><Relationship Id="rId675" Type="http://schemas.openxmlformats.org/officeDocument/2006/relationships/image" Target="media/image668.png"/><Relationship Id="rId676" Type="http://schemas.openxmlformats.org/officeDocument/2006/relationships/image" Target="media/image669.jpe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jpe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jpe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jpe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jpe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jpe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jpe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jpeg"/><Relationship Id="rId725" Type="http://schemas.openxmlformats.org/officeDocument/2006/relationships/image" Target="media/image718.png"/><Relationship Id="rId726" Type="http://schemas.openxmlformats.org/officeDocument/2006/relationships/image" Target="media/image719.jpe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jpe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jpe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jpeg"/><Relationship Id="rId794" Type="http://schemas.openxmlformats.org/officeDocument/2006/relationships/image" Target="media/image787.png"/><Relationship Id="rId795" Type="http://schemas.openxmlformats.org/officeDocument/2006/relationships/image" Target="media/image788.jpeg"/><Relationship Id="rId796" Type="http://schemas.openxmlformats.org/officeDocument/2006/relationships/image" Target="media/image789.png"/><Relationship Id="rId797" Type="http://schemas.openxmlformats.org/officeDocument/2006/relationships/image" Target="media/image790.jpeg"/><Relationship Id="rId798" Type="http://schemas.openxmlformats.org/officeDocument/2006/relationships/image" Target="media/image791.png"/><Relationship Id="rId799" Type="http://schemas.openxmlformats.org/officeDocument/2006/relationships/image" Target="media/image792.jpeg"/><Relationship Id="rId800" Type="http://schemas.openxmlformats.org/officeDocument/2006/relationships/image" Target="media/image793.png"/><Relationship Id="rId801" Type="http://schemas.openxmlformats.org/officeDocument/2006/relationships/image" Target="media/image794.jpe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2021-05-03T06:08:34Z</dcterms:created>
  <dcterms:modified xsi:type="dcterms:W3CDTF">2021-05-03T06:08:34Z</dcterms:modified>
</cp:coreProperties>
</file>