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4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44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44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2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00" w:type="dxa"/>
            <w:vAlign w:val="bottom"/>
            <w:vMerge w:val="restart"/>
          </w:tcPr>
          <w:p>
            <w:pPr>
              <w:ind w:left="36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00" w:type="dxa"/>
            <w:vAlign w:val="bottom"/>
          </w:tcPr>
          <w:p>
            <w:pPr>
              <w:ind w:left="360"/>
              <w:spacing w:after="0"/>
              <w:rPr>
                <w:sz w:val="20"/>
                <w:szCs w:val="20"/>
                <w:color w:val="auto"/>
              </w:rPr>
            </w:pPr>
            <w:r>
              <w:rPr>
                <w:rFonts w:ascii="Arial" w:cs="Arial" w:eastAsia="Arial" w:hAnsi="Arial"/>
                <w:sz w:val="19"/>
                <w:szCs w:val="19"/>
                <w:color w:val="auto"/>
                <w:w w:val="95"/>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p>
      <w:pPr>
        <w:ind w:left="40"/>
        <w:spacing w:after="0"/>
        <w:tabs>
          <w:tab w:leader="none" w:pos="296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0001756820</w:t>
      </w:r>
    </w:p>
    <w:p>
      <w:pPr>
        <w:spacing w:after="0" w:line="44" w:lineRule="exact"/>
        <w:rPr>
          <w:sz w:val="24"/>
          <w:szCs w:val="24"/>
          <w:color w:val="auto"/>
        </w:rPr>
      </w:pPr>
    </w:p>
    <w:p>
      <w:pPr>
        <w:ind w:left="40"/>
        <w:spacing w:after="0"/>
        <w:tabs>
          <w:tab w:leader="none" w:pos="296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tabs>
          <w:tab w:leader="none" w:pos="6000" w:val="left"/>
        </w:tabs>
        <w:rPr>
          <w:sz w:val="20"/>
          <w:szCs w:val="20"/>
          <w:color w:val="auto"/>
        </w:rPr>
      </w:pPr>
      <w:r>
        <w:rPr>
          <w:rFonts w:ascii="Arial" w:cs="Arial" w:eastAsia="Arial" w:hAnsi="Arial"/>
          <w:sz w:val="22"/>
          <w:szCs w:val="22"/>
          <w:color w:val="auto"/>
        </w:rPr>
        <w:t>Name of Issuer</w:t>
      </w:r>
      <w:r>
        <w:rPr>
          <w:sz w:val="20"/>
          <w:szCs w:val="20"/>
          <w:color w:val="auto"/>
        </w:rPr>
        <w:tab/>
      </w:r>
      <w:r>
        <w:rPr>
          <w:rFonts w:ascii="Arial" w:cs="Arial" w:eastAsia="Arial" w:hAnsi="Arial"/>
          <w:sz w:val="19"/>
          <w:szCs w:val="19"/>
          <w:color w:val="auto"/>
        </w:rPr>
        <w:t>Flywire Corp</w:t>
      </w:r>
    </w:p>
    <w:p>
      <w:pPr>
        <w:spacing w:after="0" w:line="44" w:lineRule="exact"/>
        <w:rPr>
          <w:sz w:val="24"/>
          <w:szCs w:val="24"/>
          <w:color w:val="auto"/>
        </w:rPr>
      </w:pPr>
    </w:p>
    <w:p>
      <w:pPr>
        <w:ind w:left="40"/>
        <w:spacing w:after="0"/>
        <w:tabs>
          <w:tab w:leader="none" w:pos="6000" w:val="left"/>
        </w:tabs>
        <w:rPr>
          <w:sz w:val="20"/>
          <w:szCs w:val="20"/>
          <w:color w:val="auto"/>
        </w:rPr>
      </w:pPr>
      <w:r>
        <w:rPr>
          <w:rFonts w:ascii="Arial" w:cs="Arial" w:eastAsia="Arial" w:hAnsi="Arial"/>
          <w:sz w:val="22"/>
          <w:szCs w:val="22"/>
          <w:color w:val="auto"/>
        </w:rPr>
        <w:t>SEC File Number</w:t>
      </w:r>
      <w:r>
        <w:rPr>
          <w:sz w:val="20"/>
          <w:szCs w:val="20"/>
          <w:color w:val="auto"/>
        </w:rPr>
        <w:tab/>
      </w:r>
      <w:r>
        <w:rPr>
          <w:rFonts w:ascii="Arial" w:cs="Arial" w:eastAsia="Arial" w:hAnsi="Arial"/>
          <w:sz w:val="19"/>
          <w:szCs w:val="19"/>
          <w:color w:val="auto"/>
        </w:rPr>
        <w:t>001-40430</w:t>
      </w:r>
    </w:p>
    <w:p>
      <w:pPr>
        <w:spacing w:after="0" w:line="44" w:lineRule="exact"/>
        <w:rPr>
          <w:sz w:val="24"/>
          <w:szCs w:val="24"/>
          <w:color w:val="auto"/>
        </w:rPr>
      </w:pPr>
    </w:p>
    <w:p>
      <w:pPr>
        <w:ind w:left="6020"/>
        <w:spacing w:after="0"/>
        <w:rPr>
          <w:sz w:val="20"/>
          <w:szCs w:val="20"/>
          <w:color w:val="auto"/>
        </w:rPr>
      </w:pPr>
      <w:r>
        <w:rPr>
          <w:rFonts w:ascii="Arial" w:cs="Arial" w:eastAsia="Arial" w:hAnsi="Arial"/>
          <w:sz w:val="22"/>
          <w:szCs w:val="22"/>
          <w:color w:val="auto"/>
        </w:rPr>
        <w:t>141 TREMONT STREET</w:t>
      </w:r>
    </w:p>
    <w:p>
      <w:pPr>
        <w:ind w:left="6020"/>
        <w:spacing w:after="0" w:line="238" w:lineRule="auto"/>
        <w:rPr>
          <w:sz w:val="20"/>
          <w:szCs w:val="20"/>
          <w:color w:val="auto"/>
        </w:rPr>
      </w:pPr>
      <w:r>
        <w:rPr>
          <w:rFonts w:ascii="Arial" w:cs="Arial" w:eastAsia="Arial" w:hAnsi="Arial"/>
          <w:sz w:val="22"/>
          <w:szCs w:val="22"/>
          <w:color w:val="auto"/>
        </w:rPr>
        <w:t>SUITE 10</w:t>
      </w:r>
    </w:p>
    <w:p>
      <w:pPr>
        <w:ind w:left="40"/>
        <w:spacing w:after="0"/>
        <w:tabs>
          <w:tab w:leader="none" w:pos="6000" w:val="left"/>
        </w:tabs>
        <w:rPr>
          <w:sz w:val="20"/>
          <w:szCs w:val="20"/>
          <w:color w:val="auto"/>
        </w:rPr>
      </w:pPr>
      <w:r>
        <w:rPr>
          <w:rFonts w:ascii="Arial" w:cs="Arial" w:eastAsia="Arial" w:hAnsi="Arial"/>
          <w:sz w:val="22"/>
          <w:szCs w:val="22"/>
          <w:color w:val="auto"/>
        </w:rPr>
        <w:t>Address of Issuer</w:t>
      </w:r>
      <w:r>
        <w:rPr>
          <w:sz w:val="20"/>
          <w:szCs w:val="20"/>
          <w:color w:val="auto"/>
        </w:rPr>
        <w:tab/>
      </w:r>
      <w:r>
        <w:rPr>
          <w:rFonts w:ascii="Arial" w:cs="Arial" w:eastAsia="Arial" w:hAnsi="Arial"/>
          <w:sz w:val="19"/>
          <w:szCs w:val="19"/>
          <w:color w:val="auto"/>
        </w:rPr>
        <w:t>Boston</w:t>
      </w:r>
    </w:p>
    <w:p>
      <w:pPr>
        <w:ind w:left="6020"/>
        <w:spacing w:after="0" w:line="231" w:lineRule="auto"/>
        <w:rPr>
          <w:sz w:val="20"/>
          <w:szCs w:val="20"/>
          <w:color w:val="auto"/>
        </w:rPr>
      </w:pPr>
      <w:r>
        <w:rPr>
          <w:rFonts w:ascii="Arial" w:cs="Arial" w:eastAsia="Arial" w:hAnsi="Arial"/>
          <w:sz w:val="22"/>
          <w:szCs w:val="22"/>
          <w:color w:val="auto"/>
        </w:rPr>
        <w:t>MASSACHUSETTS</w:t>
      </w:r>
    </w:p>
    <w:p>
      <w:pPr>
        <w:ind w:left="6020"/>
        <w:spacing w:after="0"/>
        <w:rPr>
          <w:sz w:val="20"/>
          <w:szCs w:val="20"/>
          <w:color w:val="auto"/>
        </w:rPr>
      </w:pPr>
      <w:r>
        <w:rPr>
          <w:rFonts w:ascii="Arial" w:cs="Arial" w:eastAsia="Arial" w:hAnsi="Arial"/>
          <w:sz w:val="22"/>
          <w:szCs w:val="22"/>
          <w:color w:val="auto"/>
        </w:rPr>
        <w:t>02111</w:t>
      </w:r>
    </w:p>
    <w:p>
      <w:pPr>
        <w:spacing w:after="0" w:line="26" w:lineRule="exact"/>
        <w:rPr>
          <w:sz w:val="24"/>
          <w:szCs w:val="24"/>
          <w:color w:val="auto"/>
        </w:rPr>
      </w:pPr>
    </w:p>
    <w:p>
      <w:pPr>
        <w:ind w:left="40"/>
        <w:spacing w:after="0"/>
        <w:tabs>
          <w:tab w:leader="none" w:pos="6000" w:val="left"/>
        </w:tabs>
        <w:rPr>
          <w:sz w:val="20"/>
          <w:szCs w:val="20"/>
          <w:color w:val="auto"/>
        </w:rPr>
      </w:pPr>
      <w:r>
        <w:rPr>
          <w:rFonts w:ascii="Arial" w:cs="Arial" w:eastAsia="Arial" w:hAnsi="Arial"/>
          <w:sz w:val="22"/>
          <w:szCs w:val="22"/>
          <w:color w:val="auto"/>
        </w:rPr>
        <w:t>Phone</w:t>
      </w:r>
      <w:r>
        <w:rPr>
          <w:sz w:val="20"/>
          <w:szCs w:val="20"/>
          <w:color w:val="auto"/>
        </w:rPr>
        <w:tab/>
      </w:r>
      <w:r>
        <w:rPr>
          <w:rFonts w:ascii="Arial" w:cs="Arial" w:eastAsia="Arial" w:hAnsi="Arial"/>
          <w:sz w:val="22"/>
          <w:szCs w:val="22"/>
          <w:color w:val="auto"/>
        </w:rPr>
        <w:t>617-329-4524</w:t>
      </w:r>
    </w:p>
    <w:p>
      <w:pPr>
        <w:spacing w:after="0" w:line="44" w:lineRule="exact"/>
        <w:rPr>
          <w:sz w:val="24"/>
          <w:szCs w:val="24"/>
          <w:color w:val="auto"/>
        </w:rPr>
      </w:pPr>
    </w:p>
    <w:p>
      <w:pPr>
        <w:ind w:left="40"/>
        <w:spacing w:after="0"/>
        <w:tabs>
          <w:tab w:leader="none" w:pos="6000" w:val="left"/>
        </w:tabs>
        <w:rPr>
          <w:sz w:val="20"/>
          <w:szCs w:val="20"/>
          <w:color w:val="auto"/>
        </w:rPr>
      </w:pPr>
      <w:r>
        <w:rPr>
          <w:rFonts w:ascii="Arial" w:cs="Arial" w:eastAsia="Arial" w:hAnsi="Arial"/>
          <w:sz w:val="22"/>
          <w:szCs w:val="22"/>
          <w:color w:val="auto"/>
        </w:rPr>
        <w:t>Name of Person for Whose Account the Securities are To Be Sold</w:t>
      </w:r>
      <w:r>
        <w:rPr>
          <w:sz w:val="20"/>
          <w:szCs w:val="20"/>
          <w:color w:val="auto"/>
        </w:rPr>
        <w:tab/>
      </w:r>
      <w:r>
        <w:rPr>
          <w:rFonts w:ascii="Arial" w:cs="Arial" w:eastAsia="Arial" w:hAnsi="Arial"/>
          <w:sz w:val="19"/>
          <w:szCs w:val="19"/>
          <w:color w:val="auto"/>
        </w:rPr>
        <w:t>Bain Capital Venture Coinvestment Fund II, L.P.</w:t>
      </w:r>
    </w:p>
    <w:p>
      <w:pPr>
        <w:spacing w:after="0" w:line="44"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0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Affiliate</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ind w:left="12"/>
              <w:spacing w:after="0"/>
              <w:rPr>
                <w:sz w:val="20"/>
                <w:szCs w:val="20"/>
                <w:color w:val="auto"/>
              </w:rPr>
            </w:pPr>
            <w:r>
              <w:rPr>
                <w:rFonts w:ascii="Arial" w:cs="Arial" w:eastAsia="Arial" w:hAnsi="Arial"/>
                <w:sz w:val="22"/>
                <w:szCs w:val="22"/>
                <w:b w:val="1"/>
                <w:bCs w:val="1"/>
                <w:color w:val="auto"/>
                <w:w w:val="86"/>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5"/>
              </w:rPr>
              <w:t>J.P. Morgan Securities</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Voting Common Stock</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383 Madison Avenue</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10179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86"/>
              </w:rPr>
              <w:t>Aggregate</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3740" w:type="dxa"/>
            <w:vAlign w:val="bottom"/>
            <w:gridSpan w:val="3"/>
            <w:vMerge w:val="restart"/>
          </w:tcPr>
          <w:p>
            <w:pPr>
              <w:jc w:val="center"/>
              <w:spacing w:after="0" w:line="243" w:lineRule="exact"/>
              <w:rPr>
                <w:sz w:val="20"/>
                <w:szCs w:val="20"/>
                <w:color w:val="auto"/>
              </w:rPr>
            </w:pPr>
            <w:r>
              <w:rPr>
                <w:rFonts w:ascii="Arial" w:cs="Arial" w:eastAsia="Arial" w:hAnsi="Arial"/>
                <w:sz w:val="22"/>
                <w:szCs w:val="22"/>
                <w:b w:val="1"/>
                <w:bCs w:val="1"/>
                <w:color w:val="auto"/>
                <w:w w:val="93"/>
              </w:rPr>
              <w:t>Other Units Market Value 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4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3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jc w:val="right"/>
              <w:ind w:right="492"/>
              <w:spacing w:after="0"/>
              <w:rPr>
                <w:sz w:val="20"/>
                <w:szCs w:val="20"/>
                <w:color w:val="auto"/>
              </w:rPr>
            </w:pPr>
            <w:r>
              <w:rPr>
                <w:rFonts w:ascii="Arial" w:cs="Arial" w:eastAsia="Arial" w:hAnsi="Arial"/>
                <w:sz w:val="22"/>
                <w:szCs w:val="22"/>
                <w:color w:val="auto"/>
                <w:w w:val="84"/>
              </w:rPr>
              <w:t>72991</w:t>
            </w:r>
          </w:p>
        </w:tc>
        <w:tc>
          <w:tcPr>
            <w:tcW w:w="1300" w:type="dxa"/>
            <w:vAlign w:val="bottom"/>
          </w:tcPr>
          <w:p>
            <w:pPr>
              <w:jc w:val="right"/>
              <w:ind w:right="92"/>
              <w:spacing w:after="0"/>
              <w:rPr>
                <w:sz w:val="20"/>
                <w:szCs w:val="20"/>
                <w:color w:val="auto"/>
              </w:rPr>
            </w:pPr>
            <w:r>
              <w:rPr>
                <w:rFonts w:ascii="Arial" w:cs="Arial" w:eastAsia="Arial" w:hAnsi="Arial"/>
                <w:sz w:val="22"/>
                <w:szCs w:val="22"/>
                <w:color w:val="auto"/>
                <w:w w:val="92"/>
              </w:rPr>
              <w:t>2153964.00</w:t>
            </w:r>
          </w:p>
        </w:tc>
        <w:tc>
          <w:tcPr>
            <w:tcW w:w="1300" w:type="dxa"/>
            <w:vAlign w:val="bottom"/>
          </w:tcPr>
          <w:p>
            <w:pPr>
              <w:jc w:val="right"/>
              <w:ind w:right="112"/>
              <w:spacing w:after="0"/>
              <w:rPr>
                <w:sz w:val="20"/>
                <w:szCs w:val="20"/>
                <w:color w:val="auto"/>
              </w:rPr>
            </w:pPr>
            <w:r>
              <w:rPr>
                <w:rFonts w:ascii="Arial" w:cs="Arial" w:eastAsia="Arial" w:hAnsi="Arial"/>
                <w:sz w:val="22"/>
                <w:szCs w:val="22"/>
                <w:color w:val="auto"/>
                <w:w w:val="96"/>
              </w:rPr>
              <w:t>108883194</w:t>
            </w:r>
          </w:p>
        </w:tc>
        <w:tc>
          <w:tcPr>
            <w:tcW w:w="2400" w:type="dxa"/>
            <w:vAlign w:val="bottom"/>
            <w:gridSpan w:val="2"/>
          </w:tcPr>
          <w:p>
            <w:pPr>
              <w:ind w:left="40"/>
              <w:spacing w:after="0"/>
              <w:rPr>
                <w:sz w:val="20"/>
                <w:szCs w:val="20"/>
                <w:color w:val="auto"/>
              </w:rPr>
            </w:pPr>
            <w:r>
              <w:rPr>
                <w:rFonts w:ascii="Arial" w:cs="Arial" w:eastAsia="Arial" w:hAnsi="Arial"/>
                <w:sz w:val="22"/>
                <w:szCs w:val="22"/>
                <w:color w:val="auto"/>
              </w:rPr>
              <w:t>05/11/2023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80"/>
        <w:spacing w:after="0"/>
        <w:tabs>
          <w:tab w:leader="none" w:pos="1600" w:val="left"/>
          <w:tab w:leader="none" w:pos="2940" w:val="left"/>
          <w:tab w:leader="none" w:pos="4620" w:val="left"/>
          <w:tab w:leader="none" w:pos="5920" w:val="left"/>
          <w:tab w:leader="none" w:pos="6500" w:val="left"/>
          <w:tab w:leader="none" w:pos="734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80" w:val="left"/>
          <w:tab w:leader="none" w:pos="2860" w:val="left"/>
          <w:tab w:leader="none" w:pos="4420" w:val="left"/>
          <w:tab w:leader="none" w:pos="5840" w:val="left"/>
          <w:tab w:leader="none" w:pos="6420" w:val="left"/>
          <w:tab w:leader="none" w:pos="7380" w:val="left"/>
          <w:tab w:leader="none" w:pos="8580" w:val="left"/>
          <w:tab w:leader="none" w:pos="986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60" w:type="dxa"/>
            <w:vAlign w:val="bottom"/>
          </w:tcPr>
          <w:p>
            <w:pPr>
              <w:spacing w:after="0"/>
              <w:rPr>
                <w:sz w:val="21"/>
                <w:szCs w:val="21"/>
                <w:color w:val="auto"/>
              </w:rPr>
            </w:pPr>
          </w:p>
        </w:tc>
        <w:tc>
          <w:tcPr>
            <w:tcW w:w="2740" w:type="dxa"/>
            <w:vAlign w:val="bottom"/>
          </w:tcPr>
          <w:p>
            <w:pPr>
              <w:ind w:left="1360"/>
              <w:spacing w:after="0"/>
              <w:rPr>
                <w:sz w:val="20"/>
                <w:szCs w:val="20"/>
                <w:color w:val="auto"/>
              </w:rPr>
            </w:pPr>
            <w:r>
              <w:rPr>
                <w:rFonts w:ascii="Arial" w:cs="Arial" w:eastAsia="Arial" w:hAnsi="Arial"/>
                <w:sz w:val="22"/>
                <w:szCs w:val="22"/>
                <w:b w:val="1"/>
                <w:bCs w:val="1"/>
                <w:color w:val="auto"/>
              </w:rPr>
              <w:t>Transaction</w:t>
            </w:r>
          </w:p>
        </w:tc>
        <w:tc>
          <w:tcPr>
            <w:tcW w:w="1380" w:type="dxa"/>
            <w:vAlign w:val="bottom"/>
          </w:tcPr>
          <w:p>
            <w:pPr>
              <w:jc w:val="center"/>
              <w:ind w:left="72"/>
              <w:spacing w:after="0"/>
              <w:rPr>
                <w:sz w:val="20"/>
                <w:szCs w:val="20"/>
                <w:color w:val="auto"/>
              </w:rPr>
            </w:pPr>
            <w:r>
              <w:rPr>
                <w:rFonts w:ascii="Arial" w:cs="Arial" w:eastAsia="Arial" w:hAnsi="Arial"/>
                <w:sz w:val="22"/>
                <w:szCs w:val="22"/>
                <w:b w:val="1"/>
                <w:bCs w:val="1"/>
                <w:color w:val="auto"/>
                <w:w w:val="95"/>
              </w:rPr>
              <w:t>Whom</w:t>
            </w:r>
          </w:p>
        </w:tc>
        <w:tc>
          <w:tcPr>
            <w:tcW w:w="278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4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380" w:type="dxa"/>
            <w:vAlign w:val="bottom"/>
          </w:tcPr>
          <w:p>
            <w:pPr>
              <w:jc w:val="center"/>
              <w:ind w:left="52"/>
              <w:spacing w:after="0"/>
              <w:rPr>
                <w:sz w:val="20"/>
                <w:szCs w:val="20"/>
                <w:color w:val="auto"/>
              </w:rPr>
            </w:pPr>
            <w:r>
              <w:rPr>
                <w:rFonts w:ascii="Arial" w:cs="Arial" w:eastAsia="Arial" w:hAnsi="Arial"/>
                <w:sz w:val="22"/>
                <w:szCs w:val="22"/>
                <w:b w:val="1"/>
                <w:bCs w:val="1"/>
                <w:color w:val="auto"/>
                <w:w w:val="90"/>
              </w:rPr>
              <w:t>Acquired</w:t>
            </w:r>
          </w:p>
        </w:tc>
        <w:tc>
          <w:tcPr>
            <w:tcW w:w="2780" w:type="dxa"/>
            <w:vAlign w:val="bottom"/>
          </w:tcPr>
          <w:p>
            <w:pPr>
              <w:jc w:val="right"/>
              <w:ind w:right="2032"/>
              <w:spacing w:after="0"/>
              <w:rPr>
                <w:sz w:val="20"/>
                <w:szCs w:val="20"/>
                <w:color w:val="auto"/>
              </w:rPr>
            </w:pPr>
            <w:r>
              <w:rPr>
                <w:rFonts w:ascii="Arial" w:cs="Arial" w:eastAsia="Arial" w:hAnsi="Arial"/>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460" w:type="dxa"/>
            <w:vAlign w:val="bottom"/>
          </w:tcPr>
          <w:p>
            <w:pPr>
              <w:spacing w:after="0"/>
              <w:rPr>
                <w:sz w:val="23"/>
                <w:szCs w:val="23"/>
                <w:color w:val="auto"/>
              </w:rPr>
            </w:pPr>
          </w:p>
        </w:tc>
        <w:tc>
          <w:tcPr>
            <w:tcW w:w="2740" w:type="dxa"/>
            <w:vAlign w:val="bottom"/>
          </w:tcPr>
          <w:p>
            <w:pPr>
              <w:ind w:left="1060"/>
              <w:spacing w:after="0"/>
              <w:rPr>
                <w:sz w:val="20"/>
                <w:szCs w:val="20"/>
                <w:color w:val="auto"/>
              </w:rPr>
            </w:pPr>
            <w:r>
              <w:rPr>
                <w:rFonts w:ascii="Arial" w:cs="Arial" w:eastAsia="Arial" w:hAnsi="Arial"/>
                <w:sz w:val="22"/>
                <w:szCs w:val="22"/>
                <w:color w:val="auto"/>
              </w:rPr>
              <w:t>Automatic</w:t>
            </w:r>
          </w:p>
        </w:tc>
        <w:tc>
          <w:tcPr>
            <w:tcW w:w="138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rPr>
              <w:t>conversion of</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rPr>
              <w:t>preferred stock</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w w:val="93"/>
              </w:rPr>
              <w:t>purchased prior to</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rPr>
              <w:t>the Issuer's IPO</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w w:val="98"/>
              </w:rPr>
              <w:t>into shares of the</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60" w:type="dxa"/>
            <w:vAlign w:val="bottom"/>
            <w:vMerge w:val="restart"/>
          </w:tcPr>
          <w:p>
            <w:pPr>
              <w:spacing w:after="0"/>
              <w:rPr>
                <w:sz w:val="20"/>
                <w:szCs w:val="20"/>
                <w:color w:val="auto"/>
              </w:rPr>
            </w:pPr>
            <w:r>
              <w:rPr>
                <w:rFonts w:ascii="Arial" w:cs="Arial" w:eastAsia="Arial" w:hAnsi="Arial"/>
                <w:sz w:val="22"/>
                <w:szCs w:val="22"/>
                <w:color w:val="auto"/>
                <w:w w:val="91"/>
              </w:rPr>
              <w:t>Voting Common</w:t>
            </w:r>
          </w:p>
        </w:tc>
        <w:tc>
          <w:tcPr>
            <w:tcW w:w="2740" w:type="dxa"/>
            <w:vAlign w:val="bottom"/>
          </w:tcPr>
          <w:p>
            <w:pPr>
              <w:ind w:left="1060"/>
              <w:spacing w:after="0"/>
              <w:rPr>
                <w:sz w:val="20"/>
                <w:szCs w:val="20"/>
                <w:color w:val="auto"/>
              </w:rPr>
            </w:pPr>
            <w:r>
              <w:rPr>
                <w:rFonts w:ascii="Arial" w:cs="Arial" w:eastAsia="Arial" w:hAnsi="Arial"/>
                <w:sz w:val="22"/>
                <w:szCs w:val="22"/>
                <w:color w:val="auto"/>
              </w:rPr>
              <w:t>Isser's Class A</w:t>
            </w:r>
          </w:p>
        </w:tc>
        <w:tc>
          <w:tcPr>
            <w:tcW w:w="138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2420" w:type="dxa"/>
            <w:vAlign w:val="bottom"/>
            <w:vMerge w:val="restart"/>
          </w:tcPr>
          <w:p>
            <w:pPr>
              <w:ind w:left="1140"/>
              <w:spacing w:after="0"/>
              <w:rPr>
                <w:sz w:val="20"/>
                <w:szCs w:val="20"/>
                <w:color w:val="auto"/>
              </w:rPr>
            </w:pPr>
            <w:r>
              <w:rPr>
                <w:rFonts w:ascii="Arial" w:cs="Arial" w:eastAsia="Arial" w:hAnsi="Arial"/>
                <w:sz w:val="22"/>
                <w:szCs w:val="22"/>
                <w:color w:val="auto"/>
                <w:w w:val="92"/>
              </w:rPr>
              <w:t>Conversion of</w:t>
            </w:r>
          </w:p>
        </w:tc>
        <w:tc>
          <w:tcPr>
            <w:tcW w:w="0" w:type="dxa"/>
            <w:vAlign w:val="bottom"/>
          </w:tcPr>
          <w:p>
            <w:pPr>
              <w:spacing w:after="0"/>
              <w:rPr>
                <w:sz w:val="1"/>
                <w:szCs w:val="1"/>
                <w:color w:val="auto"/>
              </w:rPr>
            </w:pPr>
          </w:p>
        </w:tc>
      </w:tr>
      <w:tr>
        <w:trPr>
          <w:trHeight w:val="58"/>
        </w:trPr>
        <w:tc>
          <w:tcPr>
            <w:tcW w:w="1460" w:type="dxa"/>
            <w:vAlign w:val="bottom"/>
            <w:vMerge w:val="continue"/>
          </w:tcPr>
          <w:p>
            <w:pPr>
              <w:spacing w:after="0"/>
              <w:rPr>
                <w:sz w:val="5"/>
                <w:szCs w:val="5"/>
                <w:color w:val="auto"/>
              </w:rPr>
            </w:pPr>
          </w:p>
        </w:tc>
        <w:tc>
          <w:tcPr>
            <w:tcW w:w="27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7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Stock</w:t>
            </w:r>
          </w:p>
        </w:tc>
        <w:tc>
          <w:tcPr>
            <w:tcW w:w="2740" w:type="dxa"/>
            <w:vAlign w:val="bottom"/>
          </w:tcPr>
          <w:p>
            <w:pPr>
              <w:ind w:left="40"/>
              <w:spacing w:after="0" w:line="243" w:lineRule="exact"/>
              <w:rPr>
                <w:sz w:val="20"/>
                <w:szCs w:val="20"/>
                <w:color w:val="auto"/>
              </w:rPr>
            </w:pPr>
            <w:r>
              <w:rPr>
                <w:rFonts w:ascii="Arial" w:cs="Arial" w:eastAsia="Arial" w:hAnsi="Arial"/>
                <w:sz w:val="22"/>
                <w:szCs w:val="22"/>
                <w:color w:val="auto"/>
              </w:rPr>
              <w:t>05/28/2021 Common Stock</w:t>
            </w:r>
          </w:p>
        </w:tc>
        <w:tc>
          <w:tcPr>
            <w:tcW w:w="1380" w:type="dxa"/>
            <w:vAlign w:val="bottom"/>
          </w:tcPr>
          <w:p>
            <w:pPr>
              <w:ind w:left="60"/>
              <w:spacing w:after="0" w:line="243" w:lineRule="exact"/>
              <w:rPr>
                <w:sz w:val="20"/>
                <w:szCs w:val="20"/>
                <w:color w:val="auto"/>
              </w:rPr>
            </w:pPr>
            <w:r>
              <w:rPr>
                <w:rFonts w:ascii="Arial" w:cs="Arial" w:eastAsia="Arial" w:hAnsi="Arial"/>
                <w:sz w:val="22"/>
                <w:szCs w:val="22"/>
                <w:color w:val="auto"/>
              </w:rPr>
              <w:t>Issuer</w:t>
            </w:r>
          </w:p>
        </w:tc>
        <w:tc>
          <w:tcPr>
            <w:tcW w:w="2780" w:type="dxa"/>
            <w:vAlign w:val="bottom"/>
          </w:tcPr>
          <w:p>
            <w:pPr>
              <w:jc w:val="right"/>
              <w:ind w:right="532"/>
              <w:spacing w:after="0" w:line="243" w:lineRule="exact"/>
              <w:rPr>
                <w:sz w:val="20"/>
                <w:szCs w:val="20"/>
                <w:color w:val="auto"/>
              </w:rPr>
            </w:pPr>
            <w:r>
              <w:rPr>
                <w:rFonts w:ascii="Arial" w:cs="Arial" w:eastAsia="Arial" w:hAnsi="Arial"/>
                <w:sz w:val="22"/>
                <w:szCs w:val="22"/>
                <w:color w:val="auto"/>
              </w:rPr>
              <w:t>72991</w:t>
            </w:r>
          </w:p>
        </w:tc>
        <w:tc>
          <w:tcPr>
            <w:tcW w:w="2420" w:type="dxa"/>
            <w:vAlign w:val="bottom"/>
          </w:tcPr>
          <w:p>
            <w:pPr>
              <w:ind w:left="120"/>
              <w:spacing w:after="0" w:line="243" w:lineRule="exact"/>
              <w:rPr>
                <w:sz w:val="20"/>
                <w:szCs w:val="20"/>
                <w:color w:val="auto"/>
              </w:rPr>
            </w:pPr>
            <w:r>
              <w:rPr>
                <w:rFonts w:ascii="Arial" w:cs="Arial" w:eastAsia="Arial" w:hAnsi="Arial"/>
                <w:sz w:val="28"/>
                <w:szCs w:val="28"/>
                <w:color w:val="auto"/>
                <w:vertAlign w:val="superscript"/>
              </w:rPr>
              <w:t>05/28/2021</w:t>
            </w:r>
            <w:r>
              <w:rPr>
                <w:rFonts w:ascii="Arial" w:cs="Arial" w:eastAsia="Arial" w:hAnsi="Arial"/>
                <w:sz w:val="16"/>
                <w:szCs w:val="16"/>
                <w:color w:val="auto"/>
              </w:rPr>
              <w:t xml:space="preserve"> preferred stock</w:t>
            </w:r>
          </w:p>
        </w:tc>
        <w:tc>
          <w:tcPr>
            <w:tcW w:w="0" w:type="dxa"/>
            <w:vAlign w:val="bottom"/>
          </w:tcPr>
          <w:p>
            <w:pPr>
              <w:spacing w:after="0"/>
              <w:rPr>
                <w:sz w:val="1"/>
                <w:szCs w:val="1"/>
                <w:color w:val="auto"/>
              </w:rPr>
            </w:pPr>
          </w:p>
        </w:tc>
      </w:tr>
      <w:tr>
        <w:trPr>
          <w:trHeight w:val="154"/>
        </w:trPr>
        <w:tc>
          <w:tcPr>
            <w:tcW w:w="1460" w:type="dxa"/>
            <w:vAlign w:val="bottom"/>
          </w:tcPr>
          <w:p>
            <w:pPr>
              <w:spacing w:after="0"/>
              <w:rPr>
                <w:sz w:val="13"/>
                <w:szCs w:val="13"/>
                <w:color w:val="auto"/>
              </w:rPr>
            </w:pPr>
          </w:p>
        </w:tc>
        <w:tc>
          <w:tcPr>
            <w:tcW w:w="2740" w:type="dxa"/>
            <w:vAlign w:val="bottom"/>
          </w:tcPr>
          <w:p>
            <w:pPr>
              <w:ind w:left="1060"/>
              <w:spacing w:after="0" w:line="154" w:lineRule="exact"/>
              <w:rPr>
                <w:sz w:val="20"/>
                <w:szCs w:val="20"/>
                <w:color w:val="auto"/>
              </w:rPr>
            </w:pPr>
            <w:r>
              <w:rPr>
                <w:rFonts w:ascii="Arial" w:cs="Arial" w:eastAsia="Arial" w:hAnsi="Arial"/>
                <w:sz w:val="17"/>
                <w:szCs w:val="17"/>
                <w:color w:val="auto"/>
              </w:rPr>
              <w:t>and subsequent</w:t>
            </w:r>
          </w:p>
        </w:tc>
        <w:tc>
          <w:tcPr>
            <w:tcW w:w="138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w w:val="98"/>
              </w:rPr>
              <w:t>reclassification of</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w w:val="85"/>
              </w:rPr>
              <w:t>the Issuer's Class A</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rPr>
              <w:t>Common Stock</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rPr>
              <w:t>into the Issuer's</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rPr>
              <w:t>Voting Common</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60" w:type="dxa"/>
            <w:vAlign w:val="bottom"/>
          </w:tcPr>
          <w:p>
            <w:pPr>
              <w:spacing w:after="0"/>
              <w:rPr>
                <w:sz w:val="23"/>
                <w:szCs w:val="23"/>
                <w:color w:val="auto"/>
              </w:rPr>
            </w:pPr>
          </w:p>
        </w:tc>
        <w:tc>
          <w:tcPr>
            <w:tcW w:w="2740" w:type="dxa"/>
            <w:vAlign w:val="bottom"/>
          </w:tcPr>
          <w:p>
            <w:pPr>
              <w:ind w:left="1060"/>
              <w:spacing w:after="0"/>
              <w:rPr>
                <w:sz w:val="20"/>
                <w:szCs w:val="20"/>
                <w:color w:val="auto"/>
              </w:rPr>
            </w:pPr>
            <w:r>
              <w:rPr>
                <w:rFonts w:ascii="Arial" w:cs="Arial" w:eastAsia="Arial" w:hAnsi="Arial"/>
                <w:sz w:val="22"/>
                <w:szCs w:val="22"/>
                <w:color w:val="auto"/>
              </w:rPr>
              <w:t>Stock</w:t>
            </w:r>
          </w:p>
        </w:tc>
        <w:tc>
          <w:tcPr>
            <w:tcW w:w="138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-1223010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4"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860" w:type="dxa"/>
            <w:vAlign w:val="bottom"/>
          </w:tcPr>
          <w:p>
            <w:pPr>
              <w:spacing w:after="0"/>
              <w:rPr>
                <w:sz w:val="20"/>
                <w:szCs w:val="20"/>
                <w:color w:val="auto"/>
              </w:rPr>
            </w:pPr>
            <w:r>
              <w:rPr>
                <w:rFonts w:ascii="Arial" w:cs="Arial" w:eastAsia="Arial" w:hAnsi="Arial"/>
                <w:sz w:val="22"/>
                <w:szCs w:val="22"/>
                <w:color w:val="auto"/>
              </w:rPr>
              <w:t>Remarks</w:t>
            </w:r>
          </w:p>
        </w:tc>
        <w:tc>
          <w:tcPr>
            <w:tcW w:w="1460" w:type="dxa"/>
            <w:vAlign w:val="bottom"/>
          </w:tcPr>
          <w:p>
            <w:pPr>
              <w:spacing w:after="0"/>
              <w:rPr>
                <w:sz w:val="23"/>
                <w:szCs w:val="23"/>
                <w:color w:val="auto"/>
              </w:rPr>
            </w:pPr>
          </w:p>
        </w:tc>
      </w:tr>
      <w:tr>
        <w:trPr>
          <w:trHeight w:val="297"/>
        </w:trPr>
        <w:tc>
          <w:tcPr>
            <w:tcW w:w="1860" w:type="dxa"/>
            <w:vAlign w:val="bottom"/>
          </w:tcPr>
          <w:p>
            <w:pPr>
              <w:spacing w:after="0"/>
              <w:rPr>
                <w:sz w:val="20"/>
                <w:szCs w:val="20"/>
                <w:color w:val="auto"/>
              </w:rPr>
            </w:pPr>
            <w:r>
              <w:rPr>
                <w:rFonts w:ascii="Arial" w:cs="Arial" w:eastAsia="Arial" w:hAnsi="Arial"/>
                <w:sz w:val="22"/>
                <w:szCs w:val="22"/>
                <w:color w:val="auto"/>
              </w:rPr>
              <w:t>Date of Notice</w:t>
            </w:r>
          </w:p>
        </w:tc>
        <w:tc>
          <w:tcPr>
            <w:tcW w:w="1460" w:type="dxa"/>
            <w:vAlign w:val="bottom"/>
          </w:tcPr>
          <w:p>
            <w:pPr>
              <w:jc w:val="right"/>
              <w:spacing w:after="0"/>
              <w:rPr>
                <w:sz w:val="20"/>
                <w:szCs w:val="20"/>
                <w:color w:val="auto"/>
              </w:rPr>
            </w:pPr>
            <w:r>
              <w:rPr>
                <w:rFonts w:ascii="Arial" w:cs="Arial" w:eastAsia="Arial" w:hAnsi="Arial"/>
                <w:sz w:val="22"/>
                <w:szCs w:val="22"/>
                <w:color w:val="auto"/>
              </w:rPr>
              <w:t>05/11/2023</w:t>
            </w:r>
          </w:p>
        </w:tc>
      </w:tr>
      <w:tr>
        <w:trPr>
          <w:trHeight w:val="297"/>
        </w:trPr>
        <w:tc>
          <w:tcPr>
            <w:tcW w:w="186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46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23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Matthew C. Harris, as Partner of Bain Capital Venture Investors, LLC</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2023-05-11T20:28:03Z</dcterms:created>
  <dcterms:modified xsi:type="dcterms:W3CDTF">2023-05-11T20:28:03Z</dcterms:modified>
</cp:coreProperties>
</file>