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73" w:before="0" w:after="0"/>
        <w:jc w:val="left"/>
        <w:rPr/>
      </w:pPr>
      <w:bookmarkStart w:id="0" w:name="flyw-20220331.htm"/>
      <w:bookmarkStart w:id="1" w:name="ksflyw20220331"/>
      <w:bookmarkEnd w:id="0"/>
      <w:bookmarkEnd w:id="1"/>
      <w:r>
        <w:rPr/>
        <w:t> </w:t>
      </w:r>
    </w:p>
    <w:p>
      <w:pPr>
        <w:pStyle w:val="TextBody"/>
        <w:spacing w:lineRule="auto" w:line="273" w:before="0" w:after="0"/>
        <w:jc w:val="left"/>
        <w:rPr>
          <w:rFonts w:ascii="Arial" w:hAnsi="Arial"/>
          <w:b w:val="false"/>
          <w:sz w:val="2"/>
        </w:rPr>
      </w:pPr>
      <w:r>
        <w:rPr>
          <w:rFonts w:ascii="Arial" w:hAnsi="Arial"/>
          <w:b w:val="false"/>
          <w:sz w:val="2"/>
        </w:rPr>
        <w:t>ROC</w:t>
      </w:r>
    </w:p>
    <w:p>
      <w:pPr>
        <w:pStyle w:val="TextBody"/>
        <w:pBdr>
          <w:top w:val="double" w:sz="6" w:space="1" w:color="000000"/>
        </w:pBdr>
        <w:spacing w:lineRule="auto" w:line="273" w:before="0" w:after="0"/>
        <w:jc w:val="left"/>
        <w:rPr/>
      </w:pPr>
      <w:r>
        <w:rPr/>
        <w:t> </w:t>
      </w:r>
    </w:p>
    <w:p>
      <w:pPr>
        <w:pStyle w:val="TextBody"/>
        <w:spacing w:lineRule="auto" w:line="273" w:before="60" w:after="0"/>
        <w:jc w:val="center"/>
        <w:rPr>
          <w:rFonts w:ascii="Times New Roman" w:hAnsi="Times New Roman"/>
          <w:sz w:val="20"/>
        </w:rPr>
      </w:pPr>
      <w:r>
        <w:rPr>
          <w:rFonts w:ascii="Arial" w:hAnsi="Arial"/>
          <w:b/>
          <w:sz w:val="34"/>
        </w:rPr>
        <w:t>UNITED STATES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34"/>
        </w:rPr>
        <w:t>SECURITIES AND EXCHANGE COMMISSION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2"/>
        </w:rPr>
        <w:t>WASHINGTON, DC 20549</w:t>
      </w:r>
      <w:r>
        <w:rPr>
          <w:rFonts w:ascii="Times New Roman" w:hAnsi="Times New Roman"/>
          <w:sz w:val="20"/>
        </w:rPr>
        <w:t xml:space="preserve"> </w:t>
      </w:r>
    </w:p>
    <w:p>
      <w:pPr>
        <w:pStyle w:val="TextBody"/>
        <w:pBdr>
          <w:bottom w:val="single" w:sz="8" w:space="1" w:color="000000"/>
        </w:pBdr>
        <w:spacing w:lineRule="atLeast" w:line="141" w:before="40" w:after="0"/>
        <w:jc w:val="center"/>
        <w:rPr/>
      </w:pPr>
      <w:r>
        <w:rPr/>
        <w:t> </w:t>
      </w:r>
    </w:p>
    <w:p>
      <w:pPr>
        <w:pStyle w:val="TextBody"/>
        <w:spacing w:lineRule="auto" w:line="273" w:before="40" w:after="0"/>
        <w:jc w:val="center"/>
        <w:rPr>
          <w:rFonts w:ascii="Times New Roman" w:hAnsi="Times New Roman"/>
          <w:sz w:val="20"/>
        </w:rPr>
      </w:pPr>
      <w:r>
        <w:rPr>
          <w:rFonts w:ascii="Arial" w:hAnsi="Arial"/>
          <w:b/>
          <w:sz w:val="34"/>
        </w:rPr>
        <w:t>FORM 10-Q</w:t>
      </w:r>
      <w:r>
        <w:rPr>
          <w:rFonts w:ascii="Times New Roman" w:hAnsi="Times New Roman"/>
          <w:sz w:val="20"/>
        </w:rPr>
        <w:t xml:space="preserve"> </w:t>
      </w:r>
    </w:p>
    <w:p>
      <w:pPr>
        <w:pStyle w:val="TextBody"/>
        <w:pBdr>
          <w:bottom w:val="single" w:sz="8" w:space="1" w:color="000000"/>
        </w:pBdr>
        <w:spacing w:lineRule="auto" w:line="273" w:before="0" w:after="0"/>
        <w:jc w:val="center"/>
        <w:rPr/>
      </w:pPr>
      <w:r>
        <w:rPr/>
        <w:t> </w:t>
      </w:r>
    </w:p>
    <w:p>
      <w:pPr>
        <w:pStyle w:val="TextBody"/>
        <w:spacing w:lineRule="auto" w:line="273" w:before="40" w:after="0"/>
        <w:jc w:val="left"/>
        <w:rPr>
          <w:rFonts w:ascii="Arial" w:hAnsi="Arial"/>
          <w:b/>
          <w:sz w:val="18"/>
        </w:rPr>
      </w:pPr>
      <w:r>
        <w:rPr>
          <w:rFonts w:ascii="Arial" w:hAnsi="Arial"/>
          <w:b/>
          <w:sz w:val="18"/>
        </w:rPr>
        <w:t>(Mark One)</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2"/>
              </w:rPr>
            </w:pPr>
            <w:r>
              <w:rPr>
                <w:rFonts w:ascii="Arial" w:hAnsi="Arial"/>
                <w:b/>
                <w:sz w:val="22"/>
              </w:rPr>
              <w:t>QUARTERLY REPORT PURSUANT TO SECTION 13 OR 15(d) OF THE SECURITIES EXCHANGE ACT OF 1934</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sz w:val="18"/>
        </w:rPr>
        <w:t>For the quarterly period ended March 31, 2022</w:t>
      </w:r>
      <w:r>
        <w:rPr>
          <w:rFonts w:ascii="Arial" w:hAnsi="Arial"/>
          <w:sz w:val="18"/>
        </w:rPr>
        <w:t xml:space="preserve"> </w:t>
      </w:r>
    </w:p>
    <w:p>
      <w:pPr>
        <w:pStyle w:val="TextBody"/>
        <w:spacing w:lineRule="auto" w:line="273" w:before="40" w:after="0"/>
        <w:jc w:val="center"/>
        <w:rPr>
          <w:rFonts w:ascii="Times New Roman" w:hAnsi="Times New Roman"/>
          <w:sz w:val="20"/>
        </w:rPr>
      </w:pPr>
      <w:r>
        <w:rPr>
          <w:rFonts w:ascii="Arial" w:hAnsi="Arial"/>
          <w:b/>
          <w:sz w:val="18"/>
        </w:rPr>
        <w:t>OR</w:t>
      </w:r>
      <w:r>
        <w:rPr>
          <w:rFonts w:ascii="Times New Roman" w:hAnsi="Times New Roman"/>
          <w:sz w:val="20"/>
        </w:rPr>
        <w:t xml:space="preserve"> </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sz w:val="22"/>
              </w:rPr>
            </w:pPr>
            <w:r>
              <w:rPr>
                <w:rFonts w:ascii="Arial" w:hAnsi="Arial"/>
                <w:b/>
                <w:sz w:val="22"/>
              </w:rPr>
              <w:t>TRANSITION REPORT PURSUANT TO SECTION 13 OR 15(d) OF THE SECURITIES EXCHANGE ACT OF 1934</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sz w:val="18"/>
        </w:rPr>
        <w:t>For the transition period from to</w:t>
      </w:r>
      <w:r>
        <w:rPr>
          <w:rFonts w:ascii="Times New Roman" w:hAnsi="Times New Roman"/>
          <w:sz w:val="20"/>
        </w:rPr>
        <w:t xml:space="preserve"> </w:t>
      </w:r>
    </w:p>
    <w:p>
      <w:pPr>
        <w:pStyle w:val="TextBody"/>
        <w:spacing w:lineRule="auto" w:line="273" w:before="40" w:after="0"/>
        <w:jc w:val="center"/>
        <w:rPr>
          <w:rFonts w:ascii="Times New Roman" w:hAnsi="Times New Roman"/>
          <w:sz w:val="20"/>
        </w:rPr>
      </w:pPr>
      <w:r>
        <w:rPr>
          <w:rFonts w:ascii="Arial" w:hAnsi="Arial"/>
          <w:b/>
          <w:sz w:val="18"/>
        </w:rPr>
        <w:t>Commission File Number: 001-40430</w:t>
      </w:r>
      <w:r>
        <w:rPr>
          <w:rFonts w:ascii="Times New Roman" w:hAnsi="Times New Roman"/>
          <w:sz w:val="20"/>
        </w:rPr>
        <w:t xml:space="preserve"> </w:t>
      </w:r>
    </w:p>
    <w:p>
      <w:pPr>
        <w:pStyle w:val="TextBody"/>
        <w:pBdr>
          <w:bottom w:val="single" w:sz="8" w:space="1" w:color="000000"/>
        </w:pBdr>
        <w:spacing w:lineRule="atLeast" w:line="141" w:before="40" w:after="0"/>
        <w:jc w:val="center"/>
        <w:rPr/>
      </w:pPr>
      <w:r>
        <w:rPr/>
        <w:t> </w:t>
      </w:r>
    </w:p>
    <w:p>
      <w:pPr>
        <w:pStyle w:val="TextBody"/>
        <w:spacing w:lineRule="auto" w:line="273" w:before="40" w:after="0"/>
        <w:jc w:val="center"/>
        <w:rPr>
          <w:rFonts w:ascii="Times New Roman" w:hAnsi="Times New Roman"/>
          <w:sz w:val="20"/>
        </w:rPr>
      </w:pPr>
      <w:r>
        <w:rPr>
          <w:rFonts w:ascii="Arial" w:hAnsi="Arial"/>
          <w:b/>
          <w:sz w:val="46"/>
        </w:rPr>
        <w:t>FLYWIRE CORPORATION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18"/>
        </w:rPr>
        <w:t>(Exact Name of Registrant as Specified in its Charter)</w:t>
      </w:r>
      <w:r>
        <w:rPr>
          <w:rFonts w:ascii="Times New Roman" w:hAnsi="Times New Roman"/>
          <w:sz w:val="20"/>
        </w:rPr>
        <w:t xml:space="preserve"> </w:t>
      </w:r>
    </w:p>
    <w:p>
      <w:pPr>
        <w:pStyle w:val="TextBody"/>
        <w:pBdr>
          <w:bottom w:val="single" w:sz="8" w:space="1" w:color="000000"/>
        </w:pBdr>
        <w:spacing w:lineRule="atLeast" w:line="141" w:before="40" w:after="0"/>
        <w:jc w:val="center"/>
        <w:rPr/>
      </w:pPr>
      <w:r>
        <w:rPr/>
        <w:t> </w:t>
      </w:r>
    </w:p>
    <w:p>
      <w:pPr>
        <w:pStyle w:val="TextBody"/>
        <w:spacing w:lineRule="auto" w:line="273" w:before="0" w:after="0"/>
        <w:jc w:val="left"/>
        <w:rPr/>
      </w:pPr>
      <w:r>
        <w:rPr/>
        <w:t> </w:t>
      </w:r>
    </w:p>
    <w:tbl>
      <w:tblPr>
        <w:tblW w:w="4802" w:type="dxa"/>
        <w:jc w:val="left"/>
        <w:tblInd w:w="0" w:type="dxa"/>
        <w:tblCellMar>
          <w:top w:w="28" w:type="dxa"/>
          <w:left w:w="28" w:type="dxa"/>
          <w:bottom w:w="28" w:type="dxa"/>
          <w:right w:w="28" w:type="dxa"/>
        </w:tblCellMar>
      </w:tblPr>
      <w:tblGrid>
        <w:gridCol w:w="3226"/>
        <w:gridCol w:w="1576"/>
      </w:tblGrid>
      <w:tr>
        <w:trPr/>
        <w:tc>
          <w:tcPr>
            <w:tcW w:w="3226" w:type="dxa"/>
            <w:tcBorders/>
            <w:shd w:fill="auto" w:val="clear"/>
            <w:vAlign w:val="center"/>
          </w:tcPr>
          <w:p>
            <w:pPr>
              <w:pStyle w:val="TableContents"/>
              <w:spacing w:before="0" w:after="283"/>
              <w:rPr>
                <w:sz w:val="4"/>
                <w:szCs w:val="4"/>
              </w:rPr>
            </w:pPr>
            <w:r>
              <w:rPr>
                <w:sz w:val="4"/>
                <w:szCs w:val="4"/>
              </w:rPr>
            </w:r>
          </w:p>
        </w:tc>
        <w:tc>
          <w:tcPr>
            <w:tcW w:w="1576" w:type="dxa"/>
            <w:tcBorders/>
            <w:shd w:fill="auto" w:val="clear"/>
            <w:vAlign w:val="center"/>
          </w:tcPr>
          <w:p>
            <w:pPr>
              <w:pStyle w:val="TableContents"/>
              <w:spacing w:before="0" w:after="283"/>
              <w:rPr>
                <w:sz w:val="4"/>
                <w:szCs w:val="4"/>
              </w:rPr>
            </w:pPr>
            <w:r>
              <w:rPr>
                <w:sz w:val="4"/>
                <w:szCs w:val="4"/>
              </w:rPr>
            </w:r>
          </w:p>
        </w:tc>
      </w:tr>
      <w:tr>
        <w:trPr/>
        <w:tc>
          <w:tcPr>
            <w:tcW w:w="322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Delaware</w:t>
            </w:r>
          </w:p>
        </w:tc>
        <w:tc>
          <w:tcPr>
            <w:tcW w:w="157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27-0690799</w:t>
            </w:r>
          </w:p>
        </w:tc>
      </w:tr>
      <w:tr>
        <w:trPr/>
        <w:tc>
          <w:tcPr>
            <w:tcW w:w="3226" w:type="dxa"/>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(State or other jurisdiction of</w:t>
            </w:r>
          </w:p>
          <w:p>
            <w:pPr>
              <w:pStyle w:val="TableContents"/>
              <w:spacing w:lineRule="auto" w:line="252" w:before="0" w:after="20"/>
              <w:ind w:left="0" w:right="0" w:hanging="0"/>
              <w:jc w:val="center"/>
              <w:rPr>
                <w:rFonts w:ascii="Arial" w:hAnsi="Arial"/>
                <w:b/>
                <w:sz w:val="16"/>
              </w:rPr>
            </w:pPr>
            <w:r>
              <w:rPr>
                <w:rFonts w:ascii="Arial" w:hAnsi="Arial"/>
                <w:b/>
                <w:sz w:val="16"/>
              </w:rPr>
              <w:t>incorporation or organization)</w:t>
            </w:r>
          </w:p>
        </w:tc>
        <w:tc>
          <w:tcPr>
            <w:tcW w:w="1576" w:type="dxa"/>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(I.R.S. Employer</w:t>
            </w:r>
          </w:p>
          <w:p>
            <w:pPr>
              <w:pStyle w:val="TableContents"/>
              <w:spacing w:lineRule="auto" w:line="252" w:before="0" w:after="20"/>
              <w:ind w:left="0" w:right="0" w:hanging="0"/>
              <w:jc w:val="center"/>
              <w:rPr>
                <w:rFonts w:ascii="Arial" w:hAnsi="Arial"/>
                <w:b/>
                <w:sz w:val="16"/>
              </w:rPr>
            </w:pPr>
            <w:r>
              <w:rPr>
                <w:rFonts w:ascii="Arial" w:hAnsi="Arial"/>
                <w:b/>
                <w:sz w:val="16"/>
              </w:rPr>
              <w:t>Identification No.)</w:t>
            </w:r>
          </w:p>
        </w:tc>
      </w:tr>
      <w:tr>
        <w:trPr/>
        <w:tc>
          <w:tcPr>
            <w:tcW w:w="3226" w:type="dxa"/>
            <w:tcBorders/>
            <w:shd w:fill="auto" w:val="clear"/>
            <w:vAlign w:val="center"/>
          </w:tcPr>
          <w:p>
            <w:pPr>
              <w:pStyle w:val="TableContents"/>
              <w:spacing w:lineRule="auto" w:line="252" w:before="0" w:after="0"/>
              <w:ind w:left="0" w:right="0" w:hanging="0"/>
              <w:jc w:val="left"/>
              <w:rPr/>
            </w:pPr>
            <w:r>
              <w:rPr/>
              <w:t> </w:t>
            </w:r>
          </w:p>
        </w:tc>
        <w:tc>
          <w:tcPr>
            <w:tcW w:w="1576" w:type="dxa"/>
            <w:tcBorders/>
            <w:shd w:fill="auto" w:val="clear"/>
            <w:vAlign w:val="center"/>
          </w:tcPr>
          <w:p>
            <w:pPr>
              <w:pStyle w:val="TableContents"/>
              <w:spacing w:lineRule="auto" w:line="252" w:before="0" w:after="0"/>
              <w:ind w:left="0" w:right="0" w:hanging="0"/>
              <w:jc w:val="left"/>
              <w:rPr/>
            </w:pPr>
            <w:r>
              <w:rPr/>
              <w:t> </w:t>
            </w:r>
          </w:p>
        </w:tc>
      </w:tr>
      <w:tr>
        <w:trPr/>
        <w:tc>
          <w:tcPr>
            <w:tcW w:w="322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141 Tremont St #10</w:t>
            </w:r>
          </w:p>
          <w:p>
            <w:pPr>
              <w:pStyle w:val="TableContents"/>
              <w:spacing w:lineRule="auto" w:line="252" w:before="0" w:after="20"/>
              <w:ind w:left="0" w:right="0" w:hanging="0"/>
              <w:jc w:val="center"/>
              <w:rPr>
                <w:rFonts w:ascii="Arial" w:hAnsi="Arial"/>
                <w:b/>
                <w:sz w:val="18"/>
              </w:rPr>
            </w:pPr>
            <w:r>
              <w:rPr>
                <w:rFonts w:ascii="Arial" w:hAnsi="Arial"/>
                <w:b/>
                <w:sz w:val="18"/>
              </w:rPr>
              <w:t>Boston, MA</w:t>
            </w:r>
          </w:p>
        </w:tc>
        <w:tc>
          <w:tcPr>
            <w:tcW w:w="157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02111</w:t>
            </w:r>
          </w:p>
        </w:tc>
      </w:tr>
      <w:tr>
        <w:trPr/>
        <w:tc>
          <w:tcPr>
            <w:tcW w:w="3226" w:type="dxa"/>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(Address of principal executive offices)</w:t>
            </w:r>
          </w:p>
        </w:tc>
        <w:tc>
          <w:tcPr>
            <w:tcW w:w="1576" w:type="dxa"/>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(Zip Code)</w:t>
            </w:r>
          </w:p>
        </w:tc>
      </w:tr>
    </w:tbl>
    <w:p>
      <w:pPr>
        <w:pStyle w:val="TextBody"/>
        <w:spacing w:lineRule="auto" w:line="273" w:before="120" w:after="0"/>
        <w:jc w:val="center"/>
        <w:rPr>
          <w:rFonts w:ascii="Times New Roman" w:hAnsi="Times New Roman"/>
          <w:sz w:val="20"/>
        </w:rPr>
      </w:pPr>
      <w:r>
        <w:rPr>
          <w:rFonts w:ascii="Arial" w:hAnsi="Arial"/>
          <w:b/>
          <w:sz w:val="18"/>
        </w:rPr>
        <w:t>Registrant’s telephone number, including area code: (617) 329-4524</w:t>
      </w:r>
      <w:r>
        <w:rPr>
          <w:rFonts w:ascii="Times New Roman" w:hAnsi="Times New Roman"/>
          <w:sz w:val="20"/>
        </w:rPr>
        <w:t xml:space="preserve"> </w:t>
      </w:r>
    </w:p>
    <w:p>
      <w:pPr>
        <w:pStyle w:val="TextBody"/>
        <w:pBdr>
          <w:bottom w:val="single" w:sz="8" w:space="1" w:color="000000"/>
        </w:pBdr>
        <w:spacing w:lineRule="atLeast" w:line="141" w:before="40" w:after="0"/>
        <w:jc w:val="center"/>
        <w:rPr/>
      </w:pPr>
      <w:r>
        <w:rPr/>
        <w:t> </w:t>
      </w:r>
    </w:p>
    <w:p>
      <w:pPr>
        <w:pStyle w:val="TextBody"/>
        <w:spacing w:lineRule="auto" w:line="273" w:before="40" w:after="0"/>
        <w:jc w:val="center"/>
        <w:rPr>
          <w:rFonts w:ascii="Times New Roman" w:hAnsi="Times New Roman"/>
          <w:sz w:val="20"/>
        </w:rPr>
      </w:pPr>
      <w:r>
        <w:rPr>
          <w:rFonts w:ascii="Arial" w:hAnsi="Arial"/>
          <w:b/>
          <w:sz w:val="18"/>
        </w:rPr>
        <w:t>Securities registered pursuant to Section 12(b) of the Act:</w:t>
      </w:r>
      <w:r>
        <w:rPr>
          <w:rFonts w:ascii="Times New Roman" w:hAnsi="Times New Roman"/>
          <w:sz w:val="20"/>
        </w:rPr>
        <w:t xml:space="preserve"> </w:t>
      </w:r>
    </w:p>
    <w:p>
      <w:pPr>
        <w:pStyle w:val="TextBody"/>
        <w:spacing w:lineRule="auto" w:line="273" w:before="0" w:after="0"/>
        <w:jc w:val="left"/>
        <w:rPr/>
      </w:pPr>
      <w:r>
        <w:rPr/>
        <w:t> </w:t>
      </w:r>
    </w:p>
    <w:tbl>
      <w:tblPr>
        <w:tblW w:w="8118" w:type="dxa"/>
        <w:jc w:val="left"/>
        <w:tblInd w:w="0" w:type="dxa"/>
        <w:tblCellMar>
          <w:top w:w="28" w:type="dxa"/>
          <w:left w:w="28" w:type="dxa"/>
          <w:bottom w:w="28" w:type="dxa"/>
          <w:right w:w="28" w:type="dxa"/>
        </w:tblCellMar>
      </w:tblPr>
      <w:tblGrid>
        <w:gridCol w:w="4456"/>
        <w:gridCol w:w="916"/>
        <w:gridCol w:w="2746"/>
      </w:tblGrid>
      <w:tr>
        <w:trPr/>
        <w:tc>
          <w:tcPr>
            <w:tcW w:w="445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746" w:type="dxa"/>
            <w:tcBorders/>
            <w:shd w:fill="auto" w:val="clear"/>
            <w:vAlign w:val="center"/>
          </w:tcPr>
          <w:p>
            <w:pPr>
              <w:pStyle w:val="TableContents"/>
              <w:spacing w:before="0" w:after="283"/>
              <w:rPr>
                <w:sz w:val="4"/>
                <w:szCs w:val="4"/>
              </w:rPr>
            </w:pPr>
            <w:r>
              <w:rPr>
                <w:sz w:val="4"/>
                <w:szCs w:val="4"/>
              </w:rPr>
            </w:r>
          </w:p>
        </w:tc>
      </w:tr>
      <w:tr>
        <w:trPr/>
        <w:tc>
          <w:tcPr>
            <w:tcW w:w="4456" w:type="dxa"/>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Title of each class</w:t>
            </w:r>
          </w:p>
          <w:p>
            <w:pPr>
              <w:pStyle w:val="TableContents"/>
              <w:pBdr>
                <w:top w:val="single" w:sz="8" w:space="1" w:color="000000"/>
              </w:pBdr>
              <w:spacing w:lineRule="atLeast" w:line="141" w:before="20" w:after="0"/>
              <w:ind w:left="0" w:right="0" w:hanging="0"/>
              <w:jc w:val="left"/>
              <w:rPr/>
            </w:pPr>
            <w:r>
              <w:rPr/>
              <w:t> </w:t>
            </w:r>
          </w:p>
        </w:tc>
        <w:tc>
          <w:tcPr>
            <w:tcW w:w="91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Trading</w:t>
            </w:r>
          </w:p>
          <w:p>
            <w:pPr>
              <w:pStyle w:val="TableContents"/>
              <w:spacing w:lineRule="auto" w:line="252" w:before="0" w:after="0"/>
              <w:ind w:left="0" w:right="0" w:hanging="0"/>
              <w:jc w:val="center"/>
              <w:rPr>
                <w:rFonts w:ascii="Arial" w:hAnsi="Arial"/>
                <w:b/>
                <w:sz w:val="16"/>
              </w:rPr>
            </w:pPr>
            <w:r>
              <w:rPr>
                <w:rFonts w:ascii="Arial" w:hAnsi="Arial"/>
                <w:b/>
                <w:sz w:val="16"/>
              </w:rPr>
              <w:t>Symbol(s)</w:t>
            </w:r>
          </w:p>
          <w:p>
            <w:pPr>
              <w:pStyle w:val="TableContents"/>
              <w:pBdr>
                <w:top w:val="single" w:sz="8" w:space="1" w:color="000000"/>
              </w:pBdr>
              <w:spacing w:lineRule="atLeast" w:line="141" w:before="0" w:after="0"/>
              <w:ind w:left="0" w:right="0" w:hanging="0"/>
              <w:jc w:val="left"/>
              <w:rPr/>
            </w:pPr>
            <w:r>
              <w:rPr/>
              <w:t> </w:t>
            </w:r>
          </w:p>
        </w:tc>
        <w:tc>
          <w:tcPr>
            <w:tcW w:w="27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Name of each exchange</w:t>
            </w:r>
          </w:p>
          <w:p>
            <w:pPr>
              <w:pStyle w:val="TableContents"/>
              <w:spacing w:lineRule="auto" w:line="252" w:before="0" w:after="0"/>
              <w:ind w:left="0" w:right="0" w:hanging="0"/>
              <w:jc w:val="center"/>
              <w:rPr>
                <w:rFonts w:ascii="Arial" w:hAnsi="Arial"/>
                <w:b/>
                <w:sz w:val="16"/>
              </w:rPr>
            </w:pPr>
            <w:r>
              <w:rPr>
                <w:rFonts w:ascii="Arial" w:hAnsi="Arial"/>
                <w:b/>
                <w:sz w:val="16"/>
              </w:rPr>
              <w:t>on which registered</w:t>
            </w:r>
          </w:p>
          <w:p>
            <w:pPr>
              <w:pStyle w:val="TableContents"/>
              <w:pBdr>
                <w:top w:val="single" w:sz="8" w:space="1" w:color="000000"/>
              </w:pBdr>
              <w:spacing w:lineRule="atLeast" w:line="141" w:before="0" w:after="0"/>
              <w:ind w:left="0" w:right="0" w:hanging="0"/>
              <w:jc w:val="left"/>
              <w:rPr/>
            </w:pPr>
            <w:r>
              <w:rPr/>
              <w:t> </w:t>
            </w:r>
          </w:p>
        </w:tc>
      </w:tr>
      <w:tr>
        <w:trPr/>
        <w:tc>
          <w:tcPr>
            <w:tcW w:w="445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Voting common stock, $0.0001 par value per share</w:t>
            </w:r>
          </w:p>
        </w:tc>
        <w:tc>
          <w:tcPr>
            <w:tcW w:w="91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FLYW</w:t>
            </w:r>
          </w:p>
        </w:tc>
        <w:tc>
          <w:tcPr>
            <w:tcW w:w="2746" w:type="dxa"/>
            <w:tcBorders/>
            <w:shd w:fill="auto" w:val="clear"/>
            <w:vAlign w:val="center"/>
          </w:tcPr>
          <w:p>
            <w:pPr>
              <w:pStyle w:val="TableContents"/>
              <w:spacing w:lineRule="auto" w:line="252" w:before="0" w:after="0"/>
              <w:ind w:left="0" w:right="0" w:hanging="0"/>
              <w:jc w:val="center"/>
              <w:rPr>
                <w:rFonts w:ascii="Arial" w:hAnsi="Arial"/>
                <w:b/>
                <w:sz w:val="18"/>
              </w:rPr>
            </w:pPr>
            <w:r>
              <w:rPr>
                <w:rFonts w:ascii="Arial" w:hAnsi="Arial"/>
                <w:b/>
                <w:sz w:val="18"/>
              </w:rPr>
              <w:t>The Nasdaq Stock Market LLC</w:t>
              <w:br/>
              <w:t>(Nasdaq Global Select Market)</w:t>
            </w:r>
          </w:p>
        </w:tc>
      </w:tr>
    </w:tbl>
    <w:p>
      <w:pPr>
        <w:pStyle w:val="TextBody"/>
        <w:spacing w:lineRule="auto" w:line="273" w:before="80" w:after="0"/>
        <w:jc w:val="left"/>
        <w:rPr>
          <w:rFonts w:ascii="Times New Roman" w:hAnsi="Times New Roman"/>
          <w:sz w:val="20"/>
        </w:rPr>
      </w:pPr>
      <w:r>
        <w:rPr>
          <w:rFonts w:ascii="Arial" w:hAnsi="Arial"/>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Arial" w:hAnsi="Arial"/>
          <w:b w:val="false"/>
          <w:sz w:val="18"/>
        </w:rPr>
        <w:t>No ☐</w:t>
      </w:r>
    </w:p>
    <w:p>
      <w:pPr>
        <w:pStyle w:val="TextBody"/>
        <w:spacing w:lineRule="auto" w:line="273" w:before="80" w:after="0"/>
        <w:jc w:val="left"/>
        <w:rPr>
          <w:rFonts w:ascii="Times New Roman" w:hAnsi="Times New Roman"/>
          <w:sz w:val="20"/>
        </w:rPr>
      </w:pPr>
      <w:r>
        <w:rPr>
          <w:rFonts w:ascii="Arial" w:hAnsi="Arial"/>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Arial" w:hAnsi="Arial"/>
          <w:b w:val="false"/>
          <w:sz w:val="18"/>
        </w:rPr>
        <w:t>No ☐</w:t>
      </w:r>
      <w:r>
        <w:rPr>
          <w:rFonts w:ascii="Times New Roman" w:hAnsi="Times New Roman"/>
          <w:sz w:val="20"/>
        </w:rPr>
        <w:t xml:space="preserve"> </w:t>
      </w:r>
    </w:p>
    <w:p>
      <w:pPr>
        <w:pStyle w:val="TextBody"/>
        <w:spacing w:lineRule="auto" w:line="273" w:before="80" w:after="0"/>
        <w:jc w:val="left"/>
        <w:rPr>
          <w:rFonts w:ascii="Times New Roman" w:hAnsi="Times New Roman"/>
          <w:sz w:val="20"/>
        </w:rPr>
      </w:pPr>
      <w:r>
        <w:rPr>
          <w:rFonts w:ascii="Arial" w:hAnsi="Arial"/>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0"/>
        </w:rPr>
        <w:t xml:space="preserve"> </w:t>
      </w:r>
    </w:p>
    <w:p>
      <w:pPr>
        <w:pStyle w:val="TextBody"/>
        <w:spacing w:lineRule="auto" w:line="273" w:before="0" w:after="0"/>
        <w:jc w:val="left"/>
        <w:rPr/>
      </w:pPr>
      <w:r>
        <w:rPr/>
        <w:t> </w:t>
      </w:r>
    </w:p>
    <w:tbl>
      <w:tblPr>
        <w:tblW w:w="4939" w:type="dxa"/>
        <w:jc w:val="left"/>
        <w:tblInd w:w="0" w:type="dxa"/>
        <w:tblCellMar>
          <w:top w:w="28" w:type="dxa"/>
          <w:left w:w="28" w:type="dxa"/>
          <w:bottom w:w="28" w:type="dxa"/>
          <w:right w:w="28" w:type="dxa"/>
        </w:tblCellMar>
      </w:tblPr>
      <w:tblGrid>
        <w:gridCol w:w="1951"/>
        <w:gridCol w:w="316"/>
        <w:gridCol w:w="2311"/>
        <w:gridCol w:w="361"/>
      </w:tblGrid>
      <w:tr>
        <w:trPr/>
        <w:tc>
          <w:tcPr>
            <w:tcW w:w="1951"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95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Large accelerated filer</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31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Accelerated filer</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95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Non-accelerated filer</w:t>
            </w:r>
          </w:p>
        </w:tc>
        <w:tc>
          <w:tcPr>
            <w:tcW w:w="316" w:type="dxa"/>
            <w:tcBorders/>
            <w:shd w:fill="auto" w:val="clear"/>
            <w:vAlign w:val="center"/>
          </w:tcPr>
          <w:p>
            <w:pPr>
              <w:pStyle w:val="TableContents"/>
              <w:spacing w:lineRule="auto" w:line="252" w:before="0" w:after="0"/>
              <w:ind w:left="0" w:right="0" w:hanging="0"/>
              <w:jc w:val="left"/>
              <w:rPr/>
            </w:pPr>
            <w:r>
              <w:rPr/>
              <w:t>☒</w:t>
            </w:r>
          </w:p>
        </w:tc>
        <w:tc>
          <w:tcPr>
            <w:tcW w:w="231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Smaller reporting company</w:t>
            </w:r>
          </w:p>
        </w:tc>
        <w:tc>
          <w:tcPr>
            <w:tcW w:w="361" w:type="dxa"/>
            <w:tcBorders/>
            <w:shd w:fill="auto" w:val="clear"/>
            <w:vAlign w:val="center"/>
          </w:tcPr>
          <w:p>
            <w:pPr>
              <w:pStyle w:val="TableContents"/>
              <w:spacing w:lineRule="auto" w:line="252" w:before="0" w:after="0"/>
              <w:ind w:left="0" w:right="0" w:hanging="0"/>
              <w:jc w:val="left"/>
              <w:rPr/>
            </w:pPr>
            <w:r>
              <w:rPr/>
              <w:t>☐</w:t>
            </w:r>
          </w:p>
        </w:tc>
      </w:tr>
      <w:tr>
        <w:trPr/>
        <w:tc>
          <w:tcPr>
            <w:tcW w:w="195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2311" w:type="dxa"/>
            <w:tcBorders/>
            <w:shd w:fill="auto" w:val="clear"/>
            <w:vAlign w:val="center"/>
          </w:tcPr>
          <w:p>
            <w:pPr>
              <w:pStyle w:val="TableContents"/>
              <w:spacing w:lineRule="auto" w:line="252" w:before="0" w:after="0"/>
              <w:ind w:left="0" w:right="0" w:hanging="0"/>
              <w:jc w:val="left"/>
              <w:rPr>
                <w:rFonts w:ascii="Arial" w:hAnsi="Arial"/>
                <w:b w:val="false"/>
                <w:sz w:val="18"/>
              </w:rPr>
            </w:pPr>
            <w:r>
              <w:rPr>
                <w:rFonts w:ascii="Arial" w:hAnsi="Arial"/>
                <w:b w:val="false"/>
                <w:sz w:val="18"/>
              </w:rPr>
              <w:t>Emerging growth company</w:t>
            </w:r>
          </w:p>
        </w:tc>
        <w:tc>
          <w:tcPr>
            <w:tcW w:w="361" w:type="dxa"/>
            <w:tcBorders/>
            <w:shd w:fill="auto" w:val="clear"/>
            <w:vAlign w:val="center"/>
          </w:tcPr>
          <w:p>
            <w:pPr>
              <w:pStyle w:val="TableContents"/>
              <w:spacing w:lineRule="auto" w:line="252" w:before="0" w:after="0"/>
              <w:ind w:left="0" w:right="0" w:hanging="0"/>
              <w:jc w:val="left"/>
              <w:rPr/>
            </w:pPr>
            <w:r>
              <w:rPr/>
              <w:t>☒</w:t>
            </w:r>
          </w:p>
        </w:tc>
      </w:tr>
    </w:tbl>
    <w:p>
      <w:pPr>
        <w:pStyle w:val="TextBody"/>
        <w:spacing w:lineRule="auto" w:line="273" w:before="80" w:after="0"/>
        <w:jc w:val="left"/>
        <w:rPr>
          <w:rFonts w:ascii="Times New Roman" w:hAnsi="Times New Roman"/>
          <w:sz w:val="20"/>
        </w:rPr>
      </w:pPr>
      <w:r>
        <w:rPr>
          <w:rFonts w:ascii="Arial" w:hAnsi="Arial"/>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spacing w:lineRule="auto" w:line="273" w:before="80" w:after="0"/>
        <w:jc w:val="left"/>
        <w:rPr>
          <w:rFonts w:ascii="Times New Roman" w:hAnsi="Times New Roman"/>
          <w:sz w:val="20"/>
        </w:rPr>
      </w:pPr>
      <w:r>
        <w:rPr>
          <w:rFonts w:ascii="Arial" w:hAnsi="Arial"/>
          <w:b w:val="false"/>
          <w:sz w:val="18"/>
        </w:rPr>
        <w:t xml:space="preserve">Indicate by check mark whether the registrant is a shell company (as defined in Rule 12b-2 of the Exchange Act). Yes ☐ No </w:t>
      </w:r>
      <w:r>
        <w:rPr>
          <w:rFonts w:ascii="Times New Roman" w:hAnsi="Times New Roman"/>
          <w:sz w:val="20"/>
        </w:rPr>
        <w:t xml:space="preserve">☒ </w:t>
      </w:r>
    </w:p>
    <w:p>
      <w:pPr>
        <w:pStyle w:val="TextBody"/>
        <w:spacing w:lineRule="auto" w:line="273" w:before="80" w:after="0"/>
        <w:jc w:val="left"/>
        <w:rPr>
          <w:rFonts w:ascii="Times New Roman" w:hAnsi="Times New Roman"/>
          <w:sz w:val="20"/>
        </w:rPr>
      </w:pPr>
      <w:r>
        <w:rPr>
          <w:rFonts w:ascii="Arial" w:hAnsi="Arial"/>
          <w:b w:val="false"/>
          <w:sz w:val="18"/>
        </w:rPr>
        <w:t>As of May10, 2022, the registrant had 101,226,518</w:t>
      </w:r>
      <w:r>
        <w:rPr>
          <w:rFonts w:ascii="Times New Roman" w:hAnsi="Times New Roman"/>
          <w:sz w:val="20"/>
        </w:rPr>
        <w:t xml:space="preserve"> </w:t>
      </w:r>
      <w:r>
        <w:rPr>
          <w:rFonts w:ascii="Arial" w:hAnsi="Arial"/>
          <w:b w:val="false"/>
          <w:sz w:val="18"/>
        </w:rPr>
        <w:t>shares of voting common stock, $0.0001 par value per share, outstanding and 5,988,378</w:t>
      </w:r>
      <w:r>
        <w:rPr>
          <w:rFonts w:ascii="Times New Roman" w:hAnsi="Times New Roman"/>
          <w:sz w:val="20"/>
        </w:rPr>
        <w:t xml:space="preserve"> </w:t>
      </w:r>
      <w:r>
        <w:rPr>
          <w:rFonts w:ascii="Arial" w:hAnsi="Arial"/>
          <w:b w:val="false"/>
          <w:sz w:val="18"/>
        </w:rPr>
        <w:t>shares of non-voting common stock $0.0001 par value per share, outstanding.</w:t>
      </w:r>
    </w:p>
    <w:p>
      <w:pPr>
        <w:pStyle w:val="TextBody"/>
        <w:pBdr>
          <w:bottom w:val="double" w:sz="6" w:space="1" w:color="000000"/>
        </w:pBdr>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r>
        <w:rPr>
          <w:rFonts w:ascii="Arial" w:hAnsi="Arial"/>
          <w:b/>
          <w:sz w:val="20"/>
        </w:rPr>
        <w:t>Table of Contents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02"/>
        <w:gridCol w:w="8786"/>
        <w:gridCol w:w="617"/>
      </w:tblGrid>
      <w:tr>
        <w:trPr/>
        <w:tc>
          <w:tcPr>
            <w:tcW w:w="802" w:type="dxa"/>
            <w:tcBorders/>
            <w:shd w:fill="auto" w:val="clear"/>
            <w:vAlign w:val="center"/>
          </w:tcPr>
          <w:p>
            <w:pPr>
              <w:pStyle w:val="TableContents"/>
              <w:spacing w:before="0" w:after="283"/>
              <w:rPr>
                <w:sz w:val="4"/>
                <w:szCs w:val="4"/>
              </w:rPr>
            </w:pPr>
            <w:r>
              <w:rPr>
                <w:sz w:val="4"/>
                <w:szCs w:val="4"/>
              </w:rPr>
            </w:r>
          </w:p>
        </w:tc>
        <w:tc>
          <w:tcPr>
            <w:tcW w:w="8786"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Page</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pecial_note_regarding">
              <w:r>
                <w:rPr>
                  <w:rStyle w:val="InternetLink"/>
                  <w:rFonts w:ascii="Arial" w:hAnsi="Arial"/>
                  <w:b w:val="false"/>
                  <w:sz w:val="20"/>
                  <w:u w:val="single"/>
                </w:rPr>
                <w:t>Special Note Regarding Forward-Looking Statements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_financial_information">
              <w:r>
                <w:rPr>
                  <w:rStyle w:val="InternetLink"/>
                  <w:rFonts w:ascii="Arial" w:hAnsi="Arial"/>
                  <w:b/>
                  <w:sz w:val="20"/>
                  <w:u w:val="single"/>
                </w:rPr>
                <w:t>PART I</w:t>
              </w:r>
            </w:hyperlink>
            <w:r>
              <w:rPr>
                <w:rFonts w:ascii="Arial" w:hAnsi="Arial"/>
                <w:b/>
                <w:sz w:val="20"/>
              </w:rPr>
              <w:t>.</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part_i_financial_information">
              <w:r>
                <w:rPr>
                  <w:rStyle w:val="InternetLink"/>
                  <w:rFonts w:ascii="Arial" w:hAnsi="Arial"/>
                  <w:b w:val="false"/>
                  <w:sz w:val="20"/>
                  <w:u w:val="single"/>
                </w:rPr>
                <w:t>FINANCIAL INFORMATION</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financial_statements">
              <w:r>
                <w:rPr>
                  <w:rStyle w:val="InternetLink"/>
                  <w:rFonts w:ascii="Arial" w:hAnsi="Arial"/>
                  <w:b w:val="false"/>
                  <w:sz w:val="20"/>
                  <w:u w:val="single"/>
                </w:rPr>
                <w:t>Item 1.</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_financial_statements">
              <w:r>
                <w:rPr>
                  <w:rStyle w:val="InternetLink"/>
                  <w:rFonts w:ascii="Arial" w:hAnsi="Arial"/>
                  <w:b w:val="false"/>
                  <w:sz w:val="20"/>
                  <w:u w:val="single"/>
                </w:rPr>
                <w:t>Financial Statements (Unaudited)</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4</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balance_sheets">
              <w:r>
                <w:rPr>
                  <w:rStyle w:val="InternetLink"/>
                  <w:rFonts w:ascii="Arial" w:hAnsi="Arial"/>
                  <w:b w:val="false"/>
                  <w:sz w:val="20"/>
                  <w:u w:val="single"/>
                </w:rPr>
                <w:t>Condensed Consolidated Balance Sheets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4</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onsolidated_operations">
              <w:r>
                <w:rPr>
                  <w:rStyle w:val="InternetLink"/>
                  <w:rFonts w:ascii="Arial" w:hAnsi="Arial"/>
                  <w:b w:val="false"/>
                  <w:sz w:val="20"/>
                  <w:u w:val="single"/>
                </w:rPr>
                <w:t>Condensed Consolidated Statements of Operations and Comprehensive Loss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5</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tatements_stockholders_deficit">
              <w:r>
                <w:rPr>
                  <w:rStyle w:val="InternetLink"/>
                  <w:rFonts w:ascii="Arial" w:hAnsi="Arial"/>
                  <w:b w:val="false"/>
                  <w:sz w:val="20"/>
                  <w:u w:val="single"/>
                </w:rPr>
                <w:t>Condensed Consolidated Statements of Convertible Preferred Stock, Redeemable Convertible Preferred Stock and Stockholders’ Equity (Deficit)</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6</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condensed_cash_flows">
              <w:r>
                <w:rPr>
                  <w:rStyle w:val="InternetLink"/>
                  <w:rFonts w:ascii="Arial" w:hAnsi="Arial"/>
                  <w:b w:val="false"/>
                  <w:sz w:val="20"/>
                  <w:u w:val="single"/>
                </w:rPr>
                <w:t>Condensed Consolidated Statements of Cash Flows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firstLine="137"/>
              <w:jc w:val="right"/>
              <w:rPr>
                <w:rFonts w:ascii="Arial" w:hAnsi="Arial"/>
                <w:b w:val="false"/>
                <w:sz w:val="20"/>
              </w:rPr>
            </w:pPr>
            <w:r>
              <w:rPr>
                <w:rFonts w:ascii="Arial" w:hAnsi="Arial"/>
                <w:b w:val="false"/>
                <w:sz w:val="20"/>
              </w:rPr>
              <w:t>7</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137"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nots_to_condensed">
              <w:r>
                <w:rPr>
                  <w:rStyle w:val="InternetLink"/>
                  <w:rFonts w:ascii="Arial" w:hAnsi="Arial"/>
                  <w:b w:val="false"/>
                  <w:sz w:val="20"/>
                  <w:u w:val="single"/>
                </w:rPr>
                <w:t>Notes to Condensed Consolidated Financial Statements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management">
              <w:r>
                <w:rPr>
                  <w:rStyle w:val="InternetLink"/>
                  <w:rFonts w:ascii="Arial" w:hAnsi="Arial"/>
                  <w:b w:val="false"/>
                  <w:sz w:val="20"/>
                  <w:u w:val="single"/>
                </w:rPr>
                <w:t>Item 2.</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_management">
              <w:r>
                <w:rPr>
                  <w:rStyle w:val="InternetLink"/>
                  <w:rFonts w:ascii="Arial" w:hAnsi="Arial"/>
                  <w:b w:val="false"/>
                  <w:sz w:val="20"/>
                  <w:u w:val="single"/>
                </w:rPr>
                <w:t>Management’s Discussion and Analysis of Financial Condition and Results of Operations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quantitative">
              <w:r>
                <w:rPr>
                  <w:rStyle w:val="InternetLink"/>
                  <w:rFonts w:ascii="Arial" w:hAnsi="Arial"/>
                  <w:b w:val="false"/>
                  <w:sz w:val="20"/>
                  <w:u w:val="single"/>
                </w:rPr>
                <w:t>Item 3.</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_quantitative">
              <w:bookmarkStart w:id="2" w:name="item_3_wantitative"/>
              <w:bookmarkEnd w:id="2"/>
              <w:r>
                <w:rPr>
                  <w:rStyle w:val="InternetLink"/>
                  <w:rFonts w:ascii="Arial" w:hAnsi="Arial"/>
                  <w:b w:val="false"/>
                  <w:sz w:val="20"/>
                  <w:u w:val="single"/>
                </w:rPr>
                <w:t>Quantitative and Qualitative Disclosures About Market Risk</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
              <w:r>
                <w:rPr>
                  <w:rStyle w:val="InternetLink"/>
                  <w:rFonts w:ascii="Arial" w:hAnsi="Arial"/>
                  <w:b w:val="false"/>
                  <w:sz w:val="20"/>
                  <w:u w:val="single"/>
                </w:rPr>
                <w:t>Item 4.</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
              <w:r>
                <w:rPr>
                  <w:rStyle w:val="InternetLink"/>
                  <w:rFonts w:ascii="Arial" w:hAnsi="Arial"/>
                  <w:b w:val="false"/>
                  <w:sz w:val="20"/>
                  <w:u w:val="single"/>
                </w:rPr>
                <w:t>Controls and Procedures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pPr>
            <w:r>
              <w:rPr/>
              <w:t> </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other_info">
              <w:r>
                <w:rPr>
                  <w:rStyle w:val="InternetLink"/>
                  <w:rFonts w:ascii="Arial" w:hAnsi="Arial"/>
                  <w:b w:val="false"/>
                  <w:sz w:val="20"/>
                  <w:u w:val="single"/>
                </w:rPr>
                <w:t>PART II.</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other_info">
              <w:r>
                <w:rPr>
                  <w:rStyle w:val="InternetLink"/>
                  <w:rFonts w:ascii="Arial" w:hAnsi="Arial"/>
                  <w:b w:val="false"/>
                  <w:sz w:val="20"/>
                  <w:u w:val="single"/>
                </w:rPr>
                <w:t>OTHER INFORMATION</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
              <w:r>
                <w:rPr>
                  <w:rStyle w:val="InternetLink"/>
                  <w:rFonts w:ascii="Arial" w:hAnsi="Arial"/>
                  <w:b w:val="false"/>
                  <w:sz w:val="20"/>
                  <w:u w:val="single"/>
                </w:rPr>
                <w:t>Item 1.</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
              <w:r>
                <w:rPr>
                  <w:rStyle w:val="InternetLink"/>
                  <w:rFonts w:ascii="Arial" w:hAnsi="Arial"/>
                  <w:b w:val="false"/>
                  <w:sz w:val="20"/>
                  <w:u w:val="single"/>
                </w:rPr>
                <w:t>Legal Proceedings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
              <w:r>
                <w:rPr>
                  <w:rStyle w:val="InternetLink"/>
                  <w:rFonts w:ascii="Arial" w:hAnsi="Arial"/>
                  <w:b w:val="false"/>
                  <w:sz w:val="20"/>
                  <w:u w:val="single"/>
                </w:rPr>
                <w:t>Item 1A.</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1a">
              <w:r>
                <w:rPr>
                  <w:rStyle w:val="InternetLink"/>
                  <w:rFonts w:ascii="Arial" w:hAnsi="Arial"/>
                  <w:b w:val="false"/>
                  <w:sz w:val="20"/>
                  <w:u w:val="single"/>
                </w:rPr>
                <w:t>Risk Factors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
              <w:r>
                <w:rPr>
                  <w:rStyle w:val="InternetLink"/>
                  <w:rFonts w:ascii="Arial" w:hAnsi="Arial"/>
                  <w:b w:val="false"/>
                  <w:sz w:val="20"/>
                  <w:u w:val="single"/>
                </w:rPr>
                <w:t>Item 2.</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2">
              <w:r>
                <w:rPr>
                  <w:rStyle w:val="InternetLink"/>
                  <w:rFonts w:ascii="Arial" w:hAnsi="Arial"/>
                  <w:b w:val="false"/>
                  <w:sz w:val="20"/>
                  <w:u w:val="single"/>
                </w:rPr>
                <w:t>Unregistered Sales of Equity Securities and Use of Proceeds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
              <w:r>
                <w:rPr>
                  <w:rStyle w:val="InternetLink"/>
                  <w:rFonts w:ascii="Arial" w:hAnsi="Arial"/>
                  <w:b w:val="false"/>
                  <w:sz w:val="20"/>
                  <w:u w:val="single"/>
                </w:rPr>
                <w:t>Item 3.</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3">
              <w:r>
                <w:rPr>
                  <w:rStyle w:val="InternetLink"/>
                  <w:rFonts w:ascii="Arial" w:hAnsi="Arial"/>
                  <w:b w:val="false"/>
                  <w:sz w:val="20"/>
                  <w:u w:val="single"/>
                </w:rPr>
                <w:t>Defaults Upon Senior Securities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
              <w:r>
                <w:rPr>
                  <w:rStyle w:val="InternetLink"/>
                  <w:rFonts w:ascii="Arial" w:hAnsi="Arial"/>
                  <w:b w:val="false"/>
                  <w:sz w:val="20"/>
                  <w:u w:val="single"/>
                </w:rPr>
                <w:t>Item 4.</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4_mine">
              <w:r>
                <w:rPr>
                  <w:rStyle w:val="InternetLink"/>
                  <w:rFonts w:ascii="Arial" w:hAnsi="Arial"/>
                  <w:b w:val="false"/>
                  <w:sz w:val="20"/>
                  <w:u w:val="single"/>
                </w:rPr>
                <w:t>Mine Safety Disclosures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
              <w:r>
                <w:rPr>
                  <w:rStyle w:val="InternetLink"/>
                  <w:rFonts w:ascii="Arial" w:hAnsi="Arial"/>
                  <w:b w:val="false"/>
                  <w:sz w:val="20"/>
                  <w:u w:val="single"/>
                </w:rPr>
                <w:t>Item 5.</w:t>
              </w:r>
            </w:hyperlink>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item_5">
              <w:r>
                <w:rPr>
                  <w:rStyle w:val="InternetLink"/>
                  <w:rFonts w:ascii="Arial" w:hAnsi="Arial"/>
                  <w:b w:val="false"/>
                  <w:sz w:val="20"/>
                  <w:u w:val="single"/>
                </w:rPr>
                <w:t>Other Information</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w:t>
            </w:r>
          </w:p>
        </w:tc>
      </w:tr>
      <w:tr>
        <w:trPr/>
        <w:tc>
          <w:tcPr>
            <w:tcW w:w="80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exhibits">
              <w:r>
                <w:rPr>
                  <w:rStyle w:val="InternetLink"/>
                  <w:rFonts w:ascii="Arial" w:hAnsi="Arial"/>
                  <w:b w:val="false"/>
                  <w:sz w:val="20"/>
                  <w:u w:val="single"/>
                </w:rPr>
                <w:t>Item 6</w:t>
              </w:r>
            </w:hyperlink>
            <w:r>
              <w:rPr>
                <w:rFonts w:ascii="Arial" w:hAnsi="Arial"/>
                <w:b w:val="false"/>
                <w:sz w:val="20"/>
              </w:rPr>
              <w:t>.</w:t>
            </w:r>
          </w:p>
        </w:tc>
        <w:tc>
          <w:tcPr>
            <w:tcW w:w="878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exhibits">
              <w:r>
                <w:rPr>
                  <w:rStyle w:val="InternetLink"/>
                  <w:rFonts w:ascii="Arial" w:hAnsi="Arial"/>
                  <w:b w:val="false"/>
                  <w:sz w:val="20"/>
                  <w:u w:val="single"/>
                </w:rPr>
                <w:t>Exhibits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r>
      <w:tr>
        <w:trPr/>
        <w:tc>
          <w:tcPr>
            <w:tcW w:w="9588" w:type="dxa"/>
            <w:gridSpan w:val="2"/>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signatures">
              <w:r>
                <w:rPr>
                  <w:rStyle w:val="InternetLink"/>
                  <w:rFonts w:ascii="Arial" w:hAnsi="Arial"/>
                  <w:b w:val="false"/>
                  <w:sz w:val="20"/>
                  <w:u w:val="single"/>
                </w:rPr>
                <w:t>Signatures</w:t>
              </w:r>
            </w:hyperlink>
          </w:p>
        </w:tc>
        <w:tc>
          <w:tcPr>
            <w:tcW w:w="61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w:t>
            </w:r>
          </w:p>
        </w:tc>
      </w:tr>
    </w:tbl>
    <w:p>
      <w:pPr>
        <w:pStyle w:val="TextBody"/>
        <w:spacing w:lineRule="auto" w:line="273" w:before="0" w:after="0"/>
        <w:jc w:val="left"/>
        <w:rPr/>
      </w:pPr>
      <w:r>
        <w:rPr/>
        <w:t> </w:t>
      </w:r>
    </w:p>
    <w:p>
      <w:pPr>
        <w:pStyle w:val="TextBody"/>
        <w:spacing w:lineRule="auto" w:line="273" w:before="0" w:after="0"/>
        <w:jc w:val="center"/>
        <w:rPr/>
      </w:pPr>
      <w:r>
        <w:rPr/>
        <w:t> </w:t>
      </w:r>
    </w:p>
    <w:p>
      <w:pPr>
        <w:pStyle w:val="HorizontalLine"/>
        <w:rPr/>
      </w:pPr>
      <w:r>
        <w:rPr/>
      </w:r>
    </w:p>
    <w:p>
      <w:pPr>
        <w:pStyle w:val="TextBody"/>
        <w:spacing w:lineRule="auto" w:line="273" w:before="0" w:after="0"/>
        <w:jc w:val="left"/>
        <w:rPr/>
      </w:pPr>
      <w:r>
        <w:rPr/>
        <w:t> </w:t>
      </w:r>
    </w:p>
    <w:p>
      <w:pPr>
        <w:pStyle w:val="TextBody"/>
        <w:spacing w:lineRule="auto" w:line="273" w:before="200" w:after="200"/>
        <w:jc w:val="center"/>
        <w:rPr>
          <w:rFonts w:ascii="Times New Roman" w:hAnsi="Times New Roman"/>
          <w:sz w:val="20"/>
        </w:rPr>
      </w:pPr>
      <w:bookmarkStart w:id="3" w:name="special_note_regarding"/>
      <w:bookmarkEnd w:id="3"/>
      <w:r>
        <w:rPr>
          <w:rFonts w:ascii="Arial" w:hAnsi="Arial"/>
          <w:b/>
          <w:sz w:val="20"/>
        </w:rPr>
        <w:t>SPECIAL NOTE REGARDING FORWARD-LOOKING STATEMENTS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This Quarterly Report on Form 10-Q, as well as information included in oral statements or other written statements made or to be made by us, contains forward-looking statements within the meaning of Section 27A of the Securities Act of 1933, as amended,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“believe,” “may,” “will,” “potentially,” “estimate,” “continue,” “anticipate,” “intend,” “could,” “would,” “project,” “target,” “plan,” “expect,” or the negative of these terms or other similar expressions. These forward-looking statements include, but are not limited to, statements concerning the following:</w:t>
      </w:r>
      <w:r>
        <w:rPr>
          <w:rFonts w:ascii="Times New Roman" w:hAnsi="Times New Roman"/>
          <w:sz w:val="20"/>
        </w:rPr>
        <w:t xml:space="preserve">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business plan and our ability to effectively manage our growth;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cross-border expansion plans and ability to expand internationally;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anticipated trends, growth rates, and challenges in our business and in the markets in which we operate;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the sufficiency of our cash and cash equivalents to meet our liquidity needs;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political, economic, legal, social and health risks, including the COVID-19 pandemic and subsequent public health measures that may affect our business or the global economy;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beliefs and objectives for future operations;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develop and protect our brand;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maintain and grow the payment volume that we process;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further attract, retain, and expand our client base;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develop new solutions and services and bring them to market in a timely manner;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expectations concerning relationships with third parties, including strategic partners;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the effects of increased competition in our markets and our ability to compete effectively;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future acquisitions or investments in complementary companies, products, services, or technologies;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enter new client verticals, including our relatively new business-to-business sector;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expectations regarding anticipated technology needs and developments and our ability to address those needs and developments with our solutions;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expectations regarding litigation and legal and regulatory matters;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expectations regarding our ability to meet existing performance obligations and maintain the operability of our solutions;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expectations regarding the effects of existing and developing laws and regulations, including with respect to payments and financial services, taxation, privacy and data protection;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economic and industry trends, projected growth, or trend analysis;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attract and retain qualified employees;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w:t>
      </w:r>
    </w:p>
    <w:p>
      <w:pPr>
        <w:pStyle w:val="HorizontalLine"/>
        <w:rPr/>
      </w:pPr>
      <w:r>
        <w:rPr/>
      </w:r>
    </w:p>
    <w:p>
      <w:pPr>
        <w:pStyle w:val="TextBody"/>
        <w:spacing w:lineRule="auto" w:line="273" w:before="0" w:after="0"/>
        <w:jc w:val="left"/>
        <w:rPr/>
      </w:pPr>
      <w:r>
        <w:rPr/>
        <w:t>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maintain, protect, and enhance our intellectual property;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our ability to maintain the security and availability of our solutions;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the increased expenses associated with being a public company; and </w:t>
      </w:r>
    </w:p>
    <w:p>
      <w:pPr>
        <w:pStyle w:val="TextBody"/>
        <w:spacing w:lineRule="auto" w:line="273" w:before="200" w:after="120"/>
        <w:jc w:val="left"/>
        <w:rPr/>
      </w:pPr>
      <w:r>
        <w:rPr/>
        <w:t>•</w:t>
      </w:r>
    </w:p>
    <w:p>
      <w:pPr>
        <w:pStyle w:val="TextBody"/>
        <w:spacing w:lineRule="auto" w:line="273" w:before="200" w:after="120"/>
        <w:jc w:val="left"/>
        <w:rPr>
          <w:rFonts w:ascii="Arial" w:hAnsi="Arial"/>
          <w:b w:val="false"/>
          <w:sz w:val="20"/>
        </w:rPr>
      </w:pPr>
      <w:r>
        <w:rPr>
          <w:rFonts w:ascii="Arial" w:hAnsi="Arial"/>
          <w:b w:val="false"/>
          <w:sz w:val="20"/>
        </w:rPr>
        <w:t xml:space="preserve">the future market price of our common stock. </w:t>
      </w:r>
    </w:p>
    <w:p>
      <w:pPr>
        <w:pStyle w:val="TextBody"/>
        <w:spacing w:lineRule="auto" w:line="273" w:before="200" w:after="200"/>
        <w:jc w:val="left"/>
        <w:rPr>
          <w:rFonts w:ascii="Times New Roman" w:hAnsi="Times New Roman"/>
          <w:sz w:val="20"/>
        </w:rPr>
      </w:pPr>
      <w:r>
        <w:rPr>
          <w:rFonts w:ascii="Arial" w:hAnsi="Arial"/>
          <w:b w:val="false"/>
          <w:sz w:val="20"/>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Quarterly Report on Form 10-Q. Other sections of this Quarterly Report on Form 10-Q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Unless otherwise noted or unless the context provides otherwise, all references in this Quarterly Report on Form 10-Q to our “common stock” refers to our voting common stock.</w:t>
      </w:r>
    </w:p>
    <w:p>
      <w:pPr>
        <w:pStyle w:val="TextBody"/>
        <w:spacing w:lineRule="auto" w:line="273" w:before="200" w:after="200"/>
        <w:jc w:val="left"/>
        <w:rPr>
          <w:rFonts w:ascii="Arial" w:hAnsi="Arial"/>
          <w:b w:val="false"/>
          <w:sz w:val="20"/>
        </w:rPr>
      </w:pPr>
      <w:r>
        <w:rPr>
          <w:rFonts w:ascii="Arial" w:hAnsi="Arial"/>
          <w:b w:val="false"/>
          <w:sz w:val="20"/>
        </w:rPr>
        <w:t>Investors, the media, and others should note that we intend to announce material information to the public through filings with the Securities and Exchange Commission,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contents of our website are not incorporated into this filing. We have included our investor relations website address only as an inactive textual reference and do not intend it to be an active link to our website.</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Arial" w:hAnsi="Arial"/>
          <w:b/>
          <w:sz w:val="20"/>
        </w:rPr>
      </w:pPr>
      <w:bookmarkStart w:id="4" w:name="part_i_financial_information"/>
      <w:bookmarkEnd w:id="4"/>
      <w:r>
        <w:rPr>
          <w:rFonts w:ascii="Arial" w:hAnsi="Arial"/>
          <w:b/>
          <w:sz w:val="20"/>
        </w:rPr>
        <w:t>PART I—FINANCIAL INFORMATION</w:t>
      </w:r>
    </w:p>
    <w:p>
      <w:pPr>
        <w:pStyle w:val="TextBody"/>
        <w:spacing w:lineRule="auto" w:line="273" w:before="120" w:after="0"/>
        <w:jc w:val="left"/>
        <w:rPr>
          <w:rFonts w:ascii="Arial" w:hAnsi="Arial"/>
          <w:b/>
          <w:sz w:val="20"/>
        </w:rPr>
      </w:pPr>
      <w:bookmarkStart w:id="5" w:name="item_1_financial_statements"/>
      <w:bookmarkEnd w:id="5"/>
      <w:r>
        <w:rPr>
          <w:rFonts w:ascii="Arial" w:hAnsi="Arial"/>
          <w:b/>
          <w:sz w:val="20"/>
        </w:rPr>
        <w:t>Item 1. Financial Statements</w:t>
      </w:r>
    </w:p>
    <w:p>
      <w:pPr>
        <w:pStyle w:val="TextBody"/>
        <w:spacing w:lineRule="auto" w:line="273" w:before="120" w:after="0"/>
        <w:jc w:val="center"/>
        <w:rPr>
          <w:rFonts w:ascii="Times New Roman" w:hAnsi="Times New Roman"/>
          <w:sz w:val="20"/>
        </w:rPr>
      </w:pPr>
      <w:r>
        <w:rPr>
          <w:rFonts w:ascii="Arial" w:hAnsi="Arial"/>
          <w:b/>
          <w:sz w:val="20"/>
        </w:rPr>
        <w:t>FLYWIRE CORPORATION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6" w:name="condensed_balance_sheets"/>
      <w:bookmarkEnd w:id="6"/>
      <w:r>
        <w:rPr>
          <w:rFonts w:ascii="Arial" w:hAnsi="Arial"/>
          <w:b/>
          <w:sz w:val="20"/>
        </w:rPr>
        <w:t>CONDENSED CONSOLIDATED BALANCE SHEETS</w:t>
      </w:r>
      <w:r>
        <w:rPr>
          <w:rFonts w:ascii="Times New Roman" w:hAnsi="Times New Roman"/>
          <w:sz w:val="20"/>
        </w:rPr>
        <w:t xml:space="preserve"> </w:t>
      </w:r>
    </w:p>
    <w:p>
      <w:pPr>
        <w:pStyle w:val="TextBody"/>
        <w:spacing w:lineRule="auto" w:line="273" w:before="0" w:after="0"/>
        <w:jc w:val="center"/>
        <w:rPr>
          <w:rFonts w:ascii="Arial" w:hAnsi="Arial"/>
          <w:b w:val="false"/>
          <w:sz w:val="20"/>
        </w:rPr>
      </w:pPr>
      <w:r>
        <w:rPr>
          <w:rFonts w:ascii="Arial" w:hAnsi="Arial"/>
          <w:b w:val="false"/>
          <w:sz w:val="20"/>
        </w:rPr>
        <w:t>(Unaudited) (Amounts in thousands, except share and per share amounts)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6744"/>
        <w:gridCol w:w="146"/>
        <w:gridCol w:w="211"/>
        <w:gridCol w:w="856"/>
        <w:gridCol w:w="166"/>
        <w:gridCol w:w="146"/>
        <w:gridCol w:w="230"/>
        <w:gridCol w:w="934"/>
        <w:gridCol w:w="772"/>
      </w:tblGrid>
      <w:tr>
        <w:trPr/>
        <w:tc>
          <w:tcPr>
            <w:tcW w:w="67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r>
      <w:tr>
        <w:trPr/>
        <w:tc>
          <w:tcPr>
            <w:tcW w:w="6744"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br/>
              <w:t>2021</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sz w:val="19"/>
              </w:rPr>
            </w:pPr>
            <w:r>
              <w:rPr>
                <w:rFonts w:ascii="Arial" w:hAnsi="Arial"/>
                <w:b/>
                <w:sz w:val="19"/>
              </w:rPr>
              <w:t>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shd w:fill="auto" w:val="clear"/>
            <w:vAlign w:val="center"/>
          </w:tcPr>
          <w:p>
            <w:pPr>
              <w:pStyle w:val="TableContents"/>
              <w:spacing w:lineRule="auto" w:line="252" w:before="0" w:after="0"/>
              <w:ind w:left="0" w:right="0" w:hanging="0"/>
              <w:jc w:val="right"/>
              <w:rPr/>
            </w:pPr>
            <w:r>
              <w:rPr/>
              <w:t> </w:t>
            </w:r>
          </w:p>
        </w:tc>
        <w:tc>
          <w:tcPr>
            <w:tcW w:w="772" w:type="dxa"/>
            <w:tcBorders/>
            <w:shd w:fill="auto" w:val="clear"/>
            <w:vAlign w:val="center"/>
          </w:tcPr>
          <w:p>
            <w:pPr>
              <w:pStyle w:val="TableContents"/>
              <w:spacing w:lineRule="auto" w:line="252" w:before="0" w:after="0"/>
              <w:ind w:left="0" w:right="0" w:hanging="0"/>
              <w:jc w:val="righ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shd w:fill="auto" w:val="clear"/>
            <w:vAlign w:val="center"/>
          </w:tcPr>
          <w:p>
            <w:pPr>
              <w:pStyle w:val="TableContents"/>
              <w:spacing w:lineRule="auto" w:line="252" w:before="0" w:after="0"/>
              <w:ind w:left="0" w:right="0" w:hanging="0"/>
              <w:jc w:val="right"/>
              <w:rPr/>
            </w:pPr>
            <w:r>
              <w:rPr/>
              <w:t> </w:t>
            </w:r>
          </w:p>
        </w:tc>
        <w:tc>
          <w:tcPr>
            <w:tcW w:w="772" w:type="dxa"/>
            <w:tcBorders/>
            <w:shd w:fill="auto" w:val="clear"/>
            <w:vAlign w:val="center"/>
          </w:tcPr>
          <w:p>
            <w:pPr>
              <w:pStyle w:val="TableContents"/>
              <w:spacing w:lineRule="auto" w:line="252" w:before="0" w:after="0"/>
              <w:ind w:left="0" w:right="0" w:firstLine="280"/>
              <w:jc w:val="righ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365,745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385,360</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4,000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4,000</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Times New Roman" w:hAnsi="Times New Roman"/>
                <w:sz w:val="20"/>
              </w:rPr>
            </w:pPr>
            <w:r>
              <w:rPr>
                <w:rFonts w:ascii="Arial" w:hAnsi="Arial"/>
                <w:b w:val="false"/>
                <w:sz w:val="19"/>
              </w:rPr>
              <w:t>Accounts receivable, net of allowance for doubtful accounts of $101</w:t>
            </w:r>
            <w:r>
              <w:rPr>
                <w:rFonts w:ascii="Times New Roman" w:hAnsi="Times New Roman"/>
                <w:sz w:val="20"/>
              </w:rPr>
              <w:t> </w:t>
            </w:r>
            <w:r>
              <w:rPr>
                <w:rFonts w:ascii="Arial" w:hAnsi="Arial"/>
                <w:b w:val="false"/>
                <w:sz w:val="19"/>
              </w:rPr>
              <w:t xml:space="preserve">and </w:t>
              <w:br/>
              <w:t>   $106, respectively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13,787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12,968</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Unbilled receivables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2,211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3,340</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Funds receivable from payment partners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19,153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28,286</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8,725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9,834</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6744" w:type="dxa"/>
            <w:tcBorders/>
            <w:shd w:fill="auto" w:val="clear"/>
            <w:vAlign w:val="center"/>
          </w:tcPr>
          <w:p>
            <w:pPr>
              <w:pStyle w:val="TableContents"/>
              <w:spacing w:lineRule="auto" w:line="252" w:before="0" w:after="0"/>
              <w:ind w:left="560" w:right="0" w:hanging="0"/>
              <w:jc w:val="left"/>
              <w:rPr>
                <w:rFonts w:ascii="Arial" w:hAnsi="Arial"/>
                <w:b w:val="false"/>
                <w:sz w:val="19"/>
              </w:rPr>
            </w:pPr>
            <w:r>
              <w:rPr>
                <w:rFonts w:ascii="Arial" w:hAnsi="Arial"/>
                <w:b w:val="false"/>
                <w:sz w:val="19"/>
              </w:rPr>
              <w:t>Total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413,621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443,788</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10,080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9,442</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Intangible assets,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90,542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93,598</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84,666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85,841</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Other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10,638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7,176</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6744" w:type="dxa"/>
            <w:tcBorders/>
            <w:shd w:fill="auto" w:val="clear"/>
            <w:vAlign w:val="center"/>
          </w:tcPr>
          <w:p>
            <w:pPr>
              <w:pStyle w:val="TableContents"/>
              <w:spacing w:lineRule="auto" w:line="252" w:before="0" w:after="0"/>
              <w:ind w:left="560" w:right="0" w:hanging="0"/>
              <w:jc w:val="left"/>
              <w:rPr>
                <w:rFonts w:ascii="Arial" w:hAnsi="Arial"/>
                <w:b w:val="false"/>
                <w:sz w:val="19"/>
              </w:rPr>
            </w:pPr>
            <w:r>
              <w:rPr>
                <w:rFonts w:ascii="Arial" w:hAnsi="Arial"/>
                <w:b w:val="false"/>
                <w:sz w:val="19"/>
              </w:rPr>
              <w:t>Total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609,547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639,845</w:t>
            </w:r>
          </w:p>
        </w:tc>
        <w:tc>
          <w:tcPr>
            <w:tcW w:w="7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sz w:val="19"/>
              </w:rPr>
            </w:pPr>
            <w:r>
              <w:rPr>
                <w:rFonts w:ascii="Arial" w:hAnsi="Arial"/>
                <w:b/>
                <w:sz w:val="19"/>
              </w:rPr>
              <w:t>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shd w:fill="auto" w:val="clear"/>
            <w:vAlign w:val="center"/>
          </w:tcPr>
          <w:p>
            <w:pPr>
              <w:pStyle w:val="TableContents"/>
              <w:spacing w:lineRule="auto" w:line="252" w:before="0" w:after="0"/>
              <w:ind w:left="0" w:right="0" w:hanging="0"/>
              <w:jc w:val="right"/>
              <w:rPr/>
            </w:pPr>
            <w:r>
              <w:rPr/>
              <w:t> </w:t>
            </w:r>
          </w:p>
        </w:tc>
        <w:tc>
          <w:tcPr>
            <w:tcW w:w="772" w:type="dxa"/>
            <w:tcBorders/>
            <w:shd w:fill="auto" w:val="clear"/>
            <w:vAlign w:val="center"/>
          </w:tcPr>
          <w:p>
            <w:pPr>
              <w:pStyle w:val="TableContents"/>
              <w:spacing w:lineRule="auto" w:line="252" w:before="0" w:after="0"/>
              <w:ind w:left="0" w:right="0" w:hanging="0"/>
              <w:jc w:val="righ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shd w:fill="auto" w:val="clear"/>
            <w:vAlign w:val="center"/>
          </w:tcPr>
          <w:p>
            <w:pPr>
              <w:pStyle w:val="TableContents"/>
              <w:spacing w:lineRule="auto" w:line="252" w:before="0" w:after="0"/>
              <w:ind w:left="0" w:right="0" w:hanging="0"/>
              <w:jc w:val="right"/>
              <w:rPr/>
            </w:pPr>
            <w:r>
              <w:rPr/>
              <w:t> </w:t>
            </w:r>
          </w:p>
        </w:tc>
        <w:tc>
          <w:tcPr>
            <w:tcW w:w="772" w:type="dxa"/>
            <w:tcBorders/>
            <w:shd w:fill="auto" w:val="clear"/>
            <w:vAlign w:val="center"/>
          </w:tcPr>
          <w:p>
            <w:pPr>
              <w:pStyle w:val="TableContents"/>
              <w:spacing w:lineRule="auto" w:line="252" w:before="0" w:after="0"/>
              <w:ind w:left="0" w:right="0" w:firstLine="280"/>
              <w:jc w:val="righ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8,764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10,242</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Funds payable to clients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54,928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71,302</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21,588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22,726</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5,312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5,488</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Arial" w:hAnsi="Arial"/>
                <w:b w:val="false"/>
                <w:sz w:val="19"/>
              </w:rPr>
            </w:pPr>
            <w:r>
              <w:rPr>
                <w:rFonts w:ascii="Arial" w:hAnsi="Arial"/>
                <w:b w:val="false"/>
                <w:sz w:val="19"/>
              </w:rPr>
              <w:t>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656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7,719</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6744" w:type="dxa"/>
            <w:tcBorders/>
            <w:shd w:fill="auto" w:val="clear"/>
            <w:vAlign w:val="center"/>
          </w:tcPr>
          <w:p>
            <w:pPr>
              <w:pStyle w:val="TableContents"/>
              <w:spacing w:lineRule="auto" w:line="252" w:before="0" w:after="0"/>
              <w:ind w:left="560" w:right="0" w:hanging="0"/>
              <w:jc w:val="left"/>
              <w:rPr>
                <w:rFonts w:ascii="Arial" w:hAnsi="Arial"/>
                <w:b w:val="false"/>
                <w:sz w:val="19"/>
              </w:rPr>
            </w:pPr>
            <w:r>
              <w:rPr>
                <w:rFonts w:ascii="Arial" w:hAnsi="Arial"/>
                <w:b w:val="false"/>
                <w:sz w:val="19"/>
              </w:rPr>
              <w:t>Total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91,248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117,477</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8,147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8,401</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Contingent consideration, net of current portion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2,644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3,590</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Long-term debt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25,939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25,939</w:t>
            </w:r>
          </w:p>
        </w:tc>
        <w:tc>
          <w:tcPr>
            <w:tcW w:w="772" w:type="dxa"/>
            <w:tcBorders/>
            <w:shd w:fill="auto" w:val="cle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3,452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2,237</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6744" w:type="dxa"/>
            <w:tcBorders/>
            <w:shd w:fill="auto" w:val="clear"/>
            <w:vAlign w:val="center"/>
          </w:tcPr>
          <w:p>
            <w:pPr>
              <w:pStyle w:val="TableContents"/>
              <w:spacing w:lineRule="auto" w:line="252" w:before="0" w:after="0"/>
              <w:ind w:left="560" w:right="0" w:hanging="0"/>
              <w:jc w:val="left"/>
              <w:rPr>
                <w:rFonts w:ascii="Arial" w:hAnsi="Arial"/>
                <w:b w:val="false"/>
                <w:sz w:val="19"/>
              </w:rPr>
            </w:pPr>
            <w:r>
              <w:rPr>
                <w:rFonts w:ascii="Arial" w:hAnsi="Arial"/>
                <w:b w:val="false"/>
                <w:sz w:val="19"/>
              </w:rPr>
              <w:t>Total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131,430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157,644</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Commitments and contingencies (Note 15)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shd w:fill="auto" w:val="clear"/>
            <w:vAlign w:val="center"/>
          </w:tcPr>
          <w:p>
            <w:pPr>
              <w:pStyle w:val="TableContents"/>
              <w:spacing w:lineRule="auto" w:line="252" w:before="0" w:after="0"/>
              <w:ind w:left="0" w:right="0" w:hanging="0"/>
              <w:jc w:val="right"/>
              <w:rPr/>
            </w:pPr>
            <w:r>
              <w:rPr/>
              <w:t> </w:t>
            </w:r>
          </w:p>
        </w:tc>
        <w:tc>
          <w:tcPr>
            <w:tcW w:w="772" w:type="dxa"/>
            <w:tcBorders/>
            <w:shd w:fill="auto" w:val="clear"/>
            <w:vAlign w:val="center"/>
          </w:tcPr>
          <w:p>
            <w:pPr>
              <w:pStyle w:val="TableContents"/>
              <w:spacing w:lineRule="auto" w:line="252" w:before="0" w:after="0"/>
              <w:ind w:left="0" w:right="0" w:hanging="0"/>
              <w:jc w:val="right"/>
              <w:rPr/>
            </w:pPr>
            <w:r>
              <w:rPr/>
              <w:t> </w:t>
            </w:r>
          </w:p>
        </w:tc>
      </w:tr>
      <w:tr>
        <w:trPr/>
        <w:tc>
          <w:tcPr>
            <w:tcW w:w="6744"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7"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64" w:type="dxa"/>
            <w:gridSpan w:val="2"/>
            <w:tcBorders/>
            <w:shd w:fill="auto" w:val="clear"/>
            <w:vAlign w:val="center"/>
          </w:tcPr>
          <w:p>
            <w:pPr>
              <w:pStyle w:val="TableContents"/>
              <w:spacing w:lineRule="auto" w:line="252" w:before="0" w:after="0"/>
              <w:ind w:left="0" w:right="0" w:hanging="0"/>
              <w:jc w:val="right"/>
              <w:rPr/>
            </w:pPr>
            <w:r>
              <w:rPr/>
              <w:t> </w:t>
            </w:r>
          </w:p>
        </w:tc>
        <w:tc>
          <w:tcPr>
            <w:tcW w:w="772" w:type="dxa"/>
            <w:tcBorders/>
            <w:shd w:fill="auto" w:val="clear"/>
            <w:vAlign w:val="center"/>
          </w:tcPr>
          <w:p>
            <w:pPr>
              <w:pStyle w:val="TableContents"/>
              <w:spacing w:lineRule="auto" w:line="252" w:before="0" w:after="0"/>
              <w:ind w:left="0" w:right="0" w:firstLine="280"/>
              <w:jc w:val="righ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Times New Roman" w:hAnsi="Times New Roman"/>
                <w:sz w:val="20"/>
              </w:rPr>
            </w:pPr>
            <w:r>
              <w:rPr>
                <w:rFonts w:ascii="Arial" w:hAnsi="Arial"/>
                <w:b w:val="false"/>
                <w:sz w:val="19"/>
              </w:rPr>
              <w:t>Preferred stock, $0.0001</w:t>
            </w:r>
            <w:r>
              <w:rPr>
                <w:rFonts w:ascii="Times New Roman" w:hAnsi="Times New Roman"/>
                <w:sz w:val="20"/>
              </w:rPr>
              <w:t> </w:t>
            </w:r>
            <w:r>
              <w:rPr>
                <w:rFonts w:ascii="Arial" w:hAnsi="Arial"/>
                <w:b w:val="false"/>
                <w:sz w:val="19"/>
              </w:rPr>
              <w:t>par value; 10,000,000</w:t>
            </w:r>
            <w:r>
              <w:rPr>
                <w:rFonts w:ascii="Times New Roman" w:hAnsi="Times New Roman"/>
                <w:sz w:val="20"/>
              </w:rPr>
              <w:t> </w:t>
            </w:r>
            <w:r>
              <w:rPr>
                <w:rFonts w:ascii="Arial" w:hAnsi="Arial"/>
                <w:b w:val="false"/>
                <w:sz w:val="19"/>
              </w:rPr>
              <w:t xml:space="preserve">shares authorized as </w:t>
              <w:br/>
              <w:t>   of March 31, 2022 and December 31, 2021; and no</w:t>
            </w:r>
            <w:r>
              <w:rPr>
                <w:rFonts w:ascii="Times New Roman" w:hAnsi="Times New Roman"/>
                <w:sz w:val="20"/>
              </w:rPr>
              <w:t> </w:t>
            </w:r>
            <w:r>
              <w:rPr>
                <w:rFonts w:ascii="Arial" w:hAnsi="Arial"/>
                <w:b w:val="false"/>
                <w:sz w:val="19"/>
              </w:rPr>
              <w:t xml:space="preserve">shares issued </w:t>
              <w:br/>
              <w:t>   and outstanding as of March 31, 2022 and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pPr>
            <w:r>
              <w:rPr/>
              <w:t>—</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Times New Roman" w:hAnsi="Times New Roman"/>
                <w:sz w:val="20"/>
              </w:rPr>
            </w:pPr>
            <w:r>
              <w:rPr>
                <w:rFonts w:ascii="Arial" w:hAnsi="Arial"/>
                <w:b w:val="false"/>
                <w:sz w:val="19"/>
              </w:rPr>
              <w:t>Voting common stock, $0.0001</w:t>
            </w:r>
            <w:r>
              <w:rPr>
                <w:rFonts w:ascii="Times New Roman" w:hAnsi="Times New Roman"/>
                <w:sz w:val="20"/>
              </w:rPr>
              <w:t> </w:t>
            </w:r>
            <w:r>
              <w:rPr>
                <w:rFonts w:ascii="Arial" w:hAnsi="Arial"/>
                <w:b w:val="false"/>
                <w:sz w:val="19"/>
              </w:rPr>
              <w:t>par value; 2,000,000,000</w:t>
            </w:r>
            <w:r>
              <w:rPr>
                <w:rFonts w:ascii="Times New Roman" w:hAnsi="Times New Roman"/>
                <w:sz w:val="20"/>
              </w:rPr>
              <w:t> </w:t>
            </w:r>
            <w:r>
              <w:rPr>
                <w:rFonts w:ascii="Arial" w:hAnsi="Arial"/>
                <w:b w:val="false"/>
                <w:sz w:val="19"/>
              </w:rPr>
              <w:t xml:space="preserve">shares </w:t>
              <w:br/>
              <w:t>   authorized as of March 31, 2022 and December 31, 2021; 103,409,781</w:t>
              <w:br/>
              <w:t>   shares issued and 101,092,059</w:t>
            </w:r>
            <w:r>
              <w:rPr>
                <w:rFonts w:ascii="Times New Roman" w:hAnsi="Times New Roman"/>
                <w:sz w:val="20"/>
              </w:rPr>
              <w:t> </w:t>
            </w:r>
            <w:r>
              <w:rPr>
                <w:rFonts w:ascii="Arial" w:hAnsi="Arial"/>
                <w:b w:val="false"/>
                <w:sz w:val="19"/>
              </w:rPr>
              <w:t xml:space="preserve">shares outstanding as of March 31, 2022; </w:t>
              <w:br/>
              <w:t>   102,771,899</w:t>
            </w:r>
            <w:r>
              <w:rPr>
                <w:rFonts w:ascii="Times New Roman" w:hAnsi="Times New Roman"/>
                <w:sz w:val="20"/>
              </w:rPr>
              <w:t> </w:t>
            </w:r>
            <w:r>
              <w:rPr>
                <w:rFonts w:ascii="Arial" w:hAnsi="Arial"/>
                <w:b w:val="false"/>
                <w:sz w:val="19"/>
              </w:rPr>
              <w:t>shares issued and 100,454,177</w:t>
            </w:r>
            <w:r>
              <w:rPr>
                <w:rFonts w:ascii="Times New Roman" w:hAnsi="Times New Roman"/>
                <w:sz w:val="20"/>
              </w:rPr>
              <w:t> </w:t>
            </w:r>
            <w:r>
              <w:rPr>
                <w:rFonts w:ascii="Arial" w:hAnsi="Arial"/>
                <w:b w:val="false"/>
                <w:sz w:val="19"/>
              </w:rPr>
              <w:t xml:space="preserve">shares outstanding as </w:t>
              <w:br/>
              <w:t>   of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10</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Times New Roman" w:hAnsi="Times New Roman"/>
                <w:sz w:val="20"/>
              </w:rPr>
            </w:pPr>
            <w:r>
              <w:rPr>
                <w:rFonts w:ascii="Arial" w:hAnsi="Arial"/>
                <w:b w:val="false"/>
                <w:sz w:val="19"/>
              </w:rPr>
              <w:t>Non-voting common stock, $0.0001</w:t>
            </w:r>
            <w:r>
              <w:rPr>
                <w:rFonts w:ascii="Times New Roman" w:hAnsi="Times New Roman"/>
                <w:sz w:val="20"/>
              </w:rPr>
              <w:t> </w:t>
            </w:r>
            <w:r>
              <w:rPr>
                <w:rFonts w:ascii="Arial" w:hAnsi="Arial"/>
                <w:b w:val="false"/>
                <w:sz w:val="19"/>
              </w:rPr>
              <w:t>par value; 10,000,000</w:t>
            </w:r>
            <w:r>
              <w:rPr>
                <w:rFonts w:ascii="Times New Roman" w:hAnsi="Times New Roman"/>
                <w:sz w:val="20"/>
              </w:rPr>
              <w:t> </w:t>
            </w:r>
            <w:r>
              <w:rPr>
                <w:rFonts w:ascii="Arial" w:hAnsi="Arial"/>
                <w:b w:val="false"/>
                <w:sz w:val="19"/>
              </w:rPr>
              <w:t xml:space="preserve">shares </w:t>
              <w:br/>
              <w:t>   authorized as of March 31, 2022 and December 31, 2021; 5,988,378</w:t>
            </w:r>
            <w:r>
              <w:rPr>
                <w:rFonts w:ascii="Times New Roman" w:hAnsi="Times New Roman"/>
                <w:sz w:val="20"/>
              </w:rPr>
              <w:t> </w:t>
            </w:r>
            <w:r>
              <w:rPr>
                <w:rFonts w:ascii="Arial" w:hAnsi="Arial"/>
                <w:b w:val="false"/>
                <w:sz w:val="19"/>
              </w:rPr>
              <w:br/>
              <w:t>   shares issued and outstanding as of March 31, 2022 and December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w:t>
            </w:r>
          </w:p>
        </w:tc>
        <w:tc>
          <w:tcPr>
            <w:tcW w:w="772" w:type="dxa"/>
            <w:tcBorders/>
            <w:shd w:fill="auto" w:val="clear"/>
            <w:vAlign w:val="center"/>
          </w:tcPr>
          <w:p>
            <w:pPr>
              <w:pStyle w:val="TableContents"/>
              <w:spacing w:lineRule="auto" w:line="252" w:before="0" w:after="0"/>
              <w:ind w:left="0" w:right="0" w:firstLine="280"/>
              <w:jc w:val="left"/>
              <w:rPr/>
            </w:pPr>
            <w:r>
              <w:rPr/>
              <w:t> </w:t>
            </w:r>
          </w:p>
        </w:tc>
      </w:tr>
      <w:tr>
        <w:trPr/>
        <w:tc>
          <w:tcPr>
            <w:tcW w:w="6744" w:type="dxa"/>
            <w:tcBorders/>
            <w:shd w:fill="auto" w:val="clear"/>
            <w:vAlign w:val="center"/>
          </w:tcPr>
          <w:p>
            <w:pPr>
              <w:pStyle w:val="TableContents"/>
              <w:spacing w:lineRule="auto" w:line="252" w:before="0" w:after="0"/>
              <w:ind w:left="280" w:right="0" w:hanging="0"/>
              <w:jc w:val="left"/>
              <w:rPr>
                <w:rFonts w:ascii="Times New Roman" w:hAnsi="Times New Roman"/>
                <w:sz w:val="20"/>
              </w:rPr>
            </w:pPr>
            <w:r>
              <w:rPr>
                <w:rFonts w:ascii="Arial" w:hAnsi="Arial"/>
                <w:b w:val="false"/>
                <w:sz w:val="19"/>
              </w:rPr>
              <w:t>Treasury voting common stock, 2,317,722</w:t>
            </w:r>
            <w:r>
              <w:rPr>
                <w:rFonts w:ascii="Times New Roman" w:hAnsi="Times New Roman"/>
                <w:sz w:val="20"/>
              </w:rPr>
              <w:t> </w:t>
            </w:r>
            <w:r>
              <w:rPr>
                <w:rFonts w:ascii="Arial" w:hAnsi="Arial"/>
                <w:b w:val="false"/>
                <w:sz w:val="19"/>
              </w:rPr>
              <w:t xml:space="preserve">shares as of March 31, 2022 and </w:t>
              <w:br/>
              <w:t>   December 31, 2021, held at cost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(748</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(748</w:t>
            </w:r>
          </w:p>
        </w:tc>
        <w:tc>
          <w:tcPr>
            <w:tcW w:w="772" w:type="dxa"/>
            <w:tcBorders/>
            <w:shd w:fill="auto" w:val="clear"/>
            <w:vAlign w:val="center"/>
          </w:tcPr>
          <w:p>
            <w:pPr>
              <w:pStyle w:val="TableContents"/>
              <w:spacing w:lineRule="auto" w:line="252" w:before="0" w:after="0"/>
              <w:ind w:left="0" w:right="0" w:firstLine="420"/>
              <w:jc w:val="left"/>
              <w:rPr>
                <w:rFonts w:ascii="Arial" w:hAnsi="Arial"/>
                <w:b w:val="false"/>
                <w:sz w:val="19"/>
              </w:rPr>
            </w:pPr>
            <w:r>
              <w:rPr>
                <w:rFonts w:ascii="Arial" w:hAnsi="Arial"/>
                <w:b w:val="false"/>
                <w:sz w:val="19"/>
              </w:rPr>
              <w:t>)</w:t>
            </w:r>
          </w:p>
        </w:tc>
      </w:tr>
      <w:tr>
        <w:trPr/>
        <w:tc>
          <w:tcPr>
            <w:tcW w:w="6744" w:type="dxa"/>
            <w:tcBorders/>
            <w:shd w:fill="auto" w:val="clear"/>
            <w:vAlign w:val="center"/>
          </w:tcPr>
          <w:p>
            <w:pPr>
              <w:pStyle w:val="TableContents"/>
              <w:spacing w:lineRule="auto" w:line="252" w:before="0" w:after="0"/>
              <w:ind w:left="420" w:right="0" w:hanging="0"/>
              <w:jc w:val="left"/>
              <w:rPr>
                <w:rFonts w:ascii="Arial" w:hAnsi="Arial"/>
                <w:b w:val="false"/>
                <w:sz w:val="19"/>
              </w:rPr>
            </w:pPr>
            <w:r>
              <w:rPr>
                <w:rFonts w:ascii="Arial" w:hAnsi="Arial"/>
                <w:b w:val="false"/>
                <w:sz w:val="19"/>
              </w:rPr>
              <w:t>Additional paid-in capital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615,349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609,194</w:t>
            </w:r>
          </w:p>
        </w:tc>
        <w:tc>
          <w:tcPr>
            <w:tcW w:w="772" w:type="dxa"/>
            <w:tcBorders/>
            <w:shd w:fill="auto" w:val="clear"/>
            <w:vAlign w:val="center"/>
          </w:tcPr>
          <w:p>
            <w:pPr>
              <w:pStyle w:val="TableContents"/>
              <w:spacing w:lineRule="auto" w:line="252" w:before="0" w:after="0"/>
              <w:ind w:left="0" w:right="0" w:firstLine="420"/>
              <w:jc w:val="left"/>
              <w:rPr/>
            </w:pPr>
            <w:r>
              <w:rPr/>
              <w:t> </w:t>
            </w:r>
          </w:p>
        </w:tc>
      </w:tr>
      <w:tr>
        <w:trPr/>
        <w:tc>
          <w:tcPr>
            <w:tcW w:w="6744" w:type="dxa"/>
            <w:tcBorders/>
            <w:shd w:fill="auto" w:val="clear"/>
            <w:vAlign w:val="center"/>
          </w:tcPr>
          <w:p>
            <w:pPr>
              <w:pStyle w:val="TableContents"/>
              <w:spacing w:lineRule="auto" w:line="252" w:before="0" w:after="0"/>
              <w:ind w:left="420" w:right="0" w:hanging="0"/>
              <w:jc w:val="left"/>
              <w:rPr>
                <w:rFonts w:ascii="Arial" w:hAnsi="Arial"/>
                <w:b w:val="false"/>
                <w:sz w:val="19"/>
              </w:rPr>
            </w:pPr>
            <w:r>
              <w:rPr>
                <w:rFonts w:ascii="Arial" w:hAnsi="Arial"/>
                <w:b w:val="false"/>
                <w:sz w:val="19"/>
              </w:rPr>
              <w:t>Accumulated other 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856"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(489</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shd w:fill="auto" w:val="clear"/>
            <w:vAlign w:val="center"/>
          </w:tcPr>
          <w:p>
            <w:pPr>
              <w:pStyle w:val="TableContents"/>
              <w:spacing w:lineRule="auto" w:line="252" w:before="0" w:after="0"/>
              <w:ind w:left="0" w:right="0" w:hanging="0"/>
              <w:jc w:val="left"/>
              <w:rPr/>
            </w:pPr>
            <w:r>
              <w:rPr/>
              <w:t> </w:t>
            </w:r>
          </w:p>
        </w:tc>
        <w:tc>
          <w:tcPr>
            <w:tcW w:w="934" w:type="dxa"/>
            <w:tcBorders/>
            <w:shd w:fill="auto" w:val="cle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(399</w:t>
            </w:r>
          </w:p>
        </w:tc>
        <w:tc>
          <w:tcPr>
            <w:tcW w:w="772" w:type="dxa"/>
            <w:tcBorders/>
            <w:shd w:fill="auto" w:val="clear"/>
            <w:vAlign w:val="center"/>
          </w:tcPr>
          <w:p>
            <w:pPr>
              <w:pStyle w:val="TableContents"/>
              <w:spacing w:lineRule="auto" w:line="252" w:before="0" w:after="0"/>
              <w:ind w:left="0" w:right="0" w:firstLine="420"/>
              <w:jc w:val="left"/>
              <w:rPr>
                <w:rFonts w:ascii="Arial" w:hAnsi="Arial"/>
                <w:b w:val="false"/>
                <w:sz w:val="19"/>
              </w:rPr>
            </w:pPr>
            <w:r>
              <w:rPr>
                <w:rFonts w:ascii="Arial" w:hAnsi="Arial"/>
                <w:b w:val="false"/>
                <w:sz w:val="19"/>
              </w:rPr>
              <w:t>)</w:t>
            </w:r>
          </w:p>
        </w:tc>
      </w:tr>
      <w:tr>
        <w:trPr/>
        <w:tc>
          <w:tcPr>
            <w:tcW w:w="6744" w:type="dxa"/>
            <w:tcBorders/>
            <w:shd w:fill="auto" w:val="clear"/>
            <w:vAlign w:val="center"/>
          </w:tcPr>
          <w:p>
            <w:pPr>
              <w:pStyle w:val="TableContents"/>
              <w:spacing w:lineRule="auto" w:line="252" w:before="0" w:after="0"/>
              <w:ind w:left="420" w:right="0" w:hanging="0"/>
              <w:jc w:val="left"/>
              <w:rPr>
                <w:rFonts w:ascii="Arial" w:hAnsi="Arial"/>
                <w:b w:val="false"/>
                <w:sz w:val="19"/>
              </w:rPr>
            </w:pPr>
            <w:r>
              <w:rPr>
                <w:rFonts w:ascii="Arial" w:hAnsi="Arial"/>
                <w:b w:val="false"/>
                <w:sz w:val="19"/>
              </w:rPr>
              <w:t>Accumulated deficit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(136,006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(125,857</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rFonts w:ascii="Arial" w:hAnsi="Arial"/>
                <w:b w:val="false"/>
                <w:sz w:val="19"/>
              </w:rPr>
            </w:pPr>
            <w:r>
              <w:rPr>
                <w:rFonts w:ascii="Arial" w:hAnsi="Arial"/>
                <w:b w:val="false"/>
                <w:sz w:val="19"/>
              </w:rPr>
              <w:t>)</w:t>
            </w:r>
          </w:p>
        </w:tc>
      </w:tr>
      <w:tr>
        <w:trPr/>
        <w:tc>
          <w:tcPr>
            <w:tcW w:w="6744" w:type="dxa"/>
            <w:tcBorders/>
            <w:shd w:fill="auto" w:val="clear"/>
            <w:vAlign w:val="center"/>
          </w:tcPr>
          <w:p>
            <w:pPr>
              <w:pStyle w:val="TableContents"/>
              <w:spacing w:lineRule="auto" w:line="252" w:before="0" w:after="0"/>
              <w:ind w:left="560" w:right="0" w:hanging="0"/>
              <w:jc w:val="left"/>
              <w:rPr>
                <w:rFonts w:ascii="Arial" w:hAnsi="Arial"/>
                <w:b w:val="false"/>
                <w:sz w:val="19"/>
              </w:rPr>
            </w:pPr>
            <w:r>
              <w:rPr>
                <w:rFonts w:ascii="Arial" w:hAnsi="Arial"/>
                <w:b w:val="false"/>
                <w:sz w:val="19"/>
              </w:rPr>
              <w:t>Total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478,117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482,201</w:t>
            </w:r>
          </w:p>
        </w:tc>
        <w:tc>
          <w:tcPr>
            <w:tcW w:w="7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6744" w:type="dxa"/>
            <w:tcBorders/>
            <w:shd w:fill="auto" w:val="clear"/>
            <w:vAlign w:val="center"/>
          </w:tcPr>
          <w:p>
            <w:pPr>
              <w:pStyle w:val="TableContents"/>
              <w:spacing w:lineRule="auto" w:line="252" w:before="0" w:after="0"/>
              <w:ind w:left="560" w:right="0" w:hanging="0"/>
              <w:jc w:val="left"/>
              <w:rPr>
                <w:rFonts w:ascii="Arial" w:hAnsi="Arial"/>
                <w:b w:val="false"/>
                <w:sz w:val="19"/>
              </w:rPr>
            </w:pPr>
            <w:r>
              <w:rPr>
                <w:rFonts w:ascii="Arial" w:hAnsi="Arial"/>
                <w:b w:val="false"/>
                <w:sz w:val="19"/>
              </w:rPr>
              <w:t>Total liabilities and stockholders’ equity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8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609,547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9"/>
              </w:rPr>
            </w:pPr>
            <w:r>
              <w:rPr>
                <w:rFonts w:ascii="Arial" w:hAnsi="Arial"/>
                <w:b w:val="false"/>
                <w:sz w:val="19"/>
              </w:rPr>
              <w:t>$</w:t>
            </w:r>
          </w:p>
        </w:tc>
        <w:tc>
          <w:tcPr>
            <w:tcW w:w="9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9"/>
              </w:rPr>
            </w:pPr>
            <w:r>
              <w:rPr>
                <w:rFonts w:ascii="Arial" w:hAnsi="Arial"/>
                <w:b w:val="false"/>
                <w:sz w:val="19"/>
              </w:rPr>
              <w:t>639,845</w:t>
            </w:r>
          </w:p>
        </w:tc>
        <w:tc>
          <w:tcPr>
            <w:tcW w:w="7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center"/>
        <w:rPr>
          <w:rFonts w:ascii="Arial" w:hAnsi="Arial"/>
          <w:b w:val="false"/>
          <w:sz w:val="20"/>
        </w:rPr>
      </w:pPr>
      <w:r>
        <w:rPr>
          <w:rFonts w:ascii="Arial" w:hAnsi="Arial"/>
          <w:b w:val="false"/>
          <w:sz w:val="20"/>
        </w:rPr>
        <w:t>The accompanying notes are an integral part of these unaudited condensed consolidated financial statements.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w:t>
      </w:r>
    </w:p>
    <w:p>
      <w:pPr>
        <w:pStyle w:val="HorizontalLine"/>
        <w:rPr/>
      </w:pPr>
      <w:r>
        <w:rPr/>
      </w:r>
    </w:p>
    <w:p>
      <w:pPr>
        <w:pStyle w:val="TextBody"/>
        <w:spacing w:lineRule="auto" w:line="273" w:before="0" w:after="0"/>
        <w:jc w:val="left"/>
        <w:rPr/>
      </w:pPr>
      <w:r>
        <w:rPr/>
        <w:t> </w:t>
      </w:r>
    </w:p>
    <w:p>
      <w:pPr>
        <w:pStyle w:val="TextBody"/>
        <w:spacing w:lineRule="auto" w:line="273" w:before="0" w:after="200"/>
        <w:jc w:val="center"/>
        <w:rPr/>
      </w:pPr>
      <w:r>
        <w:rPr/>
        <w:t> </w:t>
      </w:r>
    </w:p>
    <w:p>
      <w:pPr>
        <w:pStyle w:val="TextBody"/>
        <w:spacing w:lineRule="auto" w:line="273" w:before="0" w:after="0"/>
        <w:jc w:val="center"/>
        <w:rPr>
          <w:rFonts w:ascii="Times New Roman" w:hAnsi="Times New Roman"/>
          <w:sz w:val="20"/>
        </w:rPr>
      </w:pPr>
      <w:bookmarkStart w:id="7" w:name="fin469729_52"/>
      <w:bookmarkEnd w:id="7"/>
      <w:r>
        <w:rPr>
          <w:rFonts w:ascii="Arial" w:hAnsi="Arial"/>
          <w:b/>
          <w:sz w:val="20"/>
        </w:rPr>
        <w:t>FLYWIRE CORPORATION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8" w:name="condensed_consolidated_operations"/>
      <w:bookmarkEnd w:id="8"/>
      <w:r>
        <w:rPr>
          <w:rFonts w:ascii="Arial" w:hAnsi="Arial"/>
          <w:b/>
          <w:sz w:val="20"/>
        </w:rPr>
        <w:t>CONDENSED CONSOLIDATED STATEMENTS OF OPERATIONS AND COMPREHENSIVE LOSS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val="false"/>
          <w:sz w:val="20"/>
        </w:rPr>
        <w:t>(Unaudited) (Amounts in thousands, except share and per share amounts)</w:t>
      </w:r>
      <w:r>
        <w:rPr>
          <w:rFonts w:ascii="Times New Roman" w:hAnsi="Times New Roman"/>
          <w:sz w:val="20"/>
        </w:rPr>
        <w:t xml:space="preserve"> </w:t>
      </w:r>
    </w:p>
    <w:p>
      <w:pPr>
        <w:pStyle w:val="TextBody"/>
        <w:spacing w:lineRule="auto" w:line="273" w:before="0" w:after="0"/>
        <w:jc w:val="center"/>
        <w:rPr/>
      </w:pPr>
      <w:r>
        <w:rPr/>
        <w:t> </w:t>
      </w:r>
    </w:p>
    <w:tbl>
      <w:tblPr>
        <w:tblW w:w="9764" w:type="dxa"/>
        <w:jc w:val="left"/>
        <w:tblInd w:w="0" w:type="dxa"/>
        <w:tblCellMar>
          <w:top w:w="28" w:type="dxa"/>
          <w:left w:w="28" w:type="dxa"/>
          <w:bottom w:w="28" w:type="dxa"/>
          <w:right w:w="28" w:type="dxa"/>
        </w:tblCellMar>
      </w:tblPr>
      <w:tblGrid>
        <w:gridCol w:w="6016"/>
        <w:gridCol w:w="146"/>
        <w:gridCol w:w="211"/>
        <w:gridCol w:w="1171"/>
        <w:gridCol w:w="166"/>
        <w:gridCol w:w="146"/>
        <w:gridCol w:w="211"/>
        <w:gridCol w:w="1066"/>
        <w:gridCol w:w="631"/>
      </w:tblGrid>
      <w:tr>
        <w:trPr/>
        <w:tc>
          <w:tcPr>
            <w:tcW w:w="6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r>
      <w:tr>
        <w:trPr/>
        <w:tc>
          <w:tcPr>
            <w:tcW w:w="60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97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64,553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44,991</w:t>
            </w:r>
          </w:p>
        </w:tc>
        <w:tc>
          <w:tcPr>
            <w:tcW w:w="631" w:type="dxa"/>
            <w:tcBorders/>
            <w:shd w:fill="auto" w:val="clear"/>
            <w:vAlign w:val="center"/>
          </w:tcPr>
          <w:p>
            <w:pPr>
              <w:pStyle w:val="TableContents"/>
              <w:spacing w:lineRule="auto" w:line="252" w:before="0" w:after="0"/>
              <w:ind w:left="0" w:right="0" w:hanging="0"/>
              <w:jc w:val="left"/>
              <w:rPr/>
            </w:pPr>
            <w:r>
              <w:rPr/>
              <w:t> </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Costs and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631" w:type="dxa"/>
            <w:tcBorders/>
            <w:shd w:fill="auto" w:val="clear"/>
            <w:vAlign w:val="center"/>
          </w:tcPr>
          <w:p>
            <w:pPr>
              <w:pStyle w:val="TableContents"/>
              <w:spacing w:lineRule="auto" w:line="252" w:before="0" w:after="0"/>
              <w:ind w:left="0" w:right="0" w:firstLine="280"/>
              <w:jc w:val="right"/>
              <w:rPr/>
            </w:pPr>
            <w:r>
              <w:rPr/>
              <w:t> </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Payment processing services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24,253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16,091</w:t>
            </w:r>
          </w:p>
        </w:tc>
        <w:tc>
          <w:tcPr>
            <w:tcW w:w="631" w:type="dxa"/>
            <w:tcBorders/>
            <w:shd w:fill="auto" w:val="clear"/>
            <w:vAlign w:val="center"/>
          </w:tcPr>
          <w:p>
            <w:pPr>
              <w:pStyle w:val="TableContents"/>
              <w:spacing w:lineRule="auto" w:line="252" w:before="0" w:after="0"/>
              <w:ind w:left="0" w:right="0" w:firstLine="280"/>
              <w:jc w:val="left"/>
              <w:rPr/>
            </w:pPr>
            <w:r>
              <w:rPr/>
              <w:t> </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Technology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10,976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7,522</w:t>
            </w:r>
          </w:p>
        </w:tc>
        <w:tc>
          <w:tcPr>
            <w:tcW w:w="631" w:type="dxa"/>
            <w:tcBorders/>
            <w:shd w:fill="auto" w:val="clear"/>
            <w:vAlign w:val="center"/>
          </w:tcPr>
          <w:p>
            <w:pPr>
              <w:pStyle w:val="TableContents"/>
              <w:spacing w:lineRule="auto" w:line="252" w:before="0" w:after="0"/>
              <w:ind w:left="0" w:right="0" w:firstLine="280"/>
              <w:jc w:val="left"/>
              <w:rPr/>
            </w:pPr>
            <w:r>
              <w:rPr/>
              <w:t> </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Selling and marketing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17,608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11,931</w:t>
            </w:r>
          </w:p>
        </w:tc>
        <w:tc>
          <w:tcPr>
            <w:tcW w:w="631" w:type="dxa"/>
            <w:tcBorders/>
            <w:shd w:fill="auto" w:val="clear"/>
            <w:vAlign w:val="center"/>
          </w:tcPr>
          <w:p>
            <w:pPr>
              <w:pStyle w:val="TableContents"/>
              <w:spacing w:lineRule="auto" w:line="252" w:before="0" w:after="0"/>
              <w:ind w:left="0" w:right="0" w:firstLine="280"/>
              <w:jc w:val="left"/>
              <w:rPr/>
            </w:pPr>
            <w:r>
              <w:rPr/>
              <w:t> </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18,820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15,914</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20"/>
              <w:jc w:val="left"/>
              <w:rPr/>
            </w:pPr>
            <w:r>
              <w:rPr/>
              <w:t> </w:t>
            </w:r>
          </w:p>
        </w:tc>
      </w:tr>
      <w:tr>
        <w:trPr/>
        <w:tc>
          <w:tcPr>
            <w:tcW w:w="6016"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Total costs and operating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71,657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51,458</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(6,467</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631" w:type="dxa"/>
            <w:tcBorders/>
            <w:shd w:fill="auto" w:val="clear"/>
            <w:vAlign w:val="center"/>
          </w:tcPr>
          <w:p>
            <w:pPr>
              <w:pStyle w:val="TableContents"/>
              <w:spacing w:lineRule="auto" w:line="252" w:before="0" w:after="0"/>
              <w:ind w:left="0" w:right="0" w:firstLine="280"/>
              <w:jc w:val="right"/>
              <w:rPr/>
            </w:pPr>
            <w:r>
              <w:rPr/>
              <w:t> </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(218</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(621</w:t>
            </w:r>
          </w:p>
        </w:tc>
        <w:tc>
          <w:tcPr>
            <w:tcW w:w="63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 in fair value of preferred stock 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7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(954</w:t>
            </w:r>
          </w:p>
        </w:tc>
        <w:tc>
          <w:tcPr>
            <w:tcW w:w="63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Other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(2,327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(411</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Total other expenses,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(2,545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(1,986</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Loss before provision for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(9,649</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(8,453</w:t>
            </w:r>
          </w:p>
        </w:tc>
        <w:tc>
          <w:tcPr>
            <w:tcW w:w="63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Provision for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199</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(10,149</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(8,652</w:t>
            </w:r>
          </w:p>
        </w:tc>
        <w:tc>
          <w:tcPr>
            <w:tcW w:w="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Foreign currency translation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339</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(10,239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(8,313</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attributable to common stockholders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(10,149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(8,657</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 xml:space="preserve">Net loss per share attributable to common stockholders - basic and </w:t>
              <w:br/>
              <w:t>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(0.41</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0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 average common shares outstanding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106,739,771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21,100,077</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left"/>
        <w:rPr>
          <w:rFonts w:ascii="Times New Roman" w:hAnsi="Times New Roman"/>
          <w:sz w:val="20"/>
        </w:rPr>
      </w:pPr>
      <w:r>
        <w:rPr>
          <w:rFonts w:ascii="Arial" w:hAnsi="Arial"/>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w:t>
      </w:r>
    </w:p>
    <w:p>
      <w:pPr>
        <w:pStyle w:val="HorizontalLine"/>
        <w:rPr/>
      </w:pPr>
      <w:r>
        <w:rPr/>
      </w:r>
    </w:p>
    <w:p>
      <w:pPr>
        <w:pStyle w:val="TextBody"/>
        <w:spacing w:lineRule="auto" w:line="273" w:before="0" w:after="0"/>
        <w:jc w:val="left"/>
        <w:rPr/>
      </w:pPr>
      <w:r>
        <w:rPr/>
        <w:t> </w:t>
      </w:r>
    </w:p>
    <w:p>
      <w:pPr>
        <w:pStyle w:val="TextBody"/>
        <w:spacing w:lineRule="auto" w:line="273" w:before="240" w:after="0"/>
        <w:jc w:val="left"/>
        <w:rPr/>
      </w:pPr>
      <w:r>
        <w:rPr/>
        <w:t> </w:t>
      </w:r>
    </w:p>
    <w:p>
      <w:pPr>
        <w:pStyle w:val="TextBody"/>
        <w:spacing w:lineRule="auto" w:line="273" w:before="0" w:after="0"/>
        <w:jc w:val="center"/>
        <w:rPr>
          <w:rFonts w:ascii="Times New Roman" w:hAnsi="Times New Roman"/>
          <w:sz w:val="20"/>
        </w:rPr>
      </w:pPr>
      <w:r>
        <w:rPr>
          <w:rFonts w:ascii="Arial" w:hAnsi="Arial"/>
          <w:b/>
          <w:sz w:val="20"/>
        </w:rPr>
        <w:t>FLYWIRE CORPORATION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9" w:name="statements_stockholders_deficit"/>
      <w:bookmarkEnd w:id="9"/>
      <w:r>
        <w:rPr>
          <w:rFonts w:ascii="Arial" w:hAnsi="Arial"/>
          <w:b/>
          <w:sz w:val="20"/>
        </w:rPr>
        <w:t>CONDENSED CONSOLIDATED STATEMENTS OF CONVERTIBLE PREFERRED STOCK, REDEEMABLE CONVERTIBLE PREFERRED STOCK AND STOCKHOLDERS’ EQUITY (DEFICIT)</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val="false"/>
          <w:sz w:val="20"/>
        </w:rPr>
        <w:t>(Unaudited) (Amounts in thousands, except share and per share amounts)</w:t>
      </w:r>
      <w:r>
        <w:rPr>
          <w:rFonts w:ascii="Times New Roman" w:hAnsi="Times New Roman"/>
          <w:sz w:val="20"/>
        </w:rPr>
        <w:t xml:space="preserve"> </w:t>
      </w:r>
    </w:p>
    <w:p>
      <w:pPr>
        <w:pStyle w:val="TextBody"/>
        <w:spacing w:lineRule="auto" w:line="273" w:before="0" w:after="0"/>
        <w:jc w:val="left"/>
        <w:rPr/>
      </w:pPr>
      <w:r>
        <w:rPr/>
        <w:t> </w:t>
      </w:r>
    </w:p>
    <w:tbl>
      <w:tblPr>
        <w:tblW w:w="15320" w:type="dxa"/>
        <w:jc w:val="left"/>
        <w:tblInd w:w="0" w:type="dxa"/>
        <w:tblCellMar>
          <w:top w:w="28" w:type="dxa"/>
          <w:left w:w="28" w:type="dxa"/>
          <w:bottom w:w="28" w:type="dxa"/>
          <w:right w:w="28" w:type="dxa"/>
        </w:tblCellMar>
      </w:tblPr>
      <w:tblGrid>
        <w:gridCol w:w="826"/>
        <w:gridCol w:w="146"/>
        <w:gridCol w:w="146"/>
        <w:gridCol w:w="646"/>
        <w:gridCol w:w="146"/>
        <w:gridCol w:w="146"/>
        <w:gridCol w:w="166"/>
        <w:gridCol w:w="496"/>
        <w:gridCol w:w="146"/>
        <w:gridCol w:w="146"/>
        <w:gridCol w:w="146"/>
        <w:gridCol w:w="646"/>
        <w:gridCol w:w="146"/>
        <w:gridCol w:w="146"/>
        <w:gridCol w:w="166"/>
        <w:gridCol w:w="496"/>
        <w:gridCol w:w="146"/>
        <w:gridCol w:w="146"/>
        <w:gridCol w:w="146"/>
        <w:gridCol w:w="146"/>
        <w:gridCol w:w="706"/>
        <w:gridCol w:w="146"/>
        <w:gridCol w:w="185"/>
        <w:gridCol w:w="386"/>
        <w:gridCol w:w="146"/>
        <w:gridCol w:w="146"/>
        <w:gridCol w:w="146"/>
        <w:gridCol w:w="586"/>
        <w:gridCol w:w="146"/>
        <w:gridCol w:w="146"/>
        <w:gridCol w:w="185"/>
        <w:gridCol w:w="386"/>
        <w:gridCol w:w="146"/>
        <w:gridCol w:w="146"/>
        <w:gridCol w:w="146"/>
        <w:gridCol w:w="631"/>
        <w:gridCol w:w="151"/>
        <w:gridCol w:w="146"/>
        <w:gridCol w:w="185"/>
        <w:gridCol w:w="386"/>
        <w:gridCol w:w="151"/>
        <w:gridCol w:w="146"/>
        <w:gridCol w:w="173"/>
        <w:gridCol w:w="518"/>
        <w:gridCol w:w="151"/>
        <w:gridCol w:w="146"/>
        <w:gridCol w:w="316"/>
        <w:gridCol w:w="660"/>
        <w:gridCol w:w="151"/>
        <w:gridCol w:w="146"/>
        <w:gridCol w:w="197"/>
        <w:gridCol w:w="644"/>
        <w:gridCol w:w="151"/>
        <w:gridCol w:w="146"/>
        <w:gridCol w:w="210"/>
        <w:gridCol w:w="631"/>
        <w:gridCol w:w="196"/>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Convertible</w:t>
              <w:b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Redeemable</w:t>
              <w:br/>
              <w:t>Convertible</w:t>
              <w:b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69"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9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Non-Voting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4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 xml:space="preserve">Treasury Voting </w:t>
              <w:br/>
              <w:t>Common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Additional</w:t>
              <w:br/>
              <w:t>Paid-In</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76"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Accumulated</w:t>
              <w:br/>
              <w:t>Other</w:t>
              <w:br/>
              <w:t>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Total</w:t>
              <w:b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Equity</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sz w:val="12"/>
              </w:rPr>
            </w:pPr>
            <w:r>
              <w:rPr>
                <w:rFonts w:ascii="Arial" w:hAnsi="Arial"/>
                <w:b/>
                <w:sz w:val="12"/>
              </w:rPr>
              <w:t>Balances at January 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102,771,899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5,988,378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(2,317,722</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(748</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609,194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60"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(399</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44"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(125,857</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482,201</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Issuance of common stock</w:t>
              <w:br/>
              <w:t xml:space="preserve">   upon exercise of stock </w:t>
              <w:br/>
              <w:t xml:space="preserve">   options, net of shares </w:t>
              <w:br/>
              <w:t>   withheld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617,278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right"/>
              <w:rPr/>
            </w:pPr>
            <w:r>
              <w:rPr/>
              <w:t xml:space="preserve">— </w:t>
            </w: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660</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660</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Issuance of common stock</w:t>
              <w:br/>
              <w:t xml:space="preserve">   upon settlement of restricted </w:t>
              <w:br/>
              <w:t>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20,604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Foreign currency translation</w:t>
              <w:br/>
              <w:t>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(90</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(90</w:t>
            </w:r>
          </w:p>
        </w:tc>
        <w:tc>
          <w:tcPr>
            <w:tcW w:w="19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Stock-based compensation</w:t>
              <w:br/>
              <w: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5,495</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5,495</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(10,149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(10,149</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sz w:val="12"/>
              </w:rPr>
            </w:pPr>
            <w:r>
              <w:rPr>
                <w:rFonts w:ascii="Arial" w:hAnsi="Arial"/>
                <w:b/>
                <w:sz w:val="12"/>
              </w:rPr>
              <w:t>Balances at March 31,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103,409,781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5,988,378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(2,317,722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(748</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5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615,349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(489</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(136,006</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478,117</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6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5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3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77"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1"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76"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gridSpan w:val="2"/>
            <w:tcBorders/>
            <w:shd w:fill="auto" w:val="clear"/>
            <w:vAlign w:val="center"/>
          </w:tcPr>
          <w:p>
            <w:pPr>
              <w:pStyle w:val="TableContents"/>
              <w:spacing w:lineRule="auto" w:line="252" w:before="0" w:after="0"/>
              <w:ind w:left="0" w:right="0" w:hanging="0"/>
              <w:jc w:val="right"/>
              <w:rPr/>
            </w:pPr>
            <w:r>
              <w:rPr/>
              <w:t> </w:t>
            </w:r>
          </w:p>
        </w:tc>
        <w:tc>
          <w:tcPr>
            <w:tcW w:w="151"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41" w:type="dxa"/>
            <w:gridSpan w:val="2"/>
            <w:tcBorders/>
            <w:shd w:fill="auto" w:val="clear"/>
            <w:vAlign w:val="center"/>
          </w:tcPr>
          <w:p>
            <w:pPr>
              <w:pStyle w:val="TableContents"/>
              <w:spacing w:lineRule="auto" w:line="252" w:before="0" w:after="0"/>
              <w:ind w:left="0" w:right="0" w:hanging="0"/>
              <w:jc w:val="right"/>
              <w:rPr/>
            </w:pPr>
            <w:r>
              <w:rPr/>
              <w:t> </w:t>
            </w:r>
          </w:p>
        </w:tc>
        <w:tc>
          <w:tcPr>
            <w:tcW w:w="196" w:type="dxa"/>
            <w:tcBorders/>
            <w:shd w:fill="auto" w:val="clear"/>
            <w:vAlign w:val="center"/>
          </w:tcPr>
          <w:p>
            <w:pPr>
              <w:pStyle w:val="TableContents"/>
              <w:spacing w:lineRule="auto" w:line="252" w:before="0" w:after="0"/>
              <w:ind w:left="0" w:right="0" w:hanging="0"/>
              <w:jc w:val="right"/>
              <w:rPr/>
            </w:pPr>
            <w:r>
              <w:rPr/>
              <w:t> </w:t>
            </w:r>
          </w:p>
        </w:tc>
      </w:tr>
      <w:tr>
        <w:trPr/>
        <w:tc>
          <w:tcPr>
            <w:tcW w:w="8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Convertible</w:t>
              <w:b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4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Redeemable</w:t>
              <w:br/>
              <w:t>Convertible</w:t>
              <w:br/>
              <w:t>Preferred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69" w:type="dxa"/>
            <w:gridSpan w:val="5"/>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59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Non-Voting</w:t>
              <w:b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645"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 xml:space="preserve">Treasury Voting </w:t>
              <w:br/>
              <w:t>Common Stock</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Additional</w:t>
              <w:br/>
              <w:t>Paid-In</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76"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Accumulated</w:t>
              <w:br/>
              <w:t>Other</w:t>
              <w:br/>
              <w:t>Comprehensive</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Accumulated</w:t>
            </w:r>
          </w:p>
        </w:tc>
        <w:tc>
          <w:tcPr>
            <w:tcW w:w="15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shd w:fill="auto" w:val="clear"/>
            <w:vAlign w:val="center"/>
          </w:tcPr>
          <w:p>
            <w:pPr>
              <w:pStyle w:val="TableContents"/>
              <w:spacing w:lineRule="auto" w:line="252" w:before="0" w:after="0"/>
              <w:ind w:left="0" w:right="0" w:hanging="0"/>
              <w:jc w:val="center"/>
              <w:rPr>
                <w:rFonts w:ascii="Arial" w:hAnsi="Arial"/>
                <w:b/>
                <w:sz w:val="12"/>
              </w:rPr>
            </w:pPr>
            <w:r>
              <w:rPr>
                <w:rFonts w:ascii="Arial" w:hAnsi="Arial"/>
                <w:b/>
                <w:sz w:val="12"/>
              </w:rPr>
              <w:t>Total</w:t>
              <w:br/>
              <w:t>Stockholders’</w:t>
            </w:r>
          </w:p>
        </w:tc>
        <w:tc>
          <w:tcPr>
            <w:tcW w:w="196" w:type="dxa"/>
            <w:tcBorders/>
            <w:shd w:fill="auto" w:val="cle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3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Shares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Amount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7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Income (Loss)</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4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2"/>
              </w:rPr>
            </w:pPr>
            <w:r>
              <w:rPr>
                <w:rFonts w:ascii="Arial" w:hAnsi="Arial"/>
                <w:b/>
                <w:sz w:val="12"/>
              </w:rPr>
              <w:t>Deficit</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sz w:val="12"/>
              </w:rPr>
            </w:pPr>
            <w:r>
              <w:rPr>
                <w:rFonts w:ascii="Arial" w:hAnsi="Arial"/>
                <w:b/>
                <w:sz w:val="12"/>
              </w:rPr>
              <w:t>Balances at January 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54,208,461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110,401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11,239,920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119,769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22,240,872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(2,317,722</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(748</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16,971</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60"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(214</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44"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(97,772</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(81,762</w:t>
            </w:r>
          </w:p>
        </w:tc>
        <w:tc>
          <w:tcPr>
            <w:tcW w:w="19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Issuance of common stock</w:t>
              <w:br/>
              <w:t xml:space="preserve">   upon exercise of stock </w:t>
              <w:br/>
              <w:t>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3,005,574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2,404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2,405</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Issuance of Series F-1</w:t>
              <w:br/>
              <w:t>   redeemable convertible</w:t>
              <w:br/>
              <w:t>   preferred stock, net of</w:t>
              <w:br/>
              <w:t>   issuance costs of $265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2,571,936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59,735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 xml:space="preserve">Exercise of common stock </w:t>
              <w:br/>
              <w:t>   warrants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151,518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71" w:type="dxa"/>
            <w:gridSpan w:val="2"/>
            <w:tcBorders/>
            <w:shd w:fill="auto" w:val="clear"/>
            <w:vAlign w:val="center"/>
          </w:tcPr>
          <w:p>
            <w:pPr>
              <w:pStyle w:val="TableContents"/>
              <w:spacing w:lineRule="auto" w:line="252" w:before="0" w:after="0"/>
              <w:ind w:left="0" w:right="0" w:hanging="0"/>
              <w:jc w:val="right"/>
              <w:rPr/>
            </w:pPr>
            <w:r>
              <w:rPr/>
              <w:t xml:space="preserve">— </w:t>
            </w: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Accretion of redeemable</w:t>
              <w:br/>
              <w:t>   convertible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w:t>
            </w:r>
          </w:p>
        </w:tc>
        <w:tc>
          <w:tcPr>
            <w:tcW w:w="151"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w:t>
            </w:r>
          </w:p>
        </w:tc>
        <w:tc>
          <w:tcPr>
            <w:tcW w:w="19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Foreign currency translation</w:t>
              <w:br/>
              <w:t>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339</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339</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Stock-based compensation</w:t>
              <w:br/>
              <w: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4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49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0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shd w:fill="auto" w:val="clear"/>
            <w:vAlign w:val="center"/>
          </w:tcPr>
          <w:p>
            <w:pPr>
              <w:pStyle w:val="TableContents"/>
              <w:spacing w:lineRule="auto" w:line="252" w:before="0" w:after="0"/>
              <w:ind w:left="0" w:right="0" w:hanging="0"/>
              <w:jc w:val="left"/>
              <w:rPr/>
            </w:pPr>
            <w:r>
              <w:rPr/>
              <w:t> </w:t>
            </w:r>
          </w:p>
        </w:tc>
        <w:tc>
          <w:tcPr>
            <w:tcW w:w="386"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shd w:fill="auto" w:val="clear"/>
            <w:vAlign w:val="center"/>
          </w:tcPr>
          <w:p>
            <w:pPr>
              <w:pStyle w:val="TableContents"/>
              <w:spacing w:lineRule="auto" w:line="252" w:before="0" w:after="0"/>
              <w:ind w:left="0" w:right="0" w:hanging="0"/>
              <w:jc w:val="left"/>
              <w:rPr/>
            </w:pPr>
            <w:r>
              <w:rPr/>
              <w:t> </w:t>
            </w:r>
          </w:p>
        </w:tc>
        <w:tc>
          <w:tcPr>
            <w:tcW w:w="518"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10,364</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shd w:fill="auto" w:val="clear"/>
            <w:vAlign w:val="center"/>
          </w:tcPr>
          <w:p>
            <w:pPr>
              <w:pStyle w:val="TableContents"/>
              <w:spacing w:lineRule="auto" w:line="252" w:before="0" w:after="0"/>
              <w:ind w:left="0" w:right="0" w:hanging="0"/>
              <w:jc w:val="left"/>
              <w:rPr/>
            </w:pPr>
            <w:r>
              <w:rPr/>
              <w:t> </w:t>
            </w:r>
          </w:p>
        </w:tc>
        <w:tc>
          <w:tcPr>
            <w:tcW w:w="660"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shd w:fill="auto" w:val="clear"/>
            <w:vAlign w:val="center"/>
          </w:tcPr>
          <w:p>
            <w:pPr>
              <w:pStyle w:val="TableContents"/>
              <w:spacing w:lineRule="auto" w:line="252" w:before="0" w:after="0"/>
              <w:ind w:left="0" w:right="0" w:hanging="0"/>
              <w:jc w:val="left"/>
              <w:rPr/>
            </w:pPr>
            <w:r>
              <w:rPr/>
              <w:t> </w:t>
            </w:r>
          </w:p>
        </w:tc>
        <w:tc>
          <w:tcPr>
            <w:tcW w:w="644" w:type="dxa"/>
            <w:tcBorders/>
            <w:shd w:fill="auto" w:val="clear"/>
            <w:vAlign w:val="center"/>
          </w:tcPr>
          <w:p>
            <w:pPr>
              <w:pStyle w:val="TableContents"/>
              <w:spacing w:lineRule="auto" w:line="252" w:before="0" w:after="0"/>
              <w:ind w:left="0" w:right="0" w:hanging="0"/>
              <w:jc w:val="right"/>
              <w:rPr/>
            </w:pPr>
            <w:r>
              <w:rPr/>
              <w:t>—</w:t>
            </w:r>
          </w:p>
        </w:tc>
        <w:tc>
          <w:tcPr>
            <w:tcW w:w="1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shd w:fill="auto" w:val="clear"/>
            <w:vAlign w:val="center"/>
          </w:tcPr>
          <w:p>
            <w:pPr>
              <w:pStyle w:val="TableContents"/>
              <w:spacing w:lineRule="auto" w:line="252" w:before="0" w:after="0"/>
              <w:ind w:left="0" w:right="0" w:hanging="0"/>
              <w:jc w:val="left"/>
              <w:rPr/>
            </w:pPr>
            <w:r>
              <w:rPr/>
              <w:t> </w:t>
            </w:r>
          </w:p>
        </w:tc>
        <w:tc>
          <w:tcPr>
            <w:tcW w:w="631" w:type="dxa"/>
            <w:tcBorders/>
            <w:shd w:fill="auto" w:val="cle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10,364</w:t>
            </w:r>
          </w:p>
        </w:tc>
        <w:tc>
          <w:tcPr>
            <w:tcW w:w="196" w:type="dxa"/>
            <w:tcBorders/>
            <w:shd w:fill="auto" w:val="clear"/>
            <w:vAlign w:val="center"/>
          </w:tcPr>
          <w:p>
            <w:pPr>
              <w:pStyle w:val="TableContents"/>
              <w:spacing w:lineRule="auto" w:line="252" w:before="0" w:after="0"/>
              <w:ind w:left="0" w:right="0" w:hanging="0"/>
              <w:jc w:val="left"/>
              <w:rPr/>
            </w:pPr>
            <w:r>
              <w:rPr/>
              <w:t> </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1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(8,652</w:t>
            </w:r>
          </w:p>
        </w:tc>
        <w:tc>
          <w:tcPr>
            <w:tcW w:w="1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(8,652</w:t>
            </w:r>
          </w:p>
        </w:tc>
        <w:tc>
          <w:tcPr>
            <w:tcW w:w="19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r>
      <w:tr>
        <w:trPr/>
        <w:tc>
          <w:tcPr>
            <w:tcW w:w="826" w:type="dxa"/>
            <w:tcBorders/>
            <w:shd w:fill="auto" w:val="clear"/>
            <w:vAlign w:val="center"/>
          </w:tcPr>
          <w:p>
            <w:pPr>
              <w:pStyle w:val="TableContents"/>
              <w:spacing w:lineRule="auto" w:line="252" w:before="0" w:after="0"/>
              <w:ind w:left="0" w:right="0" w:hanging="0"/>
              <w:jc w:val="left"/>
              <w:rPr>
                <w:rFonts w:ascii="Arial" w:hAnsi="Arial"/>
                <w:b/>
                <w:sz w:val="12"/>
              </w:rPr>
            </w:pPr>
            <w:r>
              <w:rPr>
                <w:rFonts w:ascii="Arial" w:hAnsi="Arial"/>
                <w:b/>
                <w:sz w:val="12"/>
              </w:rPr>
              <w:t>Balances at March 31, 2021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54,208,461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110,401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13,811,856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179,509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right w:val="single" w:sz="4" w:space="0" w:color="000000"/>
            </w:tcBorders>
            <w:shd w:fill="auto" w:val="clear"/>
            <w:tcMar>
              <w:top w:w="0" w:type="dxa"/>
              <w:left w:w="0" w:type="dxa"/>
              <w:bottom w:w="0" w:type="dxa"/>
            </w:tcM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25,397,964</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(2,317,722</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3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(748</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51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29,734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6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125</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4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(106,424</w:t>
            </w:r>
          </w:p>
        </w:tc>
        <w:tc>
          <w:tcPr>
            <w:tcW w:w="1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12"/>
              </w:rPr>
            </w:pPr>
            <w:r>
              <w:rPr>
                <w:rFonts w:ascii="Arial" w:hAnsi="Arial"/>
                <w:b w:val="false"/>
                <w:sz w:val="12"/>
              </w:rPr>
              <w:t>(77,311</w:t>
            </w:r>
          </w:p>
        </w:tc>
        <w:tc>
          <w:tcPr>
            <w:tcW w:w="19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12"/>
              </w:rPr>
            </w:pPr>
            <w:r>
              <w:rPr>
                <w:rFonts w:ascii="Arial" w:hAnsi="Arial"/>
                <w:b w:val="false"/>
                <w:sz w:val="12"/>
              </w:rPr>
              <w:t>)</w:t>
            </w:r>
          </w:p>
        </w:tc>
      </w:tr>
    </w:tbl>
    <w:p>
      <w:pPr>
        <w:pStyle w:val="TextBody"/>
        <w:spacing w:lineRule="auto" w:line="273" w:before="0" w:after="0"/>
        <w:jc w:val="left"/>
        <w:rPr>
          <w:rFonts w:ascii="Times New Roman" w:hAnsi="Times New Roman"/>
          <w:b w:val="false"/>
          <w:sz w:val="20"/>
        </w:rPr>
      </w:pPr>
      <w:r>
        <w:rPr>
          <w:rFonts w:ascii="Times New Roman" w:hAnsi="Times New Roman"/>
          <w:b w:val="false"/>
          <w:sz w:val="20"/>
        </w:rPr>
        <w:t>__________________________</w:t>
      </w:r>
    </w:p>
    <w:p>
      <w:pPr>
        <w:pStyle w:val="TextBody"/>
        <w:spacing w:lineRule="auto" w:line="273" w:before="0" w:after="0"/>
        <w:jc w:val="left"/>
        <w:rPr>
          <w:rFonts w:ascii="Times New Roman" w:hAnsi="Times New Roman"/>
          <w:sz w:val="20"/>
        </w:rPr>
      </w:pPr>
      <w:r>
        <w:rPr>
          <w:rFonts w:ascii="Arial" w:hAnsi="Arial"/>
          <w:b w:val="false"/>
          <w:sz w:val="12"/>
        </w:rPr>
        <w:t>* amount less than $1</w:t>
      </w:r>
      <w:r>
        <w:rPr>
          <w:rFonts w:ascii="Times New Roman" w:hAnsi="Times New Roman"/>
          <w:sz w:val="20"/>
        </w:rPr>
        <w:t xml:space="preserve"> </w:t>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sz w:val="20"/>
        </w:rPr>
        <w:t>FLYWIRE CORPORATION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10" w:name="condensed_cash_flows"/>
      <w:bookmarkEnd w:id="10"/>
      <w:r>
        <w:rPr>
          <w:rFonts w:ascii="Arial" w:hAnsi="Arial"/>
          <w:b/>
          <w:sz w:val="20"/>
        </w:rPr>
        <w:t>CONDENSED CONSOLIDATED STATEMENT OF CASH FLOWS</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val="false"/>
          <w:sz w:val="20"/>
        </w:rPr>
        <w:t>(Unaudited) (Amounts in thousands)</w:t>
      </w:r>
      <w:r>
        <w:rPr>
          <w:rFonts w:ascii="Times New Roman" w:hAnsi="Times New Roman"/>
          <w:sz w:val="20"/>
        </w:rPr>
        <w:t xml:space="preserve"> </w:t>
      </w:r>
    </w:p>
    <w:p>
      <w:pPr>
        <w:pStyle w:val="TextBody"/>
        <w:spacing w:lineRule="auto" w:line="273" w:before="0" w:after="0"/>
        <w:jc w:val="center"/>
        <w:rPr/>
      </w:pPr>
      <w:r>
        <w:rPr/>
        <w:t> </w:t>
      </w:r>
    </w:p>
    <w:tbl>
      <w:tblPr>
        <w:tblW w:w="10066" w:type="dxa"/>
        <w:jc w:val="left"/>
        <w:tblInd w:w="0" w:type="dxa"/>
        <w:tblCellMar>
          <w:top w:w="28" w:type="dxa"/>
          <w:left w:w="28" w:type="dxa"/>
          <w:bottom w:w="28" w:type="dxa"/>
          <w:right w:w="28" w:type="dxa"/>
        </w:tblCellMar>
      </w:tblPr>
      <w:tblGrid>
        <w:gridCol w:w="6601"/>
        <w:gridCol w:w="146"/>
        <w:gridCol w:w="231"/>
        <w:gridCol w:w="872"/>
        <w:gridCol w:w="182"/>
        <w:gridCol w:w="160"/>
        <w:gridCol w:w="231"/>
        <w:gridCol w:w="872"/>
        <w:gridCol w:w="771"/>
      </w:tblGrid>
      <w:tr>
        <w:trPr/>
        <w:tc>
          <w:tcPr>
            <w:tcW w:w="6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r>
      <w:tr>
        <w:trPr/>
        <w:tc>
          <w:tcPr>
            <w:tcW w:w="66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flows from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(10,149</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(8,652</w:t>
            </w:r>
          </w:p>
        </w:tc>
        <w:tc>
          <w:tcPr>
            <w:tcW w:w="7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 xml:space="preserve">Adjustments to reconcile net loss to net cash used in operating </w:t>
              <w:br/>
              <w:t>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firstLine="280"/>
              <w:jc w:val="righ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2,817</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2,131</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5,495</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10,364</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Amortization of deferred contract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72</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 in fair value of preferred stock 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954</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 in fair value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w:t>
            </w:r>
          </w:p>
        </w:tc>
        <w:tc>
          <w:tcPr>
            <w:tcW w:w="77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Deferred tax provision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(53</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Bad debt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Non-cash 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Other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149</w:t>
            </w:r>
          </w:p>
        </w:tc>
        <w:tc>
          <w:tcPr>
            <w:tcW w:w="771" w:type="dxa"/>
            <w:tcBorders/>
            <w:shd w:fill="auto" w:val="cle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Changes in operating assets and liabilities, net of acquisition: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firstLine="420"/>
              <w:jc w:val="right"/>
              <w:rPr/>
            </w:pPr>
            <w:r>
              <w:rPr/>
              <w:t> </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(839</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w:t>
            </w:r>
          </w:p>
        </w:tc>
        <w:tc>
          <w:tcPr>
            <w:tcW w:w="771" w:type="dxa"/>
            <w:tcBorders/>
            <w:shd w:fill="auto" w:val="cle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Unbilled receivables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1,129</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1,080</w:t>
            </w:r>
          </w:p>
        </w:tc>
        <w:tc>
          <w:tcPr>
            <w:tcW w:w="771" w:type="dxa"/>
            <w:tcBorders/>
            <w:shd w:fill="auto" w:val="clear"/>
            <w:vAlign w:val="center"/>
          </w:tcPr>
          <w:p>
            <w:pPr>
              <w:pStyle w:val="TableContents"/>
              <w:spacing w:lineRule="auto" w:line="252" w:before="0" w:after="0"/>
              <w:ind w:left="0" w:right="0" w:firstLine="420"/>
              <w:jc w:val="left"/>
              <w:rPr/>
            </w:pPr>
            <w:r>
              <w:rPr/>
              <w:t> </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Funds receivable from payment partners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9,133</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13,342</w:t>
            </w:r>
          </w:p>
        </w:tc>
        <w:tc>
          <w:tcPr>
            <w:tcW w:w="771" w:type="dxa"/>
            <w:tcBorders/>
            <w:shd w:fill="auto" w:val="clear"/>
            <w:vAlign w:val="center"/>
          </w:tcPr>
          <w:p>
            <w:pPr>
              <w:pStyle w:val="TableContents"/>
              <w:spacing w:lineRule="auto" w:line="252" w:before="0" w:after="0"/>
              <w:ind w:left="0" w:right="0" w:firstLine="420"/>
              <w:jc w:val="left"/>
              <w:rPr/>
            </w:pPr>
            <w:r>
              <w:rPr/>
              <w:t> </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262</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(1,680</w:t>
            </w:r>
          </w:p>
        </w:tc>
        <w:tc>
          <w:tcPr>
            <w:tcW w:w="771" w:type="dxa"/>
            <w:tcBorders/>
            <w:shd w:fill="auto" w:val="cle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Funds payable to clients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(16,374</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(28,123</w:t>
            </w:r>
          </w:p>
        </w:tc>
        <w:tc>
          <w:tcPr>
            <w:tcW w:w="771" w:type="dxa"/>
            <w:tcBorders/>
            <w:shd w:fill="auto" w:val="cle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Accounts payable, 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(3,615</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(922</w:t>
            </w:r>
          </w:p>
        </w:tc>
        <w:tc>
          <w:tcPr>
            <w:tcW w:w="771" w:type="dxa"/>
            <w:tcBorders/>
            <w:shd w:fill="auto" w:val="cle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(4,524</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(3,212</w:t>
            </w:r>
          </w:p>
        </w:tc>
        <w:tc>
          <w:tcPr>
            <w:tcW w:w="771" w:type="dxa"/>
            <w:tcBorders/>
            <w:shd w:fill="auto" w:val="cle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Other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(385</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(150</w:t>
            </w:r>
          </w:p>
        </w:tc>
        <w:tc>
          <w:tcPr>
            <w:tcW w:w="771" w:type="dxa"/>
            <w:tcBorders/>
            <w:shd w:fill="auto" w:val="clear"/>
            <w:vAlign w:val="center"/>
          </w:tcPr>
          <w:p>
            <w:pPr>
              <w:pStyle w:val="TableContents"/>
              <w:spacing w:lineRule="auto" w:line="252" w:before="0" w:after="0"/>
              <w:ind w:left="0" w:right="0" w:firstLine="42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420" w:right="0" w:hanging="0"/>
              <w:jc w:val="left"/>
              <w:rPr>
                <w:rFonts w:ascii="Arial" w:hAnsi="Arial"/>
                <w:b w:val="false"/>
                <w:sz w:val="20"/>
              </w:rPr>
            </w:pPr>
            <w:r>
              <w:rPr>
                <w:rFonts w:ascii="Arial" w:hAnsi="Arial"/>
                <w:b w:val="false"/>
                <w:sz w:val="20"/>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1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(257</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(17,005</w:t>
            </w:r>
          </w:p>
        </w:tc>
        <w:tc>
          <w:tcPr>
            <w:tcW w:w="1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(14,792</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flows from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Purchases of property and equipment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(1,307</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(1,473</w:t>
            </w:r>
          </w:p>
        </w:tc>
        <w:tc>
          <w:tcPr>
            <w:tcW w:w="771" w:type="dxa"/>
            <w:tcBorders/>
            <w:shd w:fill="auto" w:val="clear"/>
            <w:vAlign w:val="center"/>
          </w:tcPr>
          <w:p>
            <w:pPr>
              <w:pStyle w:val="TableContents"/>
              <w:spacing w:lineRule="auto" w:line="252" w:before="0" w:after="0"/>
              <w:ind w:left="0" w:right="0" w:firstLine="56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7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(1,307</w:t>
            </w:r>
          </w:p>
        </w:tc>
        <w:tc>
          <w:tcPr>
            <w:tcW w:w="18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7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(1,473</w:t>
            </w:r>
          </w:p>
        </w:tc>
        <w:tc>
          <w:tcPr>
            <w:tcW w:w="77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flows from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Payment of deferred offering costs related to initial public offering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(163</w:t>
            </w:r>
          </w:p>
        </w:tc>
        <w:tc>
          <w:tcPr>
            <w:tcW w:w="7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 xml:space="preserve">Proceeds from issuance of redeemable convertible preferred stock, </w:t>
              <w:br/>
              <w:t>   net of issuance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59,735</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Contingent consideration paid for acquisitions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(3,320</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(3,800</w:t>
            </w:r>
          </w:p>
        </w:tc>
        <w:tc>
          <w:tcPr>
            <w:tcW w:w="7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Payments of tax withholdings for net settled option exercises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(756</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Proceeds from exercise of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1,071</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2,406</w:t>
            </w:r>
          </w:p>
        </w:tc>
        <w:tc>
          <w:tcPr>
            <w:tcW w:w="771" w:type="dxa"/>
            <w:tcBorders/>
            <w:shd w:fill="auto" w:val="clear"/>
            <w:vAlign w:val="center"/>
          </w:tcPr>
          <w:p>
            <w:pPr>
              <w:pStyle w:val="TableContents"/>
              <w:spacing w:lineRule="auto" w:line="252" w:before="0" w:after="0"/>
              <w:ind w:left="0" w:right="0" w:firstLine="560"/>
              <w:jc w:val="left"/>
              <w:rPr/>
            </w:pPr>
            <w:r>
              <w:rPr/>
              <w:t> </w:t>
            </w:r>
          </w:p>
        </w:tc>
      </w:tr>
      <w:tr>
        <w:trPr/>
        <w:tc>
          <w:tcPr>
            <w:tcW w:w="6601" w:type="dxa"/>
            <w:tcBorders/>
            <w:shd w:fill="auto" w:val="clear"/>
            <w:vAlign w:val="center"/>
          </w:tcPr>
          <w:p>
            <w:pPr>
              <w:pStyle w:val="TableContents"/>
              <w:spacing w:lineRule="auto" w:line="252" w:before="0" w:after="0"/>
              <w:ind w:left="560" w:right="0" w:hanging="0"/>
              <w:jc w:val="left"/>
              <w:rPr>
                <w:rFonts w:ascii="Arial" w:hAnsi="Arial"/>
                <w:b w:val="false"/>
                <w:sz w:val="20"/>
              </w:rPr>
            </w:pPr>
            <w:r>
              <w:rPr>
                <w:rFonts w:ascii="Arial" w:hAnsi="Arial"/>
                <w:b w:val="false"/>
                <w:sz w:val="20"/>
              </w:rPr>
              <w:t>Net cash (used in)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7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(3,005</w:t>
            </w:r>
          </w:p>
        </w:tc>
        <w:tc>
          <w:tcPr>
            <w:tcW w:w="18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c>
          <w:tcPr>
            <w:tcW w:w="872"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58,178</w:t>
            </w:r>
          </w:p>
        </w:tc>
        <w:tc>
          <w:tcPr>
            <w:tcW w:w="771" w:type="dxa"/>
            <w:tcBorders>
              <w:top w:val="single" w:sz="4" w:space="0" w:color="000000"/>
              <w:bottom w:val="single" w:sz="4" w:space="0" w:color="000000"/>
            </w:tcBorders>
            <w:shd w:fill="auto" w:val="clear"/>
            <w:tcMar>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Effect of exchange rates changes on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1,702</w:t>
            </w:r>
          </w:p>
        </w:tc>
        <w:tc>
          <w:tcPr>
            <w:tcW w:w="1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348</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Net (decrease)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(19,615</w:t>
            </w:r>
          </w:p>
        </w:tc>
        <w:tc>
          <w:tcPr>
            <w:tcW w:w="18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42,261</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cash equivalents and restricted cash, beginning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389,360</w:t>
            </w:r>
          </w:p>
        </w:tc>
        <w:tc>
          <w:tcPr>
            <w:tcW w:w="1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109,052</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Cash, cash equivalents and restricted cash, end of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369,745</w:t>
            </w:r>
          </w:p>
        </w:tc>
        <w:tc>
          <w:tcPr>
            <w:tcW w:w="1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151,313</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Supplemental disclosures of cash flow and noncash information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paid during the period for interest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95</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531</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Accretion of redeemable convertible preferred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7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Purchase of property and equipment in 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Deferred offering costs related to initial public offering included in accounts</w:t>
              <w:br/>
              <w:t>   payable, accrued expenses and other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pPr>
            <w:r>
              <w:rPr/>
              <w:t>—</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pPr>
            <w:r>
              <w:rPr/>
              <w:t> </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2,149</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Reconciliation of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182" w:type="dxa"/>
            <w:tcBorders/>
            <w:shd w:fill="auto" w:val="clear"/>
            <w:vAlign w:val="center"/>
          </w:tcPr>
          <w:p>
            <w:pPr>
              <w:pStyle w:val="TableContents"/>
              <w:spacing w:lineRule="auto" w:line="252" w:before="0" w:after="0"/>
              <w:ind w:left="0" w:right="0" w:hanging="0"/>
              <w:jc w:val="righ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1103" w:type="dxa"/>
            <w:gridSpan w:val="2"/>
            <w:tcBorders/>
            <w:shd w:fill="auto" w:val="clear"/>
            <w:vAlign w:val="center"/>
          </w:tcPr>
          <w:p>
            <w:pPr>
              <w:pStyle w:val="TableContents"/>
              <w:spacing w:lineRule="auto" w:line="252" w:before="0" w:after="0"/>
              <w:ind w:left="0" w:right="0" w:hanging="0"/>
              <w:jc w:val="right"/>
              <w:rPr/>
            </w:pPr>
            <w:r>
              <w:rPr/>
              <w:t> </w:t>
            </w:r>
          </w:p>
        </w:tc>
        <w:tc>
          <w:tcPr>
            <w:tcW w:w="771" w:type="dxa"/>
            <w:tcBorders/>
            <w:shd w:fill="auto" w:val="clear"/>
            <w:vAlign w:val="center"/>
          </w:tcPr>
          <w:p>
            <w:pPr>
              <w:pStyle w:val="TableContents"/>
              <w:spacing w:lineRule="auto" w:line="252" w:before="0" w:after="0"/>
              <w:ind w:left="0" w:right="0" w:hanging="0"/>
              <w:jc w:val="righ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365,745</w:t>
            </w:r>
          </w:p>
        </w:tc>
        <w:tc>
          <w:tcPr>
            <w:tcW w:w="182" w:type="dxa"/>
            <w:tcBorders/>
            <w:shd w:fill="auto" w:val="cle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146,313</w:t>
            </w:r>
          </w:p>
        </w:tc>
        <w:tc>
          <w:tcPr>
            <w:tcW w:w="771" w:type="dxa"/>
            <w:tcBorders/>
            <w:shd w:fill="auto" w:val="clear"/>
            <w:vAlign w:val="center"/>
          </w:tcPr>
          <w:p>
            <w:pPr>
              <w:pStyle w:val="TableContents"/>
              <w:spacing w:lineRule="auto" w:line="252" w:before="0" w:after="0"/>
              <w:ind w:left="0" w:right="0" w:hanging="0"/>
              <w:jc w:val="left"/>
              <w:rPr/>
            </w:pPr>
            <w:r>
              <w:rPr/>
              <w:t> </w:t>
            </w:r>
          </w:p>
        </w:tc>
      </w:tr>
      <w:tr>
        <w:trPr/>
        <w:tc>
          <w:tcPr>
            <w:tcW w:w="66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4,000</w:t>
            </w:r>
          </w:p>
        </w:tc>
        <w:tc>
          <w:tcPr>
            <w:tcW w:w="18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5,000</w:t>
            </w:r>
          </w:p>
        </w:tc>
        <w:tc>
          <w:tcPr>
            <w:tcW w:w="7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660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369,745</w:t>
            </w:r>
          </w:p>
        </w:tc>
        <w:tc>
          <w:tcPr>
            <w:tcW w:w="18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60" w:type="dxa"/>
            <w:tcBorders/>
            <w:shd w:fill="auto" w:val="clear"/>
            <w:vAlign w:val="center"/>
          </w:tcPr>
          <w:p>
            <w:pPr>
              <w:pStyle w:val="TableContents"/>
              <w:spacing w:lineRule="auto" w:line="252"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151,313</w:t>
            </w:r>
          </w:p>
        </w:tc>
        <w:tc>
          <w:tcPr>
            <w:tcW w:w="7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sz w:val="20"/>
        </w:rPr>
      </w:pPr>
      <w:r>
        <w:rPr>
          <w:rFonts w:ascii="Arial" w:hAnsi="Arial"/>
          <w:b w:val="false"/>
          <w:sz w:val="20"/>
        </w:rPr>
        <w:t>The accompanying notes are an integral part of these unaudited condensed consolidated financial statements.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w:t>
      </w:r>
    </w:p>
    <w:p>
      <w:pPr>
        <w:pStyle w:val="HorizontalLine"/>
        <w:rPr/>
      </w:pPr>
      <w:r>
        <w:rPr/>
      </w:r>
    </w:p>
    <w:p>
      <w:pPr>
        <w:pStyle w:val="TextBody"/>
        <w:spacing w:lineRule="auto" w:line="273" w:before="0" w:after="0"/>
        <w:jc w:val="left"/>
        <w:rPr/>
      </w:pPr>
      <w:r>
        <w:rPr/>
        <w:t> </w:t>
      </w:r>
    </w:p>
    <w:p>
      <w:pPr>
        <w:pStyle w:val="TextBody"/>
        <w:spacing w:lineRule="auto" w:line="273" w:before="0" w:after="0"/>
        <w:jc w:val="center"/>
        <w:rPr>
          <w:rFonts w:ascii="Times New Roman" w:hAnsi="Times New Roman"/>
          <w:sz w:val="20"/>
        </w:rPr>
      </w:pPr>
      <w:r>
        <w:rPr>
          <w:rFonts w:ascii="Arial" w:hAnsi="Arial"/>
          <w:b/>
          <w:sz w:val="20"/>
        </w:rPr>
        <w:t>FLYWIRE CORPORATION</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bookmarkStart w:id="11" w:name="nots_to_condensed"/>
      <w:bookmarkEnd w:id="11"/>
      <w:r>
        <w:rPr>
          <w:rFonts w:ascii="Arial" w:hAnsi="Arial"/>
          <w:b/>
          <w:sz w:val="20"/>
        </w:rPr>
        <w:t>NOTES TO CONDENSED CONSOLID</w:t>
      </w:r>
      <w:bookmarkStart w:id="12" w:name="notes_to_condensed_consolidated_financia"/>
      <w:bookmarkEnd w:id="12"/>
      <w:r>
        <w:rPr>
          <w:rFonts w:ascii="Arial" w:hAnsi="Arial"/>
          <w:b/>
          <w:sz w:val="20"/>
        </w:rPr>
        <w:t>ATED FINANCIAL STATEMENTS</w:t>
      </w:r>
      <w:r>
        <w:rPr>
          <w:rFonts w:ascii="Times New Roman" w:hAnsi="Times New Roman"/>
          <w:sz w:val="20"/>
        </w:rPr>
        <w:t xml:space="preserve"> </w:t>
      </w:r>
    </w:p>
    <w:p>
      <w:pPr>
        <w:pStyle w:val="TextBody"/>
        <w:spacing w:lineRule="auto" w:line="273" w:before="0" w:after="360"/>
        <w:jc w:val="center"/>
        <w:rPr>
          <w:rFonts w:ascii="Times New Roman" w:hAnsi="Times New Roman"/>
          <w:sz w:val="20"/>
        </w:rPr>
      </w:pPr>
      <w:r>
        <w:rPr>
          <w:rFonts w:ascii="Arial" w:hAnsi="Arial"/>
          <w:b w:val="false"/>
          <w:sz w:val="20"/>
        </w:rPr>
        <w:t>(Unaudited)</w:t>
      </w:r>
      <w:r>
        <w:rPr>
          <w:rFonts w:ascii="Times New Roman" w:hAnsi="Times New Roman"/>
          <w:sz w:val="20"/>
        </w:rPr>
        <w:t xml:space="preserve"> </w:t>
      </w:r>
    </w:p>
    <w:p>
      <w:pPr>
        <w:pStyle w:val="TextBody"/>
        <w:spacing w:lineRule="auto" w:line="273" w:before="0" w:after="0"/>
        <w:jc w:val="left"/>
        <w:rPr>
          <w:rFonts w:ascii="Times New Roman" w:hAnsi="Times New Roman"/>
          <w:sz w:val="20"/>
        </w:rPr>
      </w:pPr>
      <w:r>
        <w:rPr>
          <w:rFonts w:ascii="Arial" w:hAnsi="Arial"/>
          <w:b/>
          <w:sz w:val="20"/>
        </w:rPr>
        <w:t>1. Business Overview and Summary of Significant Accounting Policies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Flywire Corporation (Flywire or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Flywire provides a secure global payments platform, offering its clients an innovative and streamlined process to receive reconciled domestic and international payments in a more cost effective and efficient manner. The Company’s solutions are built on three core elements: (i) a next-gen payments platform, (ii) a proprietary global payment network, and (iii) vertical-specific software backed by its deep industry expertise.</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Initial Public Offering</w:t>
      </w:r>
    </w:p>
    <w:p>
      <w:pPr>
        <w:pStyle w:val="TextBody"/>
        <w:spacing w:lineRule="auto" w:line="273" w:before="200" w:after="200"/>
        <w:jc w:val="left"/>
        <w:rPr>
          <w:rFonts w:ascii="Times New Roman" w:hAnsi="Times New Roman"/>
          <w:sz w:val="20"/>
        </w:rPr>
      </w:pPr>
      <w:r>
        <w:rPr>
          <w:rFonts w:ascii="Arial" w:hAnsi="Arial"/>
          <w:b w:val="false"/>
          <w:sz w:val="20"/>
        </w:rPr>
        <w:t>On May 28, 2021, in connection with the Company’s initial public offering (IPO), the Company filed an amended and restated certificate of incorporation, which became effective on that date. The amended and restated certificate of incorporation authorized the issuance of 2,000,000,000</w:t>
      </w:r>
      <w:r>
        <w:rPr>
          <w:rFonts w:ascii="Times New Roman" w:hAnsi="Times New Roman"/>
          <w:sz w:val="20"/>
        </w:rPr>
        <w:t xml:space="preserve"> </w:t>
      </w:r>
      <w:r>
        <w:rPr>
          <w:rFonts w:ascii="Arial" w:hAnsi="Arial"/>
          <w:b w:val="false"/>
          <w:sz w:val="20"/>
        </w:rPr>
        <w:t>shares of voting common stock, 10,000,000</w:t>
      </w:r>
      <w:r>
        <w:rPr>
          <w:rFonts w:ascii="Times New Roman" w:hAnsi="Times New Roman"/>
          <w:sz w:val="20"/>
        </w:rPr>
        <w:t xml:space="preserve"> </w:t>
      </w:r>
      <w:r>
        <w:rPr>
          <w:rFonts w:ascii="Arial" w:hAnsi="Arial"/>
          <w:b w:val="false"/>
          <w:sz w:val="20"/>
        </w:rPr>
        <w:t>shares of non-voting common stock and 10,000,000</w:t>
      </w:r>
      <w:r>
        <w:rPr>
          <w:rFonts w:ascii="Times New Roman" w:hAnsi="Times New Roman"/>
          <w:sz w:val="20"/>
        </w:rPr>
        <w:t xml:space="preserve"> </w:t>
      </w:r>
      <w:r>
        <w:rPr>
          <w:rFonts w:ascii="Arial" w:hAnsi="Arial"/>
          <w:b w:val="false"/>
          <w:sz w:val="20"/>
        </w:rPr>
        <w:t>shares of preferred stock. Each class of stock has a par value of $0.0001</w:t>
      </w:r>
      <w:r>
        <w:rPr>
          <w:rFonts w:ascii="Times New Roman" w:hAnsi="Times New Roman"/>
          <w:sz w:val="20"/>
        </w:rPr>
        <w:t xml:space="preserve"> </w:t>
      </w:r>
      <w:r>
        <w:rPr>
          <w:rFonts w:ascii="Arial" w:hAnsi="Arial"/>
          <w:b w:val="false"/>
          <w:sz w:val="20"/>
        </w:rPr>
        <w:t>per share.</w:t>
      </w:r>
    </w:p>
    <w:p>
      <w:pPr>
        <w:pStyle w:val="TextBody"/>
        <w:spacing w:lineRule="auto" w:line="273" w:before="200" w:after="200"/>
        <w:jc w:val="left"/>
        <w:rPr>
          <w:rFonts w:ascii="Times New Roman" w:hAnsi="Times New Roman"/>
          <w:sz w:val="20"/>
        </w:rPr>
      </w:pPr>
      <w:r>
        <w:rPr>
          <w:rFonts w:ascii="Arial" w:hAnsi="Arial"/>
          <w:b w:val="false"/>
          <w:sz w:val="20"/>
        </w:rPr>
        <w:t>On May 28, 2021, the Company completed its IPO, in which the Company issued and sold 12,006,000</w:t>
      </w:r>
      <w:r>
        <w:rPr>
          <w:rFonts w:ascii="Times New Roman" w:hAnsi="Times New Roman"/>
          <w:sz w:val="20"/>
        </w:rPr>
        <w:t xml:space="preserve"> </w:t>
      </w:r>
      <w:r>
        <w:rPr>
          <w:rFonts w:ascii="Arial" w:hAnsi="Arial"/>
          <w:b w:val="false"/>
          <w:sz w:val="20"/>
        </w:rPr>
        <w:t>shares of voting common stock at a public offering price of $24.00</w:t>
      </w:r>
      <w:r>
        <w:rPr>
          <w:rFonts w:ascii="Times New Roman" w:hAnsi="Times New Roman"/>
          <w:sz w:val="20"/>
        </w:rPr>
        <w:t xml:space="preserve"> </w:t>
      </w:r>
      <w:r>
        <w:rPr>
          <w:rFonts w:ascii="Arial" w:hAnsi="Arial"/>
          <w:b w:val="false"/>
          <w:sz w:val="20"/>
        </w:rPr>
        <w:t>per share, which included 1,566,000</w:t>
      </w:r>
      <w:r>
        <w:rPr>
          <w:rFonts w:ascii="Times New Roman" w:hAnsi="Times New Roman"/>
          <w:sz w:val="20"/>
        </w:rPr>
        <w:t xml:space="preserve"> </w:t>
      </w:r>
      <w:r>
        <w:rPr>
          <w:rFonts w:ascii="Arial" w:hAnsi="Arial"/>
          <w:b w:val="false"/>
          <w:sz w:val="20"/>
        </w:rPr>
        <w:t>shares of voting common stock issued pursuant to the exercise in full of the underwriters' option to purchase additional shares. The Company received $263.8</w:t>
      </w:r>
      <w:r>
        <w:rPr>
          <w:rFonts w:ascii="Times New Roman" w:hAnsi="Times New Roman"/>
          <w:sz w:val="20"/>
        </w:rPr>
        <w:t xml:space="preserve"> </w:t>
      </w:r>
      <w:r>
        <w:rPr>
          <w:rFonts w:ascii="Arial" w:hAnsi="Arial"/>
          <w:b w:val="false"/>
          <w:sz w:val="20"/>
        </w:rPr>
        <w:t>million in net proceeds from the IPO, after deducting underwriting discounts and commissions of $19.4</w:t>
      </w:r>
      <w:r>
        <w:rPr>
          <w:rFonts w:ascii="Times New Roman" w:hAnsi="Times New Roman"/>
          <w:sz w:val="20"/>
        </w:rPr>
        <w:t xml:space="preserve"> </w:t>
      </w:r>
      <w:r>
        <w:rPr>
          <w:rFonts w:ascii="Arial" w:hAnsi="Arial"/>
          <w:b w:val="false"/>
          <w:sz w:val="20"/>
        </w:rPr>
        <w:t>million and other offering costs of $4.9</w:t>
      </w:r>
      <w:r>
        <w:rPr>
          <w:rFonts w:ascii="Times New Roman" w:hAnsi="Times New Roman"/>
          <w:sz w:val="20"/>
        </w:rPr>
        <w:t xml:space="preserve"> </w:t>
      </w:r>
      <w:r>
        <w:rPr>
          <w:rFonts w:ascii="Arial" w:hAnsi="Arial"/>
          <w:b w:val="false"/>
          <w:sz w:val="20"/>
        </w:rPr>
        <w:t>million.</w:t>
      </w:r>
    </w:p>
    <w:p>
      <w:pPr>
        <w:pStyle w:val="TextBody"/>
        <w:spacing w:lineRule="auto" w:line="273" w:before="200" w:after="200"/>
        <w:jc w:val="left"/>
        <w:rPr>
          <w:rFonts w:ascii="Times New Roman" w:hAnsi="Times New Roman"/>
          <w:sz w:val="20"/>
        </w:rPr>
      </w:pPr>
      <w:r>
        <w:rPr>
          <w:rFonts w:ascii="Arial" w:hAnsi="Arial"/>
          <w:b w:val="false"/>
          <w:sz w:val="20"/>
        </w:rPr>
        <w:t>Immediately prior to the closing of the IPO, all shares of the Company’s outstanding convertible preferred stock and redeemable convertible preferred stock, including 182,467</w:t>
      </w:r>
      <w:r>
        <w:rPr>
          <w:rFonts w:ascii="Times New Roman" w:hAnsi="Times New Roman"/>
          <w:sz w:val="20"/>
        </w:rPr>
        <w:t xml:space="preserve"> </w:t>
      </w:r>
      <w:r>
        <w:rPr>
          <w:rFonts w:ascii="Arial" w:hAnsi="Arial"/>
          <w:b w:val="false"/>
          <w:sz w:val="20"/>
        </w:rPr>
        <w:t>shares of preferred stock issued upon exercise of a warrant immediately prior to the closing of the IPO, were converted into 62,214,406</w:t>
      </w:r>
      <w:r>
        <w:rPr>
          <w:rFonts w:ascii="Times New Roman" w:hAnsi="Times New Roman"/>
          <w:sz w:val="20"/>
        </w:rPr>
        <w:t xml:space="preserve"> </w:t>
      </w:r>
      <w:r>
        <w:rPr>
          <w:rFonts w:ascii="Arial" w:hAnsi="Arial"/>
          <w:b w:val="false"/>
          <w:sz w:val="20"/>
        </w:rPr>
        <w:t>shares of voting common stock and 5,988,378</w:t>
      </w:r>
      <w:r>
        <w:rPr>
          <w:rFonts w:ascii="Times New Roman" w:hAnsi="Times New Roman"/>
          <w:sz w:val="20"/>
        </w:rPr>
        <w:t xml:space="preserve"> </w:t>
      </w:r>
      <w:r>
        <w:rPr>
          <w:rFonts w:ascii="Arial" w:hAnsi="Arial"/>
          <w:b w:val="false"/>
          <w:sz w:val="20"/>
        </w:rPr>
        <w:t>shares of non-voting common stock. Prior to the closing of the IPO, the Company had warrants to purchase 190,500</w:t>
      </w:r>
      <w:r>
        <w:rPr>
          <w:rFonts w:ascii="Times New Roman" w:hAnsi="Times New Roman"/>
          <w:sz w:val="20"/>
        </w:rPr>
        <w:t xml:space="preserve"> </w:t>
      </w:r>
      <w:r>
        <w:rPr>
          <w:rFonts w:ascii="Arial" w:hAnsi="Arial"/>
          <w:b w:val="false"/>
          <w:sz w:val="20"/>
        </w:rPr>
        <w:t>shares of its convertible preferred stock outstanding, such warrants were converted immediately prior to the closing of the IPO into warrants to purchase 190,500</w:t>
      </w:r>
      <w:r>
        <w:rPr>
          <w:rFonts w:ascii="Times New Roman" w:hAnsi="Times New Roman"/>
          <w:sz w:val="20"/>
        </w:rPr>
        <w:t xml:space="preserve"> </w:t>
      </w:r>
      <w:r>
        <w:rPr>
          <w:rFonts w:ascii="Arial" w:hAnsi="Arial"/>
          <w:b w:val="false"/>
          <w:sz w:val="20"/>
        </w:rPr>
        <w:t>shares of the Company’s voting common stock and the associated preferred stock warrant liabilities were remeasured to its fair value of $6.3</w:t>
      </w:r>
      <w:r>
        <w:rPr>
          <w:rFonts w:ascii="Times New Roman" w:hAnsi="Times New Roman"/>
          <w:sz w:val="20"/>
        </w:rPr>
        <w:t xml:space="preserve"> </w:t>
      </w:r>
      <w:r>
        <w:rPr>
          <w:rFonts w:ascii="Arial" w:hAnsi="Arial"/>
          <w:b w:val="false"/>
          <w:sz w:val="20"/>
        </w:rPr>
        <w:t>million and reclassified to additional paid-in capital.</w:t>
      </w:r>
    </w:p>
    <w:p>
      <w:pPr>
        <w:pStyle w:val="TextBody"/>
        <w:spacing w:lineRule="auto" w:line="273" w:before="200" w:after="200"/>
        <w:jc w:val="left"/>
        <w:rPr>
          <w:rFonts w:ascii="Arial" w:hAnsi="Arial"/>
          <w:b w:val="false"/>
          <w:sz w:val="20"/>
        </w:rPr>
      </w:pPr>
      <w:r>
        <w:rPr>
          <w:rFonts w:ascii="Arial" w:hAnsi="Arial"/>
          <w:b w:val="false"/>
          <w:sz w:val="20"/>
        </w:rPr>
        <w:t>Prior to the IPO, deferred offering costs, which consist of legal, accounting, consulting and other direct fees and costs relating to the IPO, were capitalized in other long-term assets. Upon the completion of the IPO, these costs were offset against the proceeds from the IPO and recorded as a reduction to additional paid-in capital.</w:t>
      </w:r>
    </w:p>
    <w:p>
      <w:pPr>
        <w:pStyle w:val="TextBody"/>
        <w:spacing w:lineRule="auto" w:line="273" w:before="200" w:after="200"/>
        <w:jc w:val="left"/>
        <w:rPr>
          <w:rFonts w:ascii="Times New Roman" w:hAnsi="Times New Roman"/>
          <w:sz w:val="20"/>
        </w:rPr>
      </w:pPr>
      <w:r>
        <w:rPr>
          <w:rFonts w:ascii="Arial" w:hAnsi="Arial"/>
          <w:b/>
          <w:i/>
          <w:sz w:val="20"/>
        </w:rPr>
        <w:t>Stock Split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May 2021, the Company filed an amendment to its amended and restated certificate of incorporation to effect a 3-for-1</w:t>
      </w:r>
      <w:r>
        <w:rPr>
          <w:rFonts w:ascii="Times New Roman" w:hAnsi="Times New Roman"/>
          <w:sz w:val="20"/>
        </w:rPr>
        <w:t xml:space="preserve"> </w:t>
      </w:r>
      <w:r>
        <w:rPr>
          <w:rFonts w:ascii="Arial" w:hAnsi="Arial"/>
          <w:b w:val="false"/>
          <w:sz w:val="20"/>
        </w:rPr>
        <w:t>forward stock split of its common stock, convertible preferred stock and redeemable convertible preferred stock. In connection with the forward stock split, each issued and outstanding share of common stock, automatically and without action on the part of the holders, became three shares of common stock, each issued and outstanding share of convertible preferred stock, automatically and without action on the part of the holders, became three shares of convertible preferred stock and each issued and outstanding share of redeemable convertible preferred stock, automatically and without action on the part of the holders, became three shares of redeemable convertible preferred stock. The par value per share of common stock, convertible preferred stock and redeemable convertible preferred stock was not adjusted. All references to the convertible preferred stock, redeemable convertible preferred stock, common stock, treasury stock, options to purchase common stock, restricted stock awards, warrants to purchase convertible preferred stock, warrants to purchase common stock, per share amounts and related information contained in the condensed consolidated financial statements have been retroactively adjusted to reflect the effect of the stock split for all periods presented.</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Basis of Presentation and Principles of Consolidation</w:t>
      </w:r>
    </w:p>
    <w:p>
      <w:pPr>
        <w:pStyle w:val="TextBody"/>
        <w:spacing w:lineRule="auto" w:line="273" w:before="200" w:after="200"/>
        <w:jc w:val="left"/>
        <w:rPr>
          <w:rFonts w:ascii="Times New Roman" w:hAnsi="Times New Roman"/>
          <w:sz w:val="20"/>
        </w:rPr>
      </w:pPr>
      <w:r>
        <w:rPr>
          <w:rFonts w:ascii="Arial" w:hAnsi="Arial"/>
          <w:b w:val="false"/>
          <w:sz w:val="20"/>
        </w:rPr>
        <w:t>The accompanying unaudited condensed consolidated financial statements include the accounts of the Company and its wholly owned subsidiaries and have been prepared in accordance with generally accepted accounting principles in the United States (GAAP) and applicable rules and regulations of the Securities and Exchange Commission (SEC)</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regarding interim financial reporting. The interim unaudited condensed consolidated financial statements have been prepared on the same basis as the annual audited consolidated financial statements and, in the opinion of management, reflect all adjustments, which include only normal recurring adjustments, necessary for the fair statement of the Company’s financial position, results of operations, comprehensive loss, changes in convertible preferred stock, redeemable convertible preferred stock and stockholders’ equity (deficit), and its cash flows for the periods presented.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results of operations for the three months ended March 31, 2022, are not necessarily indicative of results to be expected for the year ended December 31, 2022, any other interim periods or any future year or period. The accompanying consolidated balance sheet as of December 31, 2021 was derived from the Company’s audited consolidated financial statements for the year ended December 31, 2021. Certain information and note disclosures normally included in the annual consolidated financial statements prepared in accordance with GAAP have been condensed or omitted from the interim unaudited condensed consolidated financial statements.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These condensed consolidated financial statements should be read in conjunction with the audited consolidated financial statements and notes included in the Company’s Annual Report on Form 10-K for the fiscal year ended December 31, 2021.</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condensed consolidated financial statements include the accounts of Flywire Corporation and its wholly-owned subsidiaries. All intercompany accounts and transactions have been eliminated upon consolidation.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Segment Information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 xml:space="preserve">The Company has a single operating and reportable segment. The Company’s chief operating decision maker is its Chief Executive Officer, who reviews financial information presented on a consolidated basis for purposes of making operating decisions, assessing financial performance and allocating resources. See </w:t>
      </w:r>
      <w:r>
        <w:rPr>
          <w:rFonts w:ascii="Arial" w:hAnsi="Arial"/>
          <w:b w:val="false"/>
          <w:i/>
          <w:sz w:val="20"/>
        </w:rPr>
        <w:t>Note 2 - Revenue and Recognition</w:t>
      </w:r>
      <w:r>
        <w:rPr>
          <w:rFonts w:ascii="Times New Roman" w:hAnsi="Times New Roman"/>
          <w:sz w:val="20"/>
        </w:rPr>
        <w:t xml:space="preserve"> </w:t>
      </w:r>
      <w:r>
        <w:rPr>
          <w:rFonts w:ascii="Arial" w:hAnsi="Arial"/>
          <w:b w:val="false"/>
          <w:sz w:val="20"/>
        </w:rPr>
        <w:t>for information regarding the Company's revenue by geographic area.</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Use of Estimates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preparation of condensed consolidated financial statements in conformity with GAAP requires management to make estimates and assumptions that affect the amounts reported and disclosed in the condensed consolidated financial statements and the accompanying notes. Significant estimates and assumptions reflected in these financial statements include, but are not limited to, the valuation of common stock and stock-based awards, the valuation of the preferred stock warrant liability up until the date of the Company’s IPO, impairment assessment of goodwill, intangibles and other long-lived assets, the valuation of acquired intangible assets and their useful lives, and the valuation of contingent consideration. The Company bases its estimates on historical experience, known trends and other market-specific or other relevant factors that it believes to be reasonable under the circumstances. On an ongoing basis, the Company evaluates its estimates as there are changes in circumstances, facts and experience. Changes in estimates are recorded in the period in which they become known. Actual results may differ from those estimates or assumptions.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Impact of COVID-19</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On March 11, 2020, the World Health Organization declared the outbreak of a novel coronavirus (COVID-19) as a global pandemic. The unprecedented and rapid spread of COVID-19 as well as the shelter-in-place orders, promotion of social distancing measures, restrictions to businesses deemed non-essential, and travel restrictions implemented throughout the United States and globally significantly impacted the verticals in which the Company has been predominantly focused over the last decade, including payment volumes, sales cycles and time to implementation in those verticals. However, during this period the Company had not experienced any significant client attrition and our net dollar-based retention rate remained strong.</w:t>
      </w:r>
    </w:p>
    <w:p>
      <w:pPr>
        <w:pStyle w:val="TextBody"/>
        <w:spacing w:lineRule="auto" w:line="273" w:before="200" w:after="200"/>
        <w:jc w:val="left"/>
        <w:rPr>
          <w:rFonts w:ascii="Arial" w:hAnsi="Arial"/>
          <w:b w:val="false"/>
          <w:sz w:val="20"/>
        </w:rPr>
      </w:pPr>
      <w:r>
        <w:rPr>
          <w:rFonts w:ascii="Arial" w:hAnsi="Arial"/>
          <w:b w:val="false"/>
          <w:sz w:val="20"/>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During the three months ended March 31, 2022, the Company observed recoveries in total payment volume and revenue. The growth in both total payment volume and revenue was a result of economies continuing to reopen. Additionally, the Company has resumed hiring across all departments to meet growth and public company challenges. The Company does not currently foresee the need to take additional actions; however, as variants or sub-variants of COVID-19 emerge, the Company continues to evaluate the nature and extent of these potential impacts to the Company's business, condensed consolidated financial statements, and liquidity.</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i/>
          <w:sz w:val="20"/>
        </w:rPr>
      </w:pPr>
      <w:r>
        <w:rPr>
          <w:rFonts w:ascii="Arial" w:hAnsi="Arial"/>
          <w:b/>
          <w:i/>
          <w:sz w:val="20"/>
        </w:rPr>
        <w:t>Impact of the Conflict between Russia and Ukraine</w:t>
      </w:r>
    </w:p>
    <w:p>
      <w:pPr>
        <w:pStyle w:val="TextBody"/>
        <w:spacing w:lineRule="auto" w:line="273" w:before="200" w:after="200"/>
        <w:jc w:val="left"/>
        <w:rPr>
          <w:rFonts w:ascii="Arial" w:hAnsi="Arial"/>
          <w:b w:val="false"/>
          <w:sz w:val="20"/>
        </w:rPr>
      </w:pPr>
      <w:r>
        <w:rPr>
          <w:rFonts w:ascii="Arial" w:hAnsi="Arial"/>
          <w:b w:val="false"/>
          <w:sz w:val="20"/>
        </w:rPr>
        <w:t>The Company does not have any operations, including long-lived assets, in Ukraine or Russia, and to the Company’s knowledge, clients do not receive material amounts of payments from payers in these regions. As of the issuance date of these condensed consolidated financial statements, the current conflict between Russia and Ukraine has not had a direct material impact on the Company’s revenue or results of operations or financial position. However, the Company notes Ukraine is a major engineering hub and the conflict may create a global challenge in outsourcing or hiring engineering talent. In addition, a prolonged conflict or the spill-over of war into other European countries may in the future, have an impact on macroeconomic conditions which could significantly impact the verticals in which the Company has been predominantly focused over the last decade, including payment volumes, sales cycles and time to implementation and consequently, the Company’s revenue or results of operations or financial position.</w:t>
      </w:r>
    </w:p>
    <w:p>
      <w:pPr>
        <w:pStyle w:val="TextBody"/>
        <w:spacing w:lineRule="auto" w:line="273" w:before="200" w:after="200"/>
        <w:jc w:val="left"/>
        <w:rPr>
          <w:rFonts w:ascii="Times New Roman" w:hAnsi="Times New Roman"/>
          <w:sz w:val="20"/>
        </w:rPr>
      </w:pPr>
      <w:r>
        <w:rPr>
          <w:rFonts w:ascii="Arial" w:hAnsi="Arial"/>
          <w:b/>
          <w:i/>
          <w:sz w:val="20"/>
        </w:rPr>
        <w:t>Concentrations of Credit Risk, Financial Instruments and Significant Clients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 evaluates credit worthiness of its clients and maintains allowances, to the extent necessary, for potential credit losses based upon the aging of its accounts receivable balances and known collection issues.</w:t>
      </w:r>
      <w:r>
        <w:rPr>
          <w:rFonts w:ascii="Times New Roman" w:hAnsi="Times New Roman"/>
          <w:sz w:val="20"/>
        </w:rPr>
        <w:t xml:space="preserve"> </w:t>
      </w:r>
      <w:r>
        <w:rPr>
          <w:rFonts w:ascii="Arial" w:hAnsi="Arial"/>
          <w:b w:val="false"/>
          <w:sz w:val="20"/>
        </w:rPr>
        <w:t>The Company has not experienced any material credit losses for the three months ended March 31, 2022.</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Accounts receivable are derived from revenue earned from clients located in the U.S. and internationally. Significant clients are those that represent 10% or more of accounts receivable, net as set forth in the following table:</w:t>
      </w:r>
      <w:r>
        <w:rPr>
          <w:rFonts w:ascii="Times New Roman" w:hAnsi="Times New Roman"/>
          <w:sz w:val="20"/>
        </w:rPr>
        <w:t xml:space="preserve"> </w:t>
      </w:r>
    </w:p>
    <w:tbl>
      <w:tblPr>
        <w:tblW w:w="3745" w:type="dxa"/>
        <w:jc w:val="left"/>
        <w:tblInd w:w="0" w:type="dxa"/>
        <w:tblCellMar>
          <w:top w:w="28" w:type="dxa"/>
          <w:left w:w="28" w:type="dxa"/>
          <w:bottom w:w="28" w:type="dxa"/>
          <w:right w:w="28" w:type="dxa"/>
        </w:tblCellMar>
      </w:tblPr>
      <w:tblGrid>
        <w:gridCol w:w="811"/>
        <w:gridCol w:w="146"/>
        <w:gridCol w:w="270"/>
        <w:gridCol w:w="585"/>
        <w:gridCol w:w="286"/>
        <w:gridCol w:w="146"/>
        <w:gridCol w:w="369"/>
        <w:gridCol w:w="801"/>
        <w:gridCol w:w="331"/>
      </w:tblGrid>
      <w:tr>
        <w:trPr/>
        <w:tc>
          <w:tcPr>
            <w:tcW w:w="8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8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5"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2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331" w:type="dxa"/>
            <w:tcBorders/>
            <w:shd w:fill="auto" w:val="clear"/>
            <w:vAlign w:val="center"/>
          </w:tcPr>
          <w:p>
            <w:pPr>
              <w:pStyle w:val="TableContents"/>
              <w:spacing w:lineRule="auto" w:line="252" w:before="0" w:after="0"/>
              <w:ind w:left="0" w:right="0" w:hanging="0"/>
              <w:jc w:val="center"/>
              <w:rPr/>
            </w:pPr>
            <w:r>
              <w:rPr/>
              <w:t> </w:t>
            </w:r>
          </w:p>
        </w:tc>
      </w:tr>
      <w:tr>
        <w:trPr/>
        <w:tc>
          <w:tcPr>
            <w:tcW w:w="8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Client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58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8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Client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rFonts w:ascii="Arial" w:hAnsi="Arial"/>
          <w:b w:val="false"/>
          <w:sz w:val="16"/>
        </w:rPr>
      </w:pPr>
      <w:r>
        <w:rPr>
          <w:rFonts w:ascii="Arial" w:hAnsi="Arial"/>
          <w:b w:val="false"/>
          <w:sz w:val="16"/>
        </w:rPr>
        <w:t>___________________________</w:t>
      </w:r>
    </w:p>
    <w:p>
      <w:pPr>
        <w:pStyle w:val="TextBody"/>
        <w:spacing w:lineRule="auto" w:line="273" w:before="0" w:after="0"/>
        <w:jc w:val="left"/>
        <w:rPr>
          <w:rFonts w:ascii="Times New Roman" w:hAnsi="Times New Roman"/>
          <w:sz w:val="20"/>
        </w:rPr>
      </w:pPr>
      <w:r>
        <w:rPr>
          <w:rFonts w:ascii="Arial" w:hAnsi="Arial"/>
          <w:b w:val="false"/>
          <w:sz w:val="16"/>
        </w:rPr>
        <w:t>* Less than 10% of total balance.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Funds receivable from payment partners consist primarily of cash held by the Company’s global payment processing partners that have not yet been remitted to the Company. Significant partners are those that represent 10% or more of funds receivable from payment partners as set forth in the following table:</w:t>
      </w:r>
      <w:r>
        <w:rPr>
          <w:rFonts w:ascii="Times New Roman" w:hAnsi="Times New Roman"/>
          <w:sz w:val="20"/>
        </w:rPr>
        <w:t xml:space="preserve"> </w:t>
      </w:r>
    </w:p>
    <w:tbl>
      <w:tblPr>
        <w:tblW w:w="3880" w:type="dxa"/>
        <w:jc w:val="left"/>
        <w:tblInd w:w="0" w:type="dxa"/>
        <w:tblCellMar>
          <w:top w:w="28" w:type="dxa"/>
          <w:left w:w="28" w:type="dxa"/>
          <w:bottom w:w="28" w:type="dxa"/>
          <w:right w:w="28" w:type="dxa"/>
        </w:tblCellMar>
      </w:tblPr>
      <w:tblGrid>
        <w:gridCol w:w="946"/>
        <w:gridCol w:w="146"/>
        <w:gridCol w:w="270"/>
        <w:gridCol w:w="585"/>
        <w:gridCol w:w="286"/>
        <w:gridCol w:w="146"/>
        <w:gridCol w:w="369"/>
        <w:gridCol w:w="801"/>
        <w:gridCol w:w="331"/>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5"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r>
          </w:p>
        </w:tc>
        <w:tc>
          <w:tcPr>
            <w:tcW w:w="2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r>
          </w:p>
        </w:tc>
        <w:tc>
          <w:tcPr>
            <w:tcW w:w="331" w:type="dxa"/>
            <w:tcBorders/>
            <w:shd w:fill="auto" w:val="clear"/>
            <w:vAlign w:val="center"/>
          </w:tcPr>
          <w:p>
            <w:pPr>
              <w:pStyle w:val="TableContents"/>
              <w:spacing w:lineRule="auto" w:line="252" w:before="0" w:after="0"/>
              <w:ind w:left="0" w:right="0" w:hanging="0"/>
              <w:jc w:val="center"/>
              <w:rPr/>
            </w:pPr>
            <w:r>
              <w:rPr/>
              <w:t> </w:t>
            </w:r>
          </w:p>
        </w:tc>
      </w:tr>
      <w:tr>
        <w:trPr/>
        <w:tc>
          <w:tcPr>
            <w:tcW w:w="9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9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Partner 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58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9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Partner B</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5" w:type="dxa"/>
            <w:gridSpan w:val="2"/>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9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Partner C</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58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9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Partner 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58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69" w:type="dxa"/>
            <w:tcBorders/>
            <w:shd w:fill="auto" w:val="clear"/>
            <w:vAlign w:val="center"/>
          </w:tcPr>
          <w:p>
            <w:pPr>
              <w:pStyle w:val="TableContents"/>
              <w:spacing w:lineRule="auto" w:line="252" w:before="0" w:after="0"/>
              <w:ind w:left="0" w:right="0" w:hanging="0"/>
              <w:jc w:val="left"/>
              <w:rPr/>
            </w:pPr>
            <w:r>
              <w:rPr/>
              <w:t> </w:t>
            </w:r>
          </w:p>
        </w:tc>
        <w:tc>
          <w:tcPr>
            <w:tcW w:w="80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rFonts w:ascii="Arial" w:hAnsi="Arial"/>
          <w:b w:val="false"/>
          <w:sz w:val="20"/>
        </w:rPr>
      </w:pPr>
      <w:r>
        <w:rPr>
          <w:rFonts w:ascii="Arial" w:hAnsi="Arial"/>
          <w:b w:val="false"/>
          <w:sz w:val="20"/>
        </w:rPr>
        <w:t>______________________</w:t>
      </w:r>
    </w:p>
    <w:p>
      <w:pPr>
        <w:pStyle w:val="TextBody"/>
        <w:spacing w:lineRule="auto" w:line="273" w:before="0" w:after="0"/>
        <w:jc w:val="left"/>
        <w:rPr>
          <w:rFonts w:ascii="Times New Roman" w:hAnsi="Times New Roman"/>
          <w:sz w:val="20"/>
        </w:rPr>
      </w:pPr>
      <w:r>
        <w:rPr>
          <w:rFonts w:ascii="Arial" w:hAnsi="Arial"/>
          <w:b w:val="false"/>
          <w:sz w:val="16"/>
        </w:rPr>
        <w:t>* Less than 10% of total balance.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2022 and 2021, no client accounted for 10% or more of revenue.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2022 and 2021, revenue from clients located outside of the United States in the aggregate accounted for 37.2% and 25.4% of the Company’s total revenue, respectively, with Canada accounting for 12.6% and 12.3%, respectively and the United Kingdom accounting for</w:t>
      </w:r>
      <w:r>
        <w:rPr>
          <w:rFonts w:ascii="Times New Roman" w:hAnsi="Times New Roman"/>
          <w:sz w:val="20"/>
        </w:rPr>
        <w:t xml:space="preserve"> </w:t>
      </w:r>
      <w:r>
        <w:rPr>
          <w:rFonts w:ascii="Arial" w:hAnsi="Arial"/>
          <w:b w:val="false"/>
          <w:sz w:val="20"/>
        </w:rPr>
        <w:t>15.3%</w:t>
      </w:r>
      <w:r>
        <w:rPr>
          <w:rFonts w:ascii="Times New Roman" w:hAnsi="Times New Roman"/>
          <w:sz w:val="20"/>
        </w:rPr>
        <w:t xml:space="preserve"> </w:t>
      </w:r>
      <w:r>
        <w:rPr>
          <w:rFonts w:ascii="Arial" w:hAnsi="Arial"/>
          <w:b w:val="false"/>
          <w:sz w:val="20"/>
        </w:rPr>
        <w:t>and</w:t>
      </w:r>
      <w:r>
        <w:rPr>
          <w:rFonts w:ascii="Times New Roman" w:hAnsi="Times New Roman"/>
          <w:sz w:val="20"/>
        </w:rPr>
        <w:t xml:space="preserve"> </w:t>
      </w:r>
      <w:r>
        <w:rPr>
          <w:rFonts w:ascii="Arial" w:hAnsi="Arial"/>
          <w:b w:val="false"/>
          <w:sz w:val="20"/>
        </w:rPr>
        <w:t>7.6%, respectively.</w:t>
      </w:r>
      <w:r>
        <w:rPr>
          <w:rFonts w:ascii="Times New Roman" w:hAnsi="Times New Roman"/>
          <w:sz w:val="20"/>
        </w:rPr>
        <w:t xml:space="preserve"> </w:t>
      </w:r>
      <w:r>
        <w:rPr>
          <w:rFonts w:ascii="Arial" w:hAnsi="Arial"/>
          <w:b w:val="false"/>
          <w:sz w:val="20"/>
        </w:rPr>
        <w:t>No other countries accounted for 10% or more of revenue for the three months ended March 31, 2022 or 2021.</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Summary of Significant Accounting Policies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 xml:space="preserve">The Company’s significant accounting policies are discussed in </w:t>
      </w:r>
      <w:r>
        <w:rPr>
          <w:rFonts w:ascii="Arial" w:hAnsi="Arial"/>
          <w:b w:val="false"/>
          <w:i/>
          <w:sz w:val="20"/>
        </w:rPr>
        <w:t>Note 1 - Business Overview and Summary of Significant Accounting Policies</w:t>
      </w:r>
      <w:r>
        <w:rPr>
          <w:rFonts w:ascii="Times New Roman" w:hAnsi="Times New Roman"/>
          <w:sz w:val="20"/>
        </w:rPr>
        <w:t xml:space="preserve"> </w:t>
      </w:r>
      <w:r>
        <w:rPr>
          <w:rFonts w:ascii="Arial" w:hAnsi="Arial"/>
          <w:b w:val="false"/>
          <w:sz w:val="20"/>
        </w:rPr>
        <w:t xml:space="preserve">of the notes and audited consolidated financial statements contained in the Company’s Annual Report on Form 10-K for the fiscal year ended December 31, 2021. Effective January 1, 2022, Flywire changed its accounting policy for leases resulting from the adoption of Accounting Standards Codification (ASC) 842, </w:t>
      </w:r>
      <w:r>
        <w:rPr>
          <w:rFonts w:ascii="Arial" w:hAnsi="Arial"/>
          <w:b w:val="false"/>
          <w:i/>
          <w:sz w:val="20"/>
        </w:rPr>
        <w:t>Leases</w:t>
      </w:r>
      <w:r>
        <w:rPr>
          <w:rFonts w:ascii="Times New Roman" w:hAnsi="Times New Roman"/>
          <w:sz w:val="20"/>
        </w:rPr>
        <w:t xml:space="preserve"> </w:t>
      </w:r>
      <w:r>
        <w:rPr>
          <w:rFonts w:ascii="Arial" w:hAnsi="Arial"/>
          <w:b w:val="false"/>
          <w:sz w:val="20"/>
        </w:rPr>
        <w:t>and subsequent related Accounting Standards Updates (ASUs). In addition to the Company’s adoption of ASC 842 described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 xml:space="preserve">below, refer to </w:t>
      </w:r>
      <w:r>
        <w:rPr>
          <w:rFonts w:ascii="Arial" w:hAnsi="Arial"/>
          <w:b w:val="false"/>
          <w:i/>
          <w:sz w:val="20"/>
        </w:rPr>
        <w:t>Recently Accounting Pronouncements Adopted</w:t>
      </w:r>
      <w:r>
        <w:rPr>
          <w:rFonts w:ascii="Times New Roman" w:hAnsi="Times New Roman"/>
          <w:sz w:val="20"/>
        </w:rPr>
        <w:t xml:space="preserve"> </w:t>
      </w:r>
      <w:r>
        <w:rPr>
          <w:rFonts w:ascii="Arial" w:hAnsi="Arial"/>
          <w:b w:val="false"/>
          <w:sz w:val="20"/>
        </w:rPr>
        <w:t>section for other ASUs adopted in 2022. There were no other material changes to accounting policies during the quarter ended March 31, 2022.</w:t>
      </w:r>
    </w:p>
    <w:p>
      <w:pPr>
        <w:pStyle w:val="TextBody"/>
        <w:spacing w:lineRule="auto" w:line="273" w:before="200" w:after="200"/>
        <w:jc w:val="left"/>
        <w:rPr>
          <w:rFonts w:ascii="Arial" w:hAnsi="Arial"/>
          <w:b/>
          <w:i/>
          <w:sz w:val="20"/>
        </w:rPr>
      </w:pPr>
      <w:r>
        <w:rPr>
          <w:rFonts w:ascii="Arial" w:hAnsi="Arial"/>
          <w:b/>
          <w:i/>
          <w:sz w:val="20"/>
        </w:rPr>
        <w:t>Leases</w:t>
      </w:r>
    </w:p>
    <w:p>
      <w:pPr>
        <w:pStyle w:val="TextBody"/>
        <w:spacing w:lineRule="auto" w:line="273" w:before="200" w:after="200"/>
        <w:jc w:val="left"/>
        <w:rPr>
          <w:rFonts w:ascii="Times New Roman" w:hAnsi="Times New Roman"/>
          <w:sz w:val="20"/>
        </w:rPr>
      </w:pPr>
      <w:r>
        <w:rPr>
          <w:rFonts w:ascii="Arial" w:hAnsi="Arial"/>
          <w:b w:val="false"/>
          <w:sz w:val="20"/>
        </w:rPr>
        <w:t xml:space="preserve">On January 1, 2022, Flywire adopted ASU 2016-02, </w:t>
      </w:r>
      <w:r>
        <w:rPr>
          <w:rFonts w:ascii="Arial" w:hAnsi="Arial"/>
          <w:b w:val="false"/>
          <w:i/>
          <w:sz w:val="20"/>
        </w:rPr>
        <w:t>Leases (Topic 842)</w:t>
      </w:r>
      <w:r>
        <w:rPr>
          <w:rFonts w:ascii="Times New Roman" w:hAnsi="Times New Roman"/>
          <w:sz w:val="20"/>
        </w:rPr>
        <w:t xml:space="preserve"> </w:t>
      </w:r>
      <w:r>
        <w:rPr>
          <w:rFonts w:ascii="Arial" w:hAnsi="Arial"/>
          <w:b w:val="false"/>
          <w:sz w:val="20"/>
        </w:rPr>
        <w:t xml:space="preserve">and subsequent related ASUs using January 1, 2022 as the date of initial application. The new lease standard sets out the principles for the recognition, measurement, presentation and disclosure of leases for both parties to a contract (i.e., lessees and lessors). The Company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hAnsi="Arial"/>
          <w:b w:val="false"/>
          <w:i/>
          <w:sz w:val="20"/>
        </w:rPr>
        <w:t>Leases</w:t>
      </w:r>
      <w:r>
        <w:rPr>
          <w:rFonts w:ascii="Arial" w:hAnsi="Arial"/>
          <w:b w:val="false"/>
          <w:sz w:val="20"/>
        </w:rPr>
        <w:t>. No cumulative-effect adjustment to the opening accumulated deficit balance as of January 1, 2022 was necessary as a result of adopting the new standard. The Company elected the “package of practical expedients” permitted under the transition guidance which allowed the Company not to reassess (i) whether any expired or existing contracts are, or contain, leases, (ii) the lease classification for any expired or existing leases and (iii) initial direct costs for any existing leases. The Company also elected the practical expedient not to separate lease and non-lease components, as well as the short-term lease recognition exemption and will not recognize right-of-use (ROU) assets or lease liabilities for leases with a term less than 12 months. As a result of the adoption, the Company recognized ROU assets of $3.0</w:t>
      </w:r>
      <w:r>
        <w:rPr>
          <w:rFonts w:ascii="Times New Roman" w:hAnsi="Times New Roman"/>
          <w:sz w:val="20"/>
        </w:rPr>
        <w:t xml:space="preserve"> </w:t>
      </w:r>
      <w:r>
        <w:rPr>
          <w:rFonts w:ascii="Arial" w:hAnsi="Arial"/>
          <w:b w:val="false"/>
          <w:sz w:val="20"/>
        </w:rPr>
        <w:t>million in Other assets and a corresponding lease liability of $3.6</w:t>
      </w:r>
      <w:r>
        <w:rPr>
          <w:rFonts w:ascii="Times New Roman" w:hAnsi="Times New Roman"/>
          <w:sz w:val="20"/>
        </w:rPr>
        <w:t xml:space="preserve"> </w:t>
      </w:r>
      <w:r>
        <w:rPr>
          <w:rFonts w:ascii="Arial" w:hAnsi="Arial"/>
          <w:b w:val="false"/>
          <w:sz w:val="20"/>
        </w:rPr>
        <w:t>million in Other liabilities as of January 1, 2022. The ROU assets were adjusted per Topic 842 transition guidance for the existing deferred rent balance.</w:t>
      </w:r>
    </w:p>
    <w:p>
      <w:pPr>
        <w:pStyle w:val="TextBody"/>
        <w:spacing w:lineRule="auto" w:line="273" w:before="0" w:after="0"/>
        <w:jc w:val="left"/>
        <w:rPr>
          <w:rFonts w:ascii="Arial" w:hAnsi="Arial"/>
          <w:b w:val="false"/>
          <w:i/>
          <w:sz w:val="20"/>
        </w:rPr>
      </w:pPr>
      <w:r>
        <w:rPr>
          <w:rFonts w:ascii="Arial" w:hAnsi="Arial"/>
          <w:b w:val="false"/>
          <w:i/>
          <w:sz w:val="20"/>
        </w:rPr>
        <w:t>Accounting for Leases after the Adoption of ASC 842</w:t>
      </w:r>
    </w:p>
    <w:p>
      <w:pPr>
        <w:pStyle w:val="TextBody"/>
        <w:spacing w:lineRule="auto" w:line="273" w:before="200" w:after="200"/>
        <w:jc w:val="left"/>
        <w:rPr>
          <w:rFonts w:ascii="Times New Roman" w:hAnsi="Times New Roman"/>
          <w:sz w:val="20"/>
        </w:rPr>
      </w:pPr>
      <w:r>
        <w:rPr>
          <w:rFonts w:ascii="Arial" w:hAnsi="Arial"/>
          <w:b w:val="false"/>
          <w:sz w:val="20"/>
        </w:rPr>
        <w:t>The new leasing standard requires recognition of leases on the consolidated balance sheets as ROU assets and lease liabilities. ROU assets represent the Company's right to use underlying assets for the lease terms and lease liabilities represent our obligation to make lease payments arising from the leases. ROU assets are included in Other assets and lease liabilities are included in Other liabilities. Lease classification is determined at commencement date. All of the Company's leases are accounted for as operating leases. ROU assets and lease liabilities are recognized at the lease commencement date based on the estimated present value of lease payments over the lease term. As the implicit rate of the leases is not determinable, the Company uses its incremental borrowing rate in determining the present value of the lease payments. ROU assets are adjusted for deferred rent and any lease incentives. Variable lease payments for maintenance, property taxes and other operating expenses are recognized as expense in the period in which the obligation for the payment is incurred. The operating lease expense associated with operating leases is recognized as a single lease cost on a straight-line basis over the lease term and is included in General and administrative expenses in the condensed consolidated statements of operations and comprehensive loss. Refer to</w:t>
      </w:r>
      <w:r>
        <w:rPr>
          <w:rFonts w:ascii="Times New Roman" w:hAnsi="Times New Roman"/>
          <w:sz w:val="20"/>
        </w:rPr>
        <w:t xml:space="preserve"> </w:t>
      </w:r>
      <w:r>
        <w:rPr>
          <w:rFonts w:ascii="Arial" w:hAnsi="Arial"/>
          <w:b w:val="false"/>
          <w:i/>
          <w:sz w:val="20"/>
        </w:rPr>
        <w:t>Note 15 - Commitments and Contingencies</w:t>
      </w:r>
      <w:r>
        <w:rPr>
          <w:rFonts w:ascii="Times New Roman" w:hAnsi="Times New Roman"/>
          <w:sz w:val="20"/>
        </w:rPr>
        <w:t xml:space="preserve"> </w:t>
      </w:r>
      <w:r>
        <w:rPr>
          <w:rFonts w:ascii="Arial" w:hAnsi="Arial"/>
          <w:b w:val="false"/>
          <w:sz w:val="20"/>
        </w:rPr>
        <w:t>for more details on the Company's operating leases.</w:t>
      </w:r>
    </w:p>
    <w:p>
      <w:pPr>
        <w:pStyle w:val="TextBody"/>
        <w:spacing w:lineRule="auto" w:line="273" w:before="200" w:after="200"/>
        <w:jc w:val="left"/>
        <w:rPr>
          <w:rFonts w:ascii="Arial" w:hAnsi="Arial"/>
          <w:b w:val="false"/>
          <w:i/>
          <w:sz w:val="20"/>
        </w:rPr>
      </w:pPr>
      <w:r>
        <w:rPr>
          <w:rFonts w:ascii="Arial" w:hAnsi="Arial"/>
          <w:b w:val="false"/>
          <w:i/>
          <w:sz w:val="20"/>
        </w:rPr>
        <w:t>Accounting for Leases for Periods Prior to Adoption of ASC 842</w:t>
      </w:r>
    </w:p>
    <w:p>
      <w:pPr>
        <w:pStyle w:val="TextBody"/>
        <w:spacing w:lineRule="auto" w:line="273" w:before="200" w:after="200"/>
        <w:jc w:val="left"/>
        <w:rPr>
          <w:rFonts w:ascii="Times New Roman" w:hAnsi="Times New Roman"/>
          <w:sz w:val="20"/>
        </w:rPr>
      </w:pPr>
      <w:r>
        <w:rPr>
          <w:rFonts w:ascii="Arial" w:hAnsi="Arial"/>
          <w:b w:val="false"/>
          <w:sz w:val="20"/>
        </w:rPr>
        <w:t>Prior to ASC 842 adoption, operating lease arrangements were recorded off-balance sheet and ROU assets and liabilities were not recognized. Operating lease expense was recognized on a straight-line basis over the term of each lease and free rent periods were recorded as a</w:t>
      </w:r>
      <w:r>
        <w:rPr>
          <w:rFonts w:ascii="Times New Roman" w:hAnsi="Times New Roman"/>
          <w:sz w:val="20"/>
        </w:rPr>
        <w:t xml:space="preserve"> </w:t>
      </w:r>
      <w:r>
        <w:rPr>
          <w:rFonts w:ascii="Arial" w:hAnsi="Arial"/>
          <w:b w:val="false"/>
          <w:sz w:val="20"/>
        </w:rPr>
        <w:t>deferred rent liability.</w:t>
      </w:r>
    </w:p>
    <w:p>
      <w:pPr>
        <w:pStyle w:val="TextBody"/>
        <w:spacing w:lineRule="auto" w:line="273" w:before="200" w:after="200"/>
        <w:jc w:val="left"/>
        <w:rPr>
          <w:rFonts w:ascii="Times New Roman" w:hAnsi="Times New Roman"/>
          <w:sz w:val="20"/>
        </w:rPr>
      </w:pPr>
      <w:r>
        <w:rPr>
          <w:rFonts w:ascii="Arial" w:hAnsi="Arial"/>
          <w:b/>
          <w:i/>
          <w:sz w:val="20"/>
        </w:rPr>
        <w:t>Advertising Costs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Advertising costs are expensed as incurred and are included in selling and marketing expenses in the condensed consolidated statements of operations</w:t>
      </w:r>
      <w:r>
        <w:rPr>
          <w:rFonts w:ascii="Times New Roman" w:hAnsi="Times New Roman"/>
          <w:sz w:val="20"/>
        </w:rPr>
        <w:t xml:space="preserve"> </w:t>
      </w:r>
      <w:r>
        <w:rPr>
          <w:rFonts w:ascii="Arial" w:hAnsi="Arial"/>
          <w:b w:val="false"/>
          <w:sz w:val="20"/>
        </w:rPr>
        <w:t>and comprehensive loss.</w:t>
      </w:r>
      <w:r>
        <w:rPr>
          <w:rFonts w:ascii="Times New Roman" w:hAnsi="Times New Roman"/>
          <w:sz w:val="20"/>
        </w:rPr>
        <w:t xml:space="preserve"> </w:t>
      </w:r>
      <w:r>
        <w:rPr>
          <w:rFonts w:ascii="Arial" w:hAnsi="Arial"/>
          <w:b w:val="false"/>
          <w:sz w:val="20"/>
        </w:rPr>
        <w:t>Advertising expenses for the three months ended March 31, 2022 and 2021 were $1.3</w:t>
      </w:r>
      <w:r>
        <w:rPr>
          <w:rFonts w:ascii="Times New Roman" w:hAnsi="Times New Roman"/>
          <w:sz w:val="20"/>
        </w:rPr>
        <w:t xml:space="preserve"> </w:t>
      </w:r>
      <w:r>
        <w:rPr>
          <w:rFonts w:ascii="Arial" w:hAnsi="Arial"/>
          <w:b w:val="false"/>
          <w:sz w:val="20"/>
        </w:rPr>
        <w:t>million and $0.5</w:t>
      </w:r>
      <w:r>
        <w:rPr>
          <w:rFonts w:ascii="Times New Roman" w:hAnsi="Times New Roman"/>
          <w:sz w:val="20"/>
        </w:rPr>
        <w:t xml:space="preserve"> </w:t>
      </w:r>
      <w:r>
        <w:rPr>
          <w:rFonts w:ascii="Arial" w:hAnsi="Arial"/>
          <w:b w:val="false"/>
          <w:sz w:val="20"/>
        </w:rPr>
        <w:t>million, respectively.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Emerging Growth Company Status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Recently Accounting Pronouncements Adopted</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11</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 xml:space="preserve">In addition to ASU 2016-02, </w:t>
      </w:r>
      <w:r>
        <w:rPr>
          <w:rFonts w:ascii="Arial" w:hAnsi="Arial"/>
          <w:b w:val="false"/>
          <w:i/>
          <w:sz w:val="20"/>
        </w:rPr>
        <w:t>Leases (Topic 842)</w:t>
      </w:r>
      <w:r>
        <w:rPr>
          <w:rFonts w:ascii="Times New Roman" w:hAnsi="Times New Roman"/>
          <w:sz w:val="20"/>
        </w:rPr>
        <w:t xml:space="preserve"> </w:t>
      </w:r>
      <w:r>
        <w:rPr>
          <w:rFonts w:ascii="Arial" w:hAnsi="Arial"/>
          <w:b w:val="false"/>
          <w:sz w:val="20"/>
        </w:rPr>
        <w:t>described above, the following pronouncements were issued by the Financial Accounting Standards Board (FASB) and adopted by Flywire as of January 1, 2022:</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 xml:space="preserve">ASU 2019-12, </w:t>
      </w:r>
      <w:r>
        <w:rPr>
          <w:rFonts w:ascii="Arial" w:hAnsi="Arial"/>
          <w:b w:val="false"/>
          <w:i/>
          <w:sz w:val="20"/>
        </w:rPr>
        <w:t>Income Taxes (Topic 740): Simplifying the Accounting for Income Taxes:</w:t>
      </w:r>
      <w:r>
        <w:rPr>
          <w:rFonts w:ascii="Times New Roman" w:hAnsi="Times New Roman"/>
          <w:sz w:val="20"/>
        </w:rPr>
        <w:t xml:space="preserve"> </w:t>
      </w:r>
      <w:r>
        <w:rPr>
          <w:rFonts w:ascii="Arial" w:hAnsi="Arial"/>
          <w:b w:val="false"/>
          <w:sz w:val="20"/>
        </w:rPr>
        <w:t>ASU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The adoption of this standard did not have a material impact on Flywire's consolidated financial statements and disclosures.</w:t>
      </w:r>
    </w:p>
    <w:p>
      <w:pPr>
        <w:pStyle w:val="TextBody"/>
        <w:spacing w:lineRule="auto" w:line="273" w:before="200" w:after="200"/>
        <w:jc w:val="left"/>
        <w:rPr>
          <w:rFonts w:ascii="Times New Roman" w:hAnsi="Times New Roman"/>
          <w:sz w:val="20"/>
        </w:rPr>
      </w:pPr>
      <w:r>
        <w:rPr>
          <w:rFonts w:ascii="Arial" w:hAnsi="Arial"/>
          <w:b w:val="false"/>
          <w:sz w:val="20"/>
        </w:rPr>
        <w:t xml:space="preserve">ASU 2021-04, </w:t>
      </w:r>
      <w:r>
        <w:rPr>
          <w:rFonts w:ascii="Arial" w:hAnsi="Arial"/>
          <w:b w:val="false"/>
          <w:i/>
          <w:sz w:val="20"/>
        </w:rPr>
        <w:t>Earnings Per Share (Topic 260), Debt - Modifications and Extinguishments (Subtopic 470-50), Compensation - Stock Compensation (Topic 718), and Derivatives and Hedging - Contracts in Entity’s Own Equity (Subtopic 815-40):</w:t>
      </w:r>
      <w:r>
        <w:rPr>
          <w:rFonts w:ascii="Times New Roman" w:hAnsi="Times New Roman"/>
          <w:sz w:val="20"/>
        </w:rPr>
        <w:t xml:space="preserve"> </w:t>
      </w:r>
      <w:r>
        <w:rPr>
          <w:rFonts w:ascii="Arial" w:hAnsi="Arial"/>
          <w:b w:val="false"/>
          <w:sz w:val="20"/>
        </w:rPr>
        <w:t>ASU 2021-04 requires issuers to account for modifications or exchanges of freestanding equity-classified written call options (e.g., warrants) that remain equity classified after the modification or exchange based on the substance of the modification or exchange (e.g., a financing transaction to raise equity versus one to raise debt). The adoption of this standard did not have any impact on Flywire's consolidated financial statements and disclosures as the Company currently does not have any freestanding equity-classified written call options within the scope of this standard.</w:t>
      </w:r>
    </w:p>
    <w:p>
      <w:pPr>
        <w:pStyle w:val="TextBody"/>
        <w:spacing w:lineRule="auto" w:line="273" w:before="200" w:after="200"/>
        <w:jc w:val="left"/>
        <w:rPr>
          <w:rFonts w:ascii="Times New Roman" w:hAnsi="Times New Roman"/>
          <w:sz w:val="20"/>
        </w:rPr>
      </w:pPr>
      <w:r>
        <w:rPr>
          <w:rFonts w:ascii="Arial" w:hAnsi="Arial"/>
          <w:b/>
          <w:i/>
          <w:sz w:val="20"/>
        </w:rPr>
        <w:t>Recent Accounting Pronouncements Not Yet Adopted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following ASUs were issued by the FASB and not yet adopted by Flywire: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 xml:space="preserve">ASU 2016-13, </w:t>
      </w:r>
      <w:r>
        <w:rPr>
          <w:rFonts w:ascii="Arial" w:hAnsi="Arial"/>
          <w:b w:val="false"/>
          <w:i/>
          <w:sz w:val="20"/>
        </w:rPr>
        <w:t xml:space="preserve">Financial Instruments - Credit Losses (Topic 326): Measurement of Credit Losses on Financial Instruments </w:t>
      </w:r>
      <w:r>
        <w:rPr>
          <w:rFonts w:ascii="Arial" w:hAnsi="Arial"/>
          <w:b w:val="false"/>
          <w:sz w:val="20"/>
        </w:rPr>
        <w:t>and subsequent related ASUs: ASU 2016-13 replaces the current incurred loss impairment model that recognizes losses when a probable threshold is met with a requirement to recognize lifetime expected credit losses immediately when a financial asset is originated or purchased. ASU 2016-13 is effective for the Company on January 1, 2023, with early adoption permitted. The Company is currently evaluating the impact of this standard on its consolidated financial statements and disclosures.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 xml:space="preserve">ASU 2020-06, </w:t>
      </w:r>
      <w:r>
        <w:rPr>
          <w:rFonts w:ascii="Arial" w:hAnsi="Arial"/>
          <w:b w:val="false"/>
          <w:i/>
          <w:sz w:val="20"/>
        </w:rPr>
        <w:t>Debt - Debt with Conversion and Other Options (Subtopic 470-20) and Derivatives and Hedging -Contracts in Entity’s Own Equity (Subtopic 815-40): Accounting for Convertible Instruments and Contracts in an Entity’s Own Equity</w:t>
      </w:r>
      <w:r>
        <w:rPr>
          <w:rFonts w:ascii="Arial" w:hAnsi="Arial"/>
          <w:b w:val="false"/>
          <w:sz w:val="20"/>
        </w:rPr>
        <w:t>: ASU 2020-06 reduces the number of accounting models for convertible debt instruments and convertible preferred stock as well as amends the derivatives scope exception for contracts in an entity’s own equity. ASU 2020-06 is effective for the Company on January 1, 2024, with early adoption permitted. The Company is currently evaluating the impact of this standard on its consolidated financial statements and disclosures.</w:t>
      </w:r>
      <w:r>
        <w:rPr>
          <w:rFonts w:ascii="Times New Roman" w:hAnsi="Times New Roman"/>
          <w:sz w:val="20"/>
        </w:rPr>
        <w:t xml:space="preserve"> </w:t>
      </w:r>
    </w:p>
    <w:p>
      <w:pPr>
        <w:pStyle w:val="TextBody"/>
        <w:spacing w:lineRule="auto" w:line="273" w:before="360" w:after="0"/>
        <w:jc w:val="left"/>
        <w:rPr>
          <w:rFonts w:ascii="Arial" w:hAnsi="Arial"/>
          <w:b/>
          <w:sz w:val="20"/>
        </w:rPr>
      </w:pPr>
      <w:r>
        <w:rPr>
          <w:rFonts w:ascii="Arial" w:hAnsi="Arial"/>
          <w:b/>
          <w:sz w:val="20"/>
        </w:rPr>
        <w:t>2.</w:t>
      </w:r>
    </w:p>
    <w:p>
      <w:pPr>
        <w:pStyle w:val="TextBody"/>
        <w:spacing w:lineRule="auto" w:line="273" w:before="360" w:after="283"/>
        <w:jc w:val="left"/>
        <w:rPr>
          <w:rFonts w:ascii="Arial" w:hAnsi="Arial"/>
          <w:b/>
          <w:sz w:val="20"/>
        </w:rPr>
      </w:pPr>
      <w:r>
        <w:rPr>
          <w:rFonts w:ascii="Arial" w:hAnsi="Arial"/>
          <w:b/>
          <w:sz w:val="20"/>
        </w:rPr>
        <w:t xml:space="preserve">Revenue and Recognition </w:t>
      </w:r>
    </w:p>
    <w:p>
      <w:pPr>
        <w:pStyle w:val="TextBody"/>
        <w:spacing w:lineRule="auto" w:line="273" w:before="200" w:after="200"/>
        <w:jc w:val="left"/>
        <w:rPr>
          <w:rFonts w:ascii="Times New Roman" w:hAnsi="Times New Roman"/>
          <w:sz w:val="20"/>
        </w:rPr>
      </w:pPr>
      <w:r>
        <w:rPr>
          <w:rFonts w:ascii="Arial" w:hAnsi="Arial"/>
          <w:b w:val="false"/>
          <w:sz w:val="20"/>
        </w:rPr>
        <w:t>The following tables present revenue disaggregated by geographical area and major solutions. The categorization of revenue by geographical location is determined based on location of where the client resides.</w:t>
      </w:r>
      <w:r>
        <w:rPr>
          <w:rFonts w:ascii="Times New Roman" w:hAnsi="Times New Roman"/>
          <w:sz w:val="20"/>
        </w:rPr>
        <w:t xml:space="preserve"> </w:t>
      </w:r>
    </w:p>
    <w:tbl>
      <w:tblPr>
        <w:tblW w:w="5919" w:type="dxa"/>
        <w:jc w:val="left"/>
        <w:tblInd w:w="0" w:type="dxa"/>
        <w:tblCellMar>
          <w:top w:w="28" w:type="dxa"/>
          <w:left w:w="28" w:type="dxa"/>
          <w:bottom w:w="28" w:type="dxa"/>
          <w:right w:w="28" w:type="dxa"/>
        </w:tblCellMar>
      </w:tblPr>
      <w:tblGrid>
        <w:gridCol w:w="2926"/>
        <w:gridCol w:w="146"/>
        <w:gridCol w:w="211"/>
        <w:gridCol w:w="691"/>
        <w:gridCol w:w="146"/>
        <w:gridCol w:w="146"/>
        <w:gridCol w:w="211"/>
        <w:gridCol w:w="691"/>
        <w:gridCol w:w="75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09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 xml:space="preserve">Three Months Ended </w:t>
              <w:br/>
              <w:t>March 31,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Primary geographical markets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right"/>
              <w:rPr/>
            </w:pPr>
            <w:r>
              <w:rPr/>
              <w:t> </w:t>
            </w:r>
          </w:p>
        </w:tc>
        <w:tc>
          <w:tcPr>
            <w:tcW w:w="751" w:type="dxa"/>
            <w:tcBorders/>
            <w:shd w:fill="auto" w:val="clear"/>
            <w:vAlign w:val="center"/>
          </w:tcPr>
          <w:p>
            <w:pPr>
              <w:pStyle w:val="TableContents"/>
              <w:spacing w:lineRule="auto" w:line="252" w:before="0" w:after="0"/>
              <w:ind w:left="0" w:right="0" w:hanging="0"/>
              <w:jc w:val="righ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United States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40,565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33,574</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Canada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8,149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5,516</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United Kingdom</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9,879</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3,433</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Other countries</w:t>
            </w:r>
            <w:r>
              <w:rPr>
                <w:rFonts w:ascii="Times New Roman" w:hAnsi="Times New Roman"/>
                <w:sz w:val="20"/>
              </w:rPr>
              <w:t> </w:t>
            </w:r>
            <w:r>
              <w:rPr>
                <w:rFonts w:ascii="Arial" w:hAnsi="Arial"/>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5,960</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2,468</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2926" w:type="dxa"/>
            <w:tcBorders/>
            <w:shd w:fill="auto" w:val="clear"/>
            <w:vAlign w:val="center"/>
          </w:tcPr>
          <w:p>
            <w:pPr>
              <w:pStyle w:val="TableContents"/>
              <w:spacing w:lineRule="auto" w:line="252" w:before="0" w:after="0"/>
              <w:ind w:left="280" w:right="0" w:hanging="0"/>
              <w:jc w:val="left"/>
              <w:rPr>
                <w:rFonts w:ascii="Arial" w:hAnsi="Arial"/>
                <w:b/>
                <w:sz w:val="20"/>
              </w:rPr>
            </w:pPr>
            <w:r>
              <w:rPr>
                <w:rFonts w:ascii="Arial" w:hAnsi="Arial"/>
                <w:b/>
                <w:sz w:val="20"/>
              </w:rPr>
              <w:t>Total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sz w:val="20"/>
              </w:rPr>
            </w:pPr>
            <w:r>
              <w:rPr>
                <w:rFonts w:ascii="Arial" w:hAnsi="Arial"/>
                <w:b/>
                <w:sz w:val="20"/>
              </w:rPr>
              <w:t>64,553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sz w:val="20"/>
              </w:rPr>
            </w:pPr>
            <w:r>
              <w:rPr>
                <w:rFonts w:ascii="Arial" w:hAnsi="Arial"/>
                <w:b/>
                <w:sz w:val="20"/>
              </w:rPr>
              <w:t>44,991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Major solutions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02" w:type="dxa"/>
            <w:gridSpan w:val="2"/>
            <w:tcBorders/>
            <w:shd w:fill="auto" w:val="clear"/>
            <w:vAlign w:val="center"/>
          </w:tcPr>
          <w:p>
            <w:pPr>
              <w:pStyle w:val="TableContents"/>
              <w:spacing w:lineRule="auto" w:line="252" w:before="0" w:after="0"/>
              <w:ind w:left="0" w:right="0" w:hanging="0"/>
              <w:jc w:val="right"/>
              <w:rPr/>
            </w:pPr>
            <w:r>
              <w:rPr/>
              <w:t> </w:t>
            </w:r>
          </w:p>
        </w:tc>
        <w:tc>
          <w:tcPr>
            <w:tcW w:w="751" w:type="dxa"/>
            <w:tcBorders/>
            <w:shd w:fill="auto" w:val="clear"/>
            <w:vAlign w:val="center"/>
          </w:tcPr>
          <w:p>
            <w:pPr>
              <w:pStyle w:val="TableContents"/>
              <w:spacing w:lineRule="auto" w:line="252" w:before="0" w:after="0"/>
              <w:ind w:left="0" w:right="0" w:hanging="0"/>
              <w:jc w:val="righ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Transactions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48,687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32,434</w:t>
            </w:r>
          </w:p>
        </w:tc>
        <w:tc>
          <w:tcPr>
            <w:tcW w:w="751" w:type="dxa"/>
            <w:tcBorders/>
            <w:shd w:fill="auto" w:val="clear"/>
            <w:vAlign w:val="center"/>
          </w:tcPr>
          <w:p>
            <w:pPr>
              <w:pStyle w:val="TableContents"/>
              <w:spacing w:lineRule="auto" w:line="252" w:before="0" w:after="0"/>
              <w:ind w:left="0" w:right="0" w:hanging="0"/>
              <w:jc w:val="left"/>
              <w:rPr/>
            </w:pPr>
            <w:r>
              <w:rPr/>
              <w:t> </w:t>
            </w:r>
          </w:p>
        </w:tc>
      </w:tr>
      <w:tr>
        <w:trPr/>
        <w:tc>
          <w:tcPr>
            <w:tcW w:w="29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Platform and usage-based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15,866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12,557</w:t>
            </w:r>
          </w:p>
        </w:tc>
        <w:tc>
          <w:tcPr>
            <w:tcW w:w="7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560"/>
              <w:jc w:val="left"/>
              <w:rPr/>
            </w:pPr>
            <w:r>
              <w:rPr/>
              <w:t> </w:t>
            </w:r>
          </w:p>
        </w:tc>
      </w:tr>
      <w:tr>
        <w:trPr/>
        <w:tc>
          <w:tcPr>
            <w:tcW w:w="2926" w:type="dxa"/>
            <w:tcBorders/>
            <w:shd w:fill="auto" w:val="clear"/>
            <w:vAlign w:val="center"/>
          </w:tcPr>
          <w:p>
            <w:pPr>
              <w:pStyle w:val="TableContents"/>
              <w:spacing w:lineRule="auto" w:line="252" w:before="0" w:after="0"/>
              <w:ind w:left="560" w:right="0" w:hanging="0"/>
              <w:jc w:val="left"/>
              <w:rPr>
                <w:rFonts w:ascii="Arial" w:hAnsi="Arial"/>
                <w:b/>
                <w:sz w:val="20"/>
              </w:rPr>
            </w:pPr>
            <w:r>
              <w:rPr>
                <w:rFonts w:ascii="Arial" w:hAnsi="Arial"/>
                <w:b/>
                <w:sz w:val="20"/>
              </w:rPr>
              <w:t>Total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sz w:val="20"/>
              </w:rPr>
            </w:pPr>
            <w:r>
              <w:rPr>
                <w:rFonts w:ascii="Arial" w:hAnsi="Arial"/>
                <w:b/>
                <w:sz w:val="20"/>
              </w:rPr>
              <w:t>64,553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20"/>
              </w:rPr>
            </w:pPr>
            <w:r>
              <w:rPr>
                <w:rFonts w:ascii="Arial" w:hAnsi="Arial"/>
                <w:b/>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sz w:val="20"/>
              </w:rPr>
            </w:pPr>
            <w:r>
              <w:rPr>
                <w:rFonts w:ascii="Arial" w:hAnsi="Arial"/>
                <w:b/>
                <w:sz w:val="20"/>
              </w:rPr>
              <w:t>44,991</w:t>
            </w:r>
          </w:p>
        </w:tc>
        <w:tc>
          <w:tcPr>
            <w:tcW w:w="7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tLeast" w:line="141" w:before="0" w:after="60"/>
        <w:jc w:val="left"/>
        <w:rPr/>
      </w:pPr>
      <w:r>
        <w:rPr/>
        <w:t> </w:t>
      </w:r>
    </w:p>
    <w:p>
      <w:pPr>
        <w:pStyle w:val="TextBody"/>
        <w:spacing w:lineRule="auto" w:line="273" w:before="0" w:after="0"/>
        <w:jc w:val="left"/>
        <w:rPr>
          <w:rFonts w:ascii="Times New Roman" w:hAnsi="Times New Roman"/>
          <w:sz w:val="20"/>
        </w:rPr>
      </w:pPr>
      <w:r>
        <w:rPr>
          <w:rFonts w:ascii="Arial" w:hAnsi="Arial"/>
          <w:b w:val="false"/>
          <w:sz w:val="11"/>
        </w:rPr>
        <w:t xml:space="preserve">(1) </w:t>
      </w:r>
      <w:r>
        <w:rPr>
          <w:rFonts w:ascii="Arial" w:hAnsi="Arial"/>
          <w:b w:val="false"/>
          <w:sz w:val="16"/>
        </w:rPr>
        <w:t>No single country included in the other countries category generated 10% or more of total revenue.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12</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i/>
          <w:sz w:val="20"/>
        </w:rPr>
      </w:pPr>
      <w:r>
        <w:rPr>
          <w:rFonts w:ascii="Arial" w:hAnsi="Arial"/>
          <w:b/>
          <w:i/>
          <w:sz w:val="20"/>
        </w:rPr>
        <w:t>Contract Balances from Contracts with Clients</w:t>
      </w:r>
    </w:p>
    <w:p>
      <w:pPr>
        <w:pStyle w:val="TextBody"/>
        <w:spacing w:lineRule="auto" w:line="273" w:before="200" w:after="200"/>
        <w:jc w:val="left"/>
        <w:rPr>
          <w:rFonts w:ascii="Times New Roman" w:hAnsi="Times New Roman"/>
          <w:sz w:val="20"/>
        </w:rPr>
      </w:pPr>
      <w:r>
        <w:rPr>
          <w:rFonts w:ascii="Arial" w:hAnsi="Arial"/>
          <w:b w:val="false"/>
          <w:sz w:val="20"/>
        </w:rPr>
        <w:t>The following table provides information about accounts receivable, unbilled receivables and deferred revenue from contracts with clients (in thousands):</w:t>
      </w:r>
      <w:r>
        <w:rPr>
          <w:rFonts w:ascii="Times New Roman" w:hAnsi="Times New Roman"/>
          <w:sz w:val="20"/>
        </w:rPr>
        <w:t xml:space="preserve"> </w:t>
      </w:r>
    </w:p>
    <w:tbl>
      <w:tblPr>
        <w:tblW w:w="6227" w:type="dxa"/>
        <w:jc w:val="left"/>
        <w:tblInd w:w="0" w:type="dxa"/>
        <w:tblCellMar>
          <w:top w:w="28" w:type="dxa"/>
          <w:left w:w="28" w:type="dxa"/>
          <w:bottom w:w="28" w:type="dxa"/>
          <w:right w:w="28" w:type="dxa"/>
        </w:tblCellMar>
      </w:tblPr>
      <w:tblGrid>
        <w:gridCol w:w="3526"/>
        <w:gridCol w:w="146"/>
        <w:gridCol w:w="211"/>
        <w:gridCol w:w="691"/>
        <w:gridCol w:w="146"/>
        <w:gridCol w:w="146"/>
        <w:gridCol w:w="273"/>
        <w:gridCol w:w="897"/>
        <w:gridCol w:w="191"/>
      </w:tblGrid>
      <w:tr>
        <w:trPr/>
        <w:tc>
          <w:tcPr>
            <w:tcW w:w="3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2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Accounts receivable, net of allowances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13,787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12,968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5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Unbilled receivables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3,340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5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Deferred revenue—current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5,312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5,488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52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Deferred revenue—non-current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For the three months ended March 31, 2022 and 2021, the Company recognized</w:t>
      </w:r>
      <w:r>
        <w:rPr>
          <w:rFonts w:ascii="Times New Roman" w:hAnsi="Times New Roman"/>
          <w:sz w:val="20"/>
        </w:rPr>
        <w:t xml:space="preserve"> </w:t>
      </w:r>
      <w:r>
        <w:rPr>
          <w:rFonts w:ascii="Arial" w:hAnsi="Arial"/>
          <w:b w:val="false"/>
          <w:sz w:val="20"/>
        </w:rPr>
        <w:t>$2.1</w:t>
      </w:r>
      <w:r>
        <w:rPr>
          <w:rFonts w:ascii="Times New Roman" w:hAnsi="Times New Roman"/>
          <w:sz w:val="20"/>
        </w:rPr>
        <w:t xml:space="preserve"> </w:t>
      </w:r>
      <w:r>
        <w:rPr>
          <w:rFonts w:ascii="Arial" w:hAnsi="Arial"/>
          <w:b w:val="false"/>
          <w:sz w:val="20"/>
        </w:rPr>
        <w:t>million</w:t>
      </w:r>
      <w:r>
        <w:rPr>
          <w:rFonts w:ascii="Times New Roman" w:hAnsi="Times New Roman"/>
          <w:sz w:val="20"/>
        </w:rPr>
        <w:t xml:space="preserve"> </w:t>
      </w:r>
      <w:r>
        <w:rPr>
          <w:rFonts w:ascii="Arial" w:hAnsi="Arial"/>
          <w:b w:val="false"/>
          <w:sz w:val="20"/>
        </w:rPr>
        <w:t>and $0.6</w:t>
      </w:r>
      <w:r>
        <w:rPr>
          <w:rFonts w:ascii="Times New Roman" w:hAnsi="Times New Roman"/>
          <w:sz w:val="20"/>
        </w:rPr>
        <w:t xml:space="preserve"> </w:t>
      </w:r>
      <w:r>
        <w:rPr>
          <w:rFonts w:ascii="Arial" w:hAnsi="Arial"/>
          <w:b w:val="false"/>
          <w:sz w:val="20"/>
        </w:rPr>
        <w:t>million of revenue from amounts that were included in deferred revenue as of December 31, 2021 and 2020, respectively.</w:t>
      </w:r>
      <w:r>
        <w:rPr>
          <w:rFonts w:ascii="Times New Roman" w:hAnsi="Times New Roman"/>
          <w:sz w:val="20"/>
        </w:rPr>
        <w:t xml:space="preserve"> </w:t>
      </w:r>
    </w:p>
    <w:p>
      <w:pPr>
        <w:pStyle w:val="TextBody"/>
        <w:spacing w:lineRule="auto" w:line="273" w:before="360" w:after="0"/>
        <w:jc w:val="left"/>
        <w:rPr>
          <w:rFonts w:ascii="Arial" w:hAnsi="Arial"/>
          <w:b/>
          <w:sz w:val="20"/>
        </w:rPr>
      </w:pPr>
      <w:r>
        <w:rPr>
          <w:rFonts w:ascii="Arial" w:hAnsi="Arial"/>
          <w:b/>
          <w:sz w:val="20"/>
        </w:rPr>
        <w:t>3.</w:t>
      </w:r>
    </w:p>
    <w:p>
      <w:pPr>
        <w:pStyle w:val="TextBody"/>
        <w:spacing w:lineRule="auto" w:line="273" w:before="360" w:after="283"/>
        <w:jc w:val="left"/>
        <w:rPr>
          <w:rFonts w:ascii="Arial" w:hAnsi="Arial"/>
          <w:b/>
          <w:sz w:val="20"/>
        </w:rPr>
      </w:pPr>
      <w:r>
        <w:rPr>
          <w:rFonts w:ascii="Arial" w:hAnsi="Arial"/>
          <w:b/>
          <w:sz w:val="20"/>
        </w:rPr>
        <w:t xml:space="preserve">Allowance for doubtful accounts </w:t>
      </w:r>
    </w:p>
    <w:p>
      <w:pPr>
        <w:pStyle w:val="TextBody"/>
        <w:spacing w:lineRule="auto" w:line="273" w:before="200" w:after="200"/>
        <w:jc w:val="left"/>
        <w:rPr>
          <w:rFonts w:ascii="Times New Roman" w:hAnsi="Times New Roman"/>
          <w:sz w:val="20"/>
        </w:rPr>
      </w:pPr>
      <w:r>
        <w:rPr>
          <w:rFonts w:ascii="Arial" w:hAnsi="Arial"/>
          <w:b w:val="false"/>
          <w:sz w:val="20"/>
        </w:rPr>
        <w:t>Changes in the allowance for doubtful accounts for the three months ended March 31, 2022 and 2021 were as follows (in thousands):</w:t>
      </w:r>
      <w:r>
        <w:rPr>
          <w:rFonts w:ascii="Times New Roman" w:hAnsi="Times New Roman"/>
          <w:sz w:val="20"/>
        </w:rPr>
        <w:t xml:space="preserve"> </w:t>
      </w:r>
    </w:p>
    <w:tbl>
      <w:tblPr>
        <w:tblW w:w="8521" w:type="dxa"/>
        <w:jc w:val="left"/>
        <w:tblInd w:w="0" w:type="dxa"/>
        <w:tblCellMar>
          <w:top w:w="28" w:type="dxa"/>
          <w:left w:w="28" w:type="dxa"/>
          <w:bottom w:w="28" w:type="dxa"/>
          <w:right w:w="28" w:type="dxa"/>
        </w:tblCellMar>
      </w:tblPr>
      <w:tblGrid>
        <w:gridCol w:w="5476"/>
        <w:gridCol w:w="146"/>
        <w:gridCol w:w="317"/>
        <w:gridCol w:w="723"/>
        <w:gridCol w:w="249"/>
        <w:gridCol w:w="219"/>
        <w:gridCol w:w="317"/>
        <w:gridCol w:w="723"/>
        <w:gridCol w:w="351"/>
      </w:tblGrid>
      <w:tr>
        <w:trPr/>
        <w:tc>
          <w:tcPr>
            <w:tcW w:w="5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5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8"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47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104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Allowance for doubtful accounts at the beginning of the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2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w:t>
            </w:r>
          </w:p>
        </w:tc>
        <w:tc>
          <w:tcPr>
            <w:tcW w:w="24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317"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2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(481</w:t>
            </w:r>
          </w:p>
        </w:tc>
        <w:tc>
          <w:tcPr>
            <w:tcW w:w="351"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5476"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Provisions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7" w:type="dxa"/>
            <w:tcBorders/>
            <w:shd w:fill="auto" w:val="clear"/>
            <w:vAlign w:val="center"/>
          </w:tcPr>
          <w:p>
            <w:pPr>
              <w:pStyle w:val="TableContents"/>
              <w:spacing w:lineRule="auto" w:line="252" w:before="0" w:after="0"/>
              <w:ind w:left="0" w:right="0" w:hanging="0"/>
              <w:jc w:val="left"/>
              <w:rPr/>
            </w:pPr>
            <w:r>
              <w:rPr/>
              <w:t> </w:t>
            </w:r>
          </w:p>
        </w:tc>
        <w:tc>
          <w:tcPr>
            <w:tcW w:w="72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w:t>
            </w:r>
          </w:p>
        </w:tc>
        <w:tc>
          <w:tcPr>
            <w:tcW w:w="249"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317" w:type="dxa"/>
            <w:tcBorders/>
            <w:shd w:fill="auto" w:val="clear"/>
            <w:vAlign w:val="center"/>
          </w:tcPr>
          <w:p>
            <w:pPr>
              <w:pStyle w:val="TableContents"/>
              <w:spacing w:lineRule="auto" w:line="252" w:before="0" w:after="0"/>
              <w:ind w:left="0" w:right="0" w:hanging="0"/>
              <w:jc w:val="left"/>
              <w:rPr/>
            </w:pPr>
            <w:r>
              <w:rPr/>
              <w:t> </w:t>
            </w:r>
          </w:p>
        </w:tc>
        <w:tc>
          <w:tcPr>
            <w:tcW w:w="72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w:t>
            </w:r>
          </w:p>
        </w:tc>
        <w:tc>
          <w:tcPr>
            <w:tcW w:w="351"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5476"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Write-offs, net of recoveries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c>
          <w:tcPr>
            <w:tcW w:w="24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31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2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386</w:t>
            </w:r>
          </w:p>
        </w:tc>
        <w:tc>
          <w:tcPr>
            <w:tcW w:w="35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Allowance for doubtful accounts at the end of the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w:t>
            </w:r>
          </w:p>
        </w:tc>
        <w:tc>
          <w:tcPr>
            <w:tcW w:w="24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19" w:type="dxa"/>
            <w:tcBorders/>
            <w:shd w:fill="auto" w:val="clear"/>
            <w:vAlign w:val="center"/>
          </w:tcPr>
          <w:p>
            <w:pPr>
              <w:pStyle w:val="TableContents"/>
              <w:spacing w:lineRule="auto" w:line="252" w:before="0" w:after="0"/>
              <w:ind w:left="0" w:right="0" w:hanging="0"/>
              <w:jc w:val="left"/>
              <w:rPr/>
            </w:pPr>
            <w:r>
              <w:rPr/>
              <w:t> </w:t>
            </w:r>
          </w:p>
        </w:tc>
        <w:tc>
          <w:tcPr>
            <w:tcW w:w="31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2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(201</w:t>
            </w:r>
          </w:p>
        </w:tc>
        <w:tc>
          <w:tcPr>
            <w:tcW w:w="35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4.</w:t>
      </w:r>
    </w:p>
    <w:p>
      <w:pPr>
        <w:pStyle w:val="TextBody"/>
        <w:spacing w:lineRule="auto" w:line="273" w:before="360" w:after="283"/>
        <w:jc w:val="left"/>
        <w:rPr>
          <w:rFonts w:ascii="Arial" w:hAnsi="Arial"/>
          <w:b/>
          <w:sz w:val="20"/>
        </w:rPr>
      </w:pPr>
      <w:r>
        <w:rPr>
          <w:rFonts w:ascii="Arial" w:hAnsi="Arial"/>
          <w:b/>
          <w:sz w:val="20"/>
        </w:rPr>
        <w:t xml:space="preserve">Fair Value Measurements </w:t>
      </w:r>
    </w:p>
    <w:p>
      <w:pPr>
        <w:pStyle w:val="TextBody"/>
        <w:spacing w:lineRule="auto" w:line="273" w:before="200" w:after="200"/>
        <w:jc w:val="left"/>
        <w:rPr>
          <w:rFonts w:ascii="Times New Roman" w:hAnsi="Times New Roman"/>
          <w:sz w:val="20"/>
        </w:rPr>
      </w:pPr>
      <w:r>
        <w:rPr>
          <w:rFonts w:ascii="Arial" w:hAnsi="Arial"/>
          <w:b w:val="false"/>
          <w:sz w:val="20"/>
        </w:rPr>
        <w:t>The following tables present the Company’s fair value hierarchy for its financial assets and liabilities that are measured at fair value on a recurring basis as of March 31, 2022 and December 31, 2021 (in thousands):</w:t>
      </w:r>
      <w:r>
        <w:rPr>
          <w:rFonts w:ascii="Times New Roman" w:hAnsi="Times New Roman"/>
          <w:sz w:val="20"/>
        </w:rPr>
        <w:t xml:space="preserve"> </w:t>
      </w:r>
    </w:p>
    <w:tbl>
      <w:tblPr>
        <w:tblW w:w="7471" w:type="dxa"/>
        <w:jc w:val="left"/>
        <w:tblInd w:w="0" w:type="dxa"/>
        <w:tblCellMar>
          <w:top w:w="28" w:type="dxa"/>
          <w:left w:w="28" w:type="dxa"/>
          <w:bottom w:w="28" w:type="dxa"/>
          <w:right w:w="28" w:type="dxa"/>
        </w:tblCellMar>
      </w:tblPr>
      <w:tblGrid>
        <w:gridCol w:w="2536"/>
        <w:gridCol w:w="146"/>
        <w:gridCol w:w="264"/>
        <w:gridCol w:w="434"/>
        <w:gridCol w:w="174"/>
        <w:gridCol w:w="174"/>
        <w:gridCol w:w="264"/>
        <w:gridCol w:w="434"/>
        <w:gridCol w:w="174"/>
        <w:gridCol w:w="174"/>
        <w:gridCol w:w="252"/>
        <w:gridCol w:w="827"/>
        <w:gridCol w:w="174"/>
        <w:gridCol w:w="174"/>
        <w:gridCol w:w="252"/>
        <w:gridCol w:w="827"/>
        <w:gridCol w:w="191"/>
      </w:tblGrid>
      <w:tr>
        <w:trPr/>
        <w:tc>
          <w:tcPr>
            <w:tcW w:w="25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5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8"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Fair Value Measurements as of March 31, 2022 Using:</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3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 1</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4" w:type="dxa"/>
            <w:tcBorders/>
            <w:shd w:fill="auto" w:val="clear"/>
            <w:vAlign w:val="center"/>
          </w:tcPr>
          <w:p>
            <w:pPr>
              <w:pStyle w:val="TableContents"/>
              <w:spacing w:lineRule="auto" w:line="252" w:before="0" w:after="0"/>
              <w:ind w:left="0" w:right="0" w:hanging="0"/>
              <w:jc w:val="center"/>
              <w:rPr/>
            </w:pPr>
            <w:r>
              <w:rPr/>
              <w:t> </w:t>
            </w:r>
          </w:p>
        </w:tc>
        <w:tc>
          <w:tcPr>
            <w:tcW w:w="6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 2</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4" w:type="dxa"/>
            <w:tcBorders/>
            <w:shd w:fill="auto" w:val="clear"/>
            <w:vAlign w:val="center"/>
          </w:tcPr>
          <w:p>
            <w:pPr>
              <w:pStyle w:val="TableContents"/>
              <w:spacing w:lineRule="auto" w:line="252" w:before="0" w:after="0"/>
              <w:ind w:left="0" w:right="0" w:hanging="0"/>
              <w:jc w:val="center"/>
              <w:rPr/>
            </w:pPr>
            <w:r>
              <w:rPr/>
              <w:t> </w:t>
            </w:r>
          </w:p>
        </w:tc>
        <w:tc>
          <w:tcPr>
            <w:tcW w:w="107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 3</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4" w:type="dxa"/>
            <w:tcBorders/>
            <w:shd w:fill="auto" w:val="clear"/>
            <w:vAlign w:val="center"/>
          </w:tcPr>
          <w:p>
            <w:pPr>
              <w:pStyle w:val="TableContents"/>
              <w:spacing w:lineRule="auto" w:line="252" w:before="0" w:after="0"/>
              <w:ind w:left="0" w:right="0" w:hanging="0"/>
              <w:jc w:val="center"/>
              <w:rPr/>
            </w:pPr>
            <w:r>
              <w:rPr/>
              <w:t> </w:t>
            </w:r>
          </w:p>
        </w:tc>
        <w:tc>
          <w:tcPr>
            <w:tcW w:w="107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Financial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Foreign exchange contracts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Financial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3,300</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3,300</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7280" w:type="dxa"/>
            <w:gridSpan w:val="16"/>
            <w:tcBorders/>
            <w:shd w:fill="auto" w:val="clear"/>
            <w:vAlign w:val="center"/>
          </w:tcPr>
          <w:p>
            <w:pPr>
              <w:pStyle w:val="TableContents"/>
              <w:spacing w:lineRule="auto" w:line="252" w:before="0" w:after="0"/>
              <w:ind w:left="0" w:right="0" w:hanging="0"/>
              <w:jc w:val="left"/>
              <w:rPr/>
            </w:pPr>
            <w:r>
              <w:rPr/>
              <w:t> </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5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98" w:type="dxa"/>
            <w:gridSpan w:val="14"/>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Fair Value Measurements as of December 31, 2021 Using:</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3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 1</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4" w:type="dxa"/>
            <w:tcBorders/>
            <w:shd w:fill="auto" w:val="clear"/>
            <w:vAlign w:val="center"/>
          </w:tcPr>
          <w:p>
            <w:pPr>
              <w:pStyle w:val="TableContents"/>
              <w:spacing w:lineRule="auto" w:line="252" w:before="0" w:after="0"/>
              <w:ind w:left="0" w:right="0" w:hanging="0"/>
              <w:jc w:val="center"/>
              <w:rPr/>
            </w:pPr>
            <w:r>
              <w:rPr/>
              <w:t> </w:t>
            </w:r>
          </w:p>
        </w:tc>
        <w:tc>
          <w:tcPr>
            <w:tcW w:w="69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 2</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4" w:type="dxa"/>
            <w:tcBorders/>
            <w:shd w:fill="auto" w:val="clear"/>
            <w:vAlign w:val="center"/>
          </w:tcPr>
          <w:p>
            <w:pPr>
              <w:pStyle w:val="TableContents"/>
              <w:spacing w:lineRule="auto" w:line="252" w:before="0" w:after="0"/>
              <w:ind w:left="0" w:right="0" w:hanging="0"/>
              <w:jc w:val="center"/>
              <w:rPr/>
            </w:pPr>
            <w:r>
              <w:rPr/>
              <w:t> </w:t>
            </w:r>
          </w:p>
        </w:tc>
        <w:tc>
          <w:tcPr>
            <w:tcW w:w="107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Level 3</w:t>
            </w:r>
          </w:p>
        </w:tc>
        <w:tc>
          <w:tcPr>
            <w:tcW w:w="17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4" w:type="dxa"/>
            <w:tcBorders/>
            <w:shd w:fill="auto" w:val="clear"/>
            <w:vAlign w:val="center"/>
          </w:tcPr>
          <w:p>
            <w:pPr>
              <w:pStyle w:val="TableContents"/>
              <w:spacing w:lineRule="auto" w:line="252" w:before="0" w:after="0"/>
              <w:ind w:left="0" w:right="0" w:hanging="0"/>
              <w:jc w:val="center"/>
              <w:rPr/>
            </w:pPr>
            <w:r>
              <w:rPr/>
              <w:t> </w:t>
            </w:r>
          </w:p>
        </w:tc>
        <w:tc>
          <w:tcPr>
            <w:tcW w:w="1079"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Financial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Foreign exchange contracts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Financial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698"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righ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1079"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r>
        <w:trPr/>
        <w:tc>
          <w:tcPr>
            <w:tcW w:w="253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11,309</w:t>
            </w:r>
          </w:p>
        </w:tc>
        <w:tc>
          <w:tcPr>
            <w:tcW w:w="17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4" w:type="dxa"/>
            <w:tcBorders/>
            <w:shd w:fill="auto" w:val="clear"/>
            <w:vAlign w:val="center"/>
          </w:tcPr>
          <w:p>
            <w:pPr>
              <w:pStyle w:val="TableContents"/>
              <w:spacing w:lineRule="auto" w:line="252" w:before="0" w:after="0"/>
              <w:ind w:left="0" w:right="0" w:hanging="0"/>
              <w:jc w:val="left"/>
              <w:rPr/>
            </w:pPr>
            <w:r>
              <w:rPr/>
              <w:t> </w:t>
            </w:r>
          </w:p>
        </w:tc>
        <w:tc>
          <w:tcPr>
            <w:tcW w:w="2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2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11,309</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2022, there were no transfers between Level 1, Level 2 or Level 3.</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Contingent consideration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On February 13, 2020, the Company completed its acquisition of Simplificare Inc. (Simplee), a provider of healthcare payment and collections software. The acquisition of Simplee was intended to further expand the capabilities of the Company and to acquire additional clients in the healthcare market. The acquisition of Simplee was accounted for as a business combination. Pursuant to the terms of the agreement, the Company acquired all outstanding equity of Simplee for estimated total consideration of $86.5</w:t>
      </w:r>
      <w:r>
        <w:rPr>
          <w:rFonts w:ascii="Times New Roman" w:hAnsi="Times New Roman"/>
          <w:sz w:val="20"/>
        </w:rPr>
        <w:t xml:space="preserve"> </w:t>
      </w:r>
      <w:r>
        <w:rPr>
          <w:rFonts w:ascii="Arial" w:hAnsi="Arial"/>
          <w:b w:val="false"/>
          <w:sz w:val="20"/>
        </w:rPr>
        <w:t>million, which consisted of $79.4</w:t>
      </w:r>
      <w:r>
        <w:rPr>
          <w:rFonts w:ascii="Times New Roman" w:hAnsi="Times New Roman"/>
          <w:sz w:val="20"/>
        </w:rPr>
        <w:t xml:space="preserve"> </w:t>
      </w:r>
      <w:r>
        <w:rPr>
          <w:rFonts w:ascii="Arial" w:hAnsi="Arial"/>
          <w:b w:val="false"/>
          <w:sz w:val="20"/>
        </w:rPr>
        <w:t>million in cash, net of cash acquired and $7.1</w:t>
      </w:r>
      <w:r>
        <w:rPr>
          <w:rFonts w:ascii="Times New Roman" w:hAnsi="Times New Roman"/>
          <w:sz w:val="20"/>
        </w:rPr>
        <w:t xml:space="preserve"> </w:t>
      </w:r>
      <w:r>
        <w:rPr>
          <w:rFonts w:ascii="Arial" w:hAnsi="Arial"/>
          <w:b w:val="false"/>
          <w:sz w:val="20"/>
        </w:rPr>
        <w:t>million in estimated fair value of contingent consideration. Contingent consideration, which totaled up to $20.0</w:t>
      </w:r>
      <w:r>
        <w:rPr>
          <w:rFonts w:ascii="Times New Roman" w:hAnsi="Times New Roman"/>
          <w:sz w:val="20"/>
        </w:rPr>
        <w:t xml:space="preserve"> </w:t>
      </w:r>
      <w:r>
        <w:rPr>
          <w:rFonts w:ascii="Arial" w:hAnsi="Arial"/>
          <w:b w:val="false"/>
          <w:sz w:val="20"/>
        </w:rPr>
        <w:t>million was payable at various intervals provided that the Company retained key clients and achieved certain revenue and integration targets established for the years ended December 31, 2020 and 2021. A portion of the contingent consideration was also tied to continuing employment of certain key employees. During March 2022, the Company made the final payment of</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contingent consideration in the amount of $7.8</w:t>
      </w:r>
      <w:r>
        <w:rPr>
          <w:rFonts w:ascii="Times New Roman" w:hAnsi="Times New Roman"/>
          <w:sz w:val="20"/>
        </w:rPr>
        <w:t xml:space="preserve"> </w:t>
      </w:r>
      <w:r>
        <w:rPr>
          <w:rFonts w:ascii="Arial" w:hAnsi="Arial"/>
          <w:b w:val="false"/>
          <w:sz w:val="20"/>
        </w:rPr>
        <w:t>million. No</w:t>
      </w:r>
      <w:r>
        <w:rPr>
          <w:rFonts w:ascii="Times New Roman" w:hAnsi="Times New Roman"/>
          <w:sz w:val="20"/>
        </w:rPr>
        <w:t xml:space="preserve"> </w:t>
      </w:r>
      <w:r>
        <w:rPr>
          <w:rFonts w:ascii="Arial" w:hAnsi="Arial"/>
          <w:b w:val="false"/>
          <w:sz w:val="20"/>
        </w:rPr>
        <w:t>additional contingent consideration is due or payable with respect to the Simplee acquisition.</w:t>
      </w:r>
    </w:p>
    <w:p>
      <w:pPr>
        <w:pStyle w:val="TextBody"/>
        <w:spacing w:lineRule="auto" w:line="273" w:before="200" w:after="200"/>
        <w:jc w:val="left"/>
        <w:rPr>
          <w:rFonts w:ascii="Times New Roman" w:hAnsi="Times New Roman"/>
          <w:sz w:val="20"/>
        </w:rPr>
      </w:pPr>
      <w:r>
        <w:rPr>
          <w:rFonts w:ascii="Arial" w:hAnsi="Arial"/>
          <w:b w:val="false"/>
          <w:sz w:val="20"/>
        </w:rPr>
        <w:t>The following table presents the unobservable inputs incorporated into the valuation of contingent consideration related to the Simplee acquisition for the three months ended March 31, 2021:</w:t>
      </w:r>
      <w:r>
        <w:rPr>
          <w:rFonts w:ascii="Times New Roman" w:hAnsi="Times New Roman"/>
          <w:sz w:val="20"/>
        </w:rPr>
        <w:t xml:space="preserve"> </w:t>
      </w:r>
    </w:p>
    <w:tbl>
      <w:tblPr>
        <w:tblW w:w="7003" w:type="dxa"/>
        <w:jc w:val="left"/>
        <w:tblInd w:w="0" w:type="dxa"/>
        <w:tblCellMar>
          <w:top w:w="28" w:type="dxa"/>
          <w:left w:w="28" w:type="dxa"/>
          <w:bottom w:w="28" w:type="dxa"/>
          <w:right w:w="28" w:type="dxa"/>
        </w:tblCellMar>
      </w:tblPr>
      <w:tblGrid>
        <w:gridCol w:w="3571"/>
        <w:gridCol w:w="146"/>
        <w:gridCol w:w="686"/>
        <w:gridCol w:w="2269"/>
        <w:gridCol w:w="331"/>
      </w:tblGrid>
      <w:tr>
        <w:trPr/>
        <w:tc>
          <w:tcPr>
            <w:tcW w:w="3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26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57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 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6" w:type="dxa"/>
            <w:tcBorders/>
            <w:shd w:fill="auto" w:val="clear"/>
            <w:vAlign w:val="center"/>
          </w:tcPr>
          <w:p>
            <w:pPr>
              <w:pStyle w:val="TableContents"/>
              <w:spacing w:lineRule="auto" w:line="252" w:before="0" w:after="0"/>
              <w:ind w:left="0" w:right="0" w:hanging="0"/>
              <w:jc w:val="left"/>
              <w:rPr/>
            </w:pPr>
            <w:r>
              <w:rPr/>
              <w:t> </w:t>
            </w:r>
          </w:p>
        </w:tc>
        <w:tc>
          <w:tcPr>
            <w:tcW w:w="226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8.15</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5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Probability of successful achievement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5" w:type="dxa"/>
            <w:gridSpan w:val="2"/>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 - 100%</w:t>
            </w:r>
          </w:p>
        </w:tc>
        <w:tc>
          <w:tcPr>
            <w:tcW w:w="331" w:type="dxa"/>
            <w:tcBorders/>
            <w:shd w:fill="auto" w:val="clear"/>
            <w:vAlign w:val="center"/>
          </w:tcPr>
          <w:p>
            <w:pPr>
              <w:pStyle w:val="TableContents"/>
              <w:spacing w:lineRule="auto" w:line="252" w:before="0" w:after="0"/>
              <w:ind w:left="0" w:right="0" w:hanging="0"/>
              <w:jc w:val="right"/>
              <w:rPr/>
            </w:pPr>
            <w:r>
              <w:rPr/>
              <w:t> </w:t>
            </w:r>
          </w:p>
        </w:tc>
      </w:tr>
      <w:tr>
        <w:trPr/>
        <w:tc>
          <w:tcPr>
            <w:tcW w:w="35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Performance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5"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Arial" w:hAnsi="Arial"/>
                <w:b w:val="false"/>
                <w:sz w:val="20"/>
              </w:rPr>
              <w:t>1</w:t>
            </w:r>
            <w:r>
              <w:rPr>
                <w:rFonts w:ascii="Times New Roman" w:hAnsi="Times New Roman"/>
                <w:sz w:val="20"/>
              </w:rPr>
              <w:t> </w:t>
            </w:r>
            <w:r>
              <w:rPr>
                <w:rFonts w:ascii="Arial" w:hAnsi="Arial"/>
                <w:b w:val="false"/>
                <w:sz w:val="20"/>
              </w:rPr>
              <w:t>year</w:t>
            </w:r>
          </w:p>
        </w:tc>
        <w:tc>
          <w:tcPr>
            <w:tcW w:w="331" w:type="dxa"/>
            <w:tcBorders/>
            <w:shd w:fill="auto" w:val="clear"/>
            <w:vAlign w:val="center"/>
          </w:tcPr>
          <w:p>
            <w:pPr>
              <w:pStyle w:val="TableContents"/>
              <w:spacing w:lineRule="auto" w:line="252" w:before="0" w:after="0"/>
              <w:ind w:left="0" w:right="0" w:hanging="0"/>
              <w:jc w:val="right"/>
              <w:rPr/>
            </w:pPr>
            <w:r>
              <w:rPr/>
              <w:t> </w:t>
            </w:r>
          </w:p>
        </w:tc>
      </w:tr>
    </w:tbl>
    <w:p>
      <w:pPr>
        <w:pStyle w:val="TextBody"/>
        <w:pBdr>
          <w:bottom w:val="single" w:sz="6" w:space="1" w:color="000000"/>
        </w:pBdr>
        <w:spacing w:lineRule="auto" w:line="273" w:before="40" w:after="0"/>
        <w:jc w:val="left"/>
        <w:rPr/>
      </w:pPr>
      <w:r>
        <w:rPr/>
        <w:t> </w:t>
      </w:r>
    </w:p>
    <w:p>
      <w:pPr>
        <w:pStyle w:val="TextBody"/>
        <w:spacing w:lineRule="auto" w:line="273" w:before="40" w:after="0"/>
        <w:jc w:val="left"/>
        <w:rPr>
          <w:rFonts w:ascii="Times New Roman" w:hAnsi="Times New Roman"/>
          <w:sz w:val="20"/>
        </w:rPr>
      </w:pPr>
      <w:r>
        <w:rPr>
          <w:rFonts w:ascii="Arial" w:hAnsi="Arial"/>
          <w:b w:val="false"/>
          <w:sz w:val="16"/>
        </w:rPr>
        <w:t>* Probability of successful achievement was set at different targets based on the Company’s best estimates on achieving them.</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Increases or decreases in any of the probabilities of success in which revenue targets were expected to be achieved would result in a higher or lower fair value measurement, respectively. Increases or decreases in the discount rate would result in a lower or higher fair value measurement, respectively.</w:t>
      </w:r>
    </w:p>
    <w:p>
      <w:pPr>
        <w:pStyle w:val="TextBody"/>
        <w:spacing w:lineRule="auto" w:line="273" w:before="200" w:after="200"/>
        <w:jc w:val="left"/>
        <w:rPr>
          <w:rFonts w:ascii="Times New Roman" w:hAnsi="Times New Roman"/>
          <w:sz w:val="20"/>
        </w:rPr>
      </w:pPr>
      <w:r>
        <w:rPr>
          <w:rFonts w:ascii="Arial" w:hAnsi="Arial"/>
          <w:b w:val="false"/>
          <w:sz w:val="20"/>
        </w:rPr>
        <w:t>The following table presents the unobservable inputs incorporated into the valuation of contingent consideration related to the WPM Group Ltd. (WPM)</w:t>
      </w:r>
      <w:r>
        <w:rPr>
          <w:rFonts w:ascii="Times New Roman" w:hAnsi="Times New Roman"/>
          <w:sz w:val="20"/>
        </w:rPr>
        <w:t xml:space="preserve"> </w:t>
      </w:r>
      <w:r>
        <w:rPr>
          <w:rFonts w:ascii="Arial" w:hAnsi="Arial"/>
          <w:b w:val="false"/>
          <w:sz w:val="20"/>
        </w:rPr>
        <w:t xml:space="preserve">acquisition. Refer to </w:t>
      </w:r>
      <w:r>
        <w:rPr>
          <w:rFonts w:ascii="Arial" w:hAnsi="Arial"/>
          <w:b w:val="false"/>
          <w:i/>
          <w:sz w:val="20"/>
        </w:rPr>
        <w:t>Note 8 - Business Combinations</w:t>
      </w:r>
      <w:r>
        <w:rPr>
          <w:rFonts w:ascii="Times New Roman" w:hAnsi="Times New Roman"/>
          <w:sz w:val="20"/>
        </w:rPr>
        <w:t xml:space="preserve"> </w:t>
      </w:r>
      <w:r>
        <w:rPr>
          <w:rFonts w:ascii="Arial" w:hAnsi="Arial"/>
          <w:b w:val="false"/>
          <w:sz w:val="20"/>
        </w:rPr>
        <w:t>for additional details on the WPM acquisition.</w:t>
      </w:r>
    </w:p>
    <w:tbl>
      <w:tblPr>
        <w:tblW w:w="7288" w:type="dxa"/>
        <w:jc w:val="left"/>
        <w:tblInd w:w="0" w:type="dxa"/>
        <w:tblCellMar>
          <w:top w:w="28" w:type="dxa"/>
          <w:left w:w="28" w:type="dxa"/>
          <w:bottom w:w="28" w:type="dxa"/>
          <w:right w:w="28" w:type="dxa"/>
        </w:tblCellMar>
      </w:tblPr>
      <w:tblGrid>
        <w:gridCol w:w="3856"/>
        <w:gridCol w:w="146"/>
        <w:gridCol w:w="686"/>
        <w:gridCol w:w="2269"/>
        <w:gridCol w:w="33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86" w:type="dxa"/>
            <w:tcBorders/>
            <w:shd w:fill="auto" w:val="clear"/>
            <w:vAlign w:val="center"/>
          </w:tcPr>
          <w:p>
            <w:pPr>
              <w:pStyle w:val="TableContents"/>
              <w:spacing w:before="0" w:after="283"/>
              <w:rPr>
                <w:sz w:val="4"/>
                <w:szCs w:val="4"/>
              </w:rPr>
            </w:pPr>
            <w:r>
              <w:rPr>
                <w:sz w:val="4"/>
                <w:szCs w:val="4"/>
              </w:rPr>
            </w:r>
          </w:p>
        </w:tc>
        <w:tc>
          <w:tcPr>
            <w:tcW w:w="226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 2022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Market price of risk adjustment for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6" w:type="dxa"/>
            <w:tcBorders/>
            <w:shd w:fill="auto" w:val="clear"/>
            <w:vAlign w:val="center"/>
          </w:tcPr>
          <w:p>
            <w:pPr>
              <w:pStyle w:val="TableContents"/>
              <w:spacing w:lineRule="auto" w:line="252" w:before="0" w:after="0"/>
              <w:ind w:left="0" w:right="0" w:hanging="0"/>
              <w:jc w:val="left"/>
              <w:rPr/>
            </w:pPr>
            <w:r>
              <w:rPr/>
              <w:t> </w:t>
            </w:r>
          </w:p>
        </w:tc>
        <w:tc>
          <w:tcPr>
            <w:tcW w:w="226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 volatility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86" w:type="dxa"/>
            <w:tcBorders/>
            <w:shd w:fill="auto" w:val="clear"/>
            <w:vAlign w:val="center"/>
          </w:tcPr>
          <w:p>
            <w:pPr>
              <w:pStyle w:val="TableContents"/>
              <w:spacing w:lineRule="auto" w:line="252" w:before="0" w:after="0"/>
              <w:ind w:left="0" w:right="0" w:hanging="0"/>
              <w:jc w:val="left"/>
              <w:rPr/>
            </w:pPr>
            <w:r>
              <w:rPr/>
              <w:t> </w:t>
            </w:r>
          </w:p>
        </w:tc>
        <w:tc>
          <w:tcPr>
            <w:tcW w:w="226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20.7</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Probability of successful achievement*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5" w:type="dxa"/>
            <w:gridSpan w:val="2"/>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 - 100%</w:t>
            </w:r>
          </w:p>
        </w:tc>
        <w:tc>
          <w:tcPr>
            <w:tcW w:w="331" w:type="dxa"/>
            <w:tcBorders/>
            <w:shd w:fill="auto" w:val="clear"/>
            <w:vAlign w:val="center"/>
          </w:tcPr>
          <w:p>
            <w:pPr>
              <w:pStyle w:val="TableContents"/>
              <w:spacing w:lineRule="auto" w:line="252" w:before="0" w:after="0"/>
              <w:ind w:left="0" w:right="0" w:hanging="0"/>
              <w:jc w:val="righ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Performance period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55"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Arial" w:hAnsi="Arial"/>
                <w:b w:val="false"/>
                <w:sz w:val="20"/>
              </w:rPr>
              <w:t>2</w:t>
            </w:r>
            <w:r>
              <w:rPr>
                <w:rFonts w:ascii="Times New Roman" w:hAnsi="Times New Roman"/>
                <w:sz w:val="20"/>
              </w:rPr>
              <w:t> </w:t>
            </w:r>
            <w:r>
              <w:rPr>
                <w:rFonts w:ascii="Arial" w:hAnsi="Arial"/>
                <w:b w:val="false"/>
                <w:sz w:val="20"/>
              </w:rPr>
              <w:t>years</w:t>
            </w:r>
          </w:p>
        </w:tc>
        <w:tc>
          <w:tcPr>
            <w:tcW w:w="331" w:type="dxa"/>
            <w:tcBorders/>
            <w:shd w:fill="auto" w:val="clear"/>
            <w:vAlign w:val="center"/>
          </w:tcPr>
          <w:p>
            <w:pPr>
              <w:pStyle w:val="TableContents"/>
              <w:spacing w:lineRule="auto" w:line="252" w:before="0" w:after="0"/>
              <w:ind w:left="0" w:right="0" w:hanging="0"/>
              <w:jc w:val="right"/>
              <w:rPr/>
            </w:pPr>
            <w:r>
              <w:rPr/>
              <w:t> </w:t>
            </w:r>
          </w:p>
        </w:tc>
      </w:tr>
    </w:tbl>
    <w:p>
      <w:pPr>
        <w:pStyle w:val="TextBody"/>
        <w:pBdr>
          <w:bottom w:val="single" w:sz="6" w:space="1" w:color="000000"/>
        </w:pBdr>
        <w:spacing w:lineRule="auto" w:line="273" w:before="40" w:after="0"/>
        <w:jc w:val="left"/>
        <w:rPr/>
      </w:pPr>
      <w:r>
        <w:rPr/>
        <w:t> </w:t>
      </w:r>
    </w:p>
    <w:p>
      <w:pPr>
        <w:pStyle w:val="TextBody"/>
        <w:spacing w:lineRule="auto" w:line="273" w:before="40" w:after="0"/>
        <w:jc w:val="left"/>
        <w:rPr>
          <w:rFonts w:ascii="Times New Roman" w:hAnsi="Times New Roman"/>
          <w:sz w:val="20"/>
        </w:rPr>
      </w:pPr>
      <w:r>
        <w:rPr>
          <w:rFonts w:ascii="Arial" w:hAnsi="Arial"/>
          <w:b w:val="false"/>
          <w:sz w:val="16"/>
        </w:rPr>
        <w:t>* Probability of successful achievement was set at different targets based on the Company’s best estimates on achieving them.</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Increases or decreases in expectations regarding the level at which payment volumes are expected to be achieved would result in a higher or lower fair value measurement, respectively. Increases or decreases in the market price of risk adjustment of revenue would result in a decrease or increase in the fair value measurement, respectively. Increases or decreases in the revenue volatility would result in a decrease or increase in the fair value measurement, respectively.</w:t>
      </w:r>
    </w:p>
    <w:p>
      <w:pPr>
        <w:pStyle w:val="TextBody"/>
        <w:spacing w:lineRule="auto" w:line="273" w:before="200" w:after="200"/>
        <w:jc w:val="left"/>
        <w:rPr>
          <w:rFonts w:ascii="Times New Roman" w:hAnsi="Times New Roman"/>
          <w:sz w:val="20"/>
        </w:rPr>
      </w:pPr>
      <w:r>
        <w:rPr>
          <w:rFonts w:ascii="Arial" w:hAnsi="Arial"/>
          <w:b w:val="false"/>
          <w:sz w:val="20"/>
        </w:rPr>
        <w:t>The following table summarizes the changes in the carrying value of the contingent consideration for the three months ended March 31, 2022 and 2021 (in thousands):</w:t>
      </w:r>
      <w:r>
        <w:rPr>
          <w:rFonts w:ascii="Times New Roman" w:hAnsi="Times New Roman"/>
          <w:sz w:val="20"/>
        </w:rPr>
        <w:t xml:space="preserve"> </w:t>
      </w:r>
    </w:p>
    <w:tbl>
      <w:tblPr>
        <w:tblW w:w="6463" w:type="dxa"/>
        <w:jc w:val="left"/>
        <w:tblInd w:w="0" w:type="dxa"/>
        <w:tblCellMar>
          <w:top w:w="28" w:type="dxa"/>
          <w:left w:w="28" w:type="dxa"/>
          <w:bottom w:w="28" w:type="dxa"/>
          <w:right w:w="28" w:type="dxa"/>
        </w:tblCellMar>
      </w:tblPr>
      <w:tblGrid>
        <w:gridCol w:w="3556"/>
        <w:gridCol w:w="146"/>
        <w:gridCol w:w="254"/>
        <w:gridCol w:w="833"/>
        <w:gridCol w:w="200"/>
        <w:gridCol w:w="176"/>
        <w:gridCol w:w="254"/>
        <w:gridCol w:w="833"/>
        <w:gridCol w:w="21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Beginning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11,309</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12,500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Additions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pPr>
            <w:r>
              <w:rPr/>
              <w:t>—</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Change in fair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w:t>
            </w:r>
          </w:p>
        </w:tc>
        <w:tc>
          <w:tcPr>
            <w:tcW w:w="20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Contingent consideration paid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(7,844</w:t>
            </w:r>
          </w:p>
        </w:tc>
        <w:tc>
          <w:tcPr>
            <w:tcW w:w="20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(7,012</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Foreign currency translation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(95</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3,300</w:t>
            </w:r>
          </w:p>
        </w:tc>
        <w:tc>
          <w:tcPr>
            <w:tcW w:w="2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5,465</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tLeast" w:line="141" w:before="0" w:after="60"/>
        <w:jc w:val="left"/>
        <w:rPr/>
      </w:pPr>
      <w:r>
        <w:rPr/>
        <w:t> </w:t>
      </w:r>
    </w:p>
    <w:p>
      <w:pPr>
        <w:pStyle w:val="TextBody"/>
        <w:spacing w:lineRule="auto" w:line="273" w:before="40" w:after="200"/>
        <w:jc w:val="left"/>
        <w:rPr>
          <w:rFonts w:ascii="Times New Roman" w:hAnsi="Times New Roman"/>
          <w:sz w:val="20"/>
        </w:rPr>
      </w:pPr>
      <w:r>
        <w:rPr>
          <w:rFonts w:ascii="Arial" w:hAnsi="Arial"/>
          <w:b w:val="false"/>
          <w:sz w:val="16"/>
        </w:rPr>
        <w:t>* For the three months ended March 31, 2022 and 2021, amounts paid related to the fair value of contingent consideration that was initially recorded in purchase accounting of $3.3</w:t>
      </w:r>
      <w:r>
        <w:rPr>
          <w:rFonts w:ascii="Times New Roman" w:hAnsi="Times New Roman"/>
          <w:sz w:val="20"/>
        </w:rPr>
        <w:t xml:space="preserve"> </w:t>
      </w:r>
      <w:r>
        <w:rPr>
          <w:rFonts w:ascii="Arial" w:hAnsi="Arial"/>
          <w:b w:val="false"/>
          <w:sz w:val="16"/>
        </w:rPr>
        <w:t>million and $3.8</w:t>
      </w:r>
      <w:r>
        <w:rPr>
          <w:rFonts w:ascii="Times New Roman" w:hAnsi="Times New Roman"/>
          <w:sz w:val="20"/>
        </w:rPr>
        <w:t xml:space="preserve"> </w:t>
      </w:r>
      <w:r>
        <w:rPr>
          <w:rFonts w:ascii="Arial" w:hAnsi="Arial"/>
          <w:b w:val="false"/>
          <w:sz w:val="16"/>
        </w:rPr>
        <w:t>million, respectively, were classified as financing cash flows in the condensed consolidated statement of cash flows. For the three months ended March 31, 2022 and 2021, amounts paid for the excess of the fair value of $4.5</w:t>
      </w:r>
      <w:r>
        <w:rPr>
          <w:rFonts w:ascii="Times New Roman" w:hAnsi="Times New Roman"/>
          <w:sz w:val="20"/>
        </w:rPr>
        <w:t xml:space="preserve"> </w:t>
      </w:r>
      <w:r>
        <w:rPr>
          <w:rFonts w:ascii="Arial" w:hAnsi="Arial"/>
          <w:b w:val="false"/>
          <w:sz w:val="16"/>
        </w:rPr>
        <w:t>million and $3.2</w:t>
      </w:r>
      <w:r>
        <w:rPr>
          <w:rFonts w:ascii="Times New Roman" w:hAnsi="Times New Roman"/>
          <w:sz w:val="20"/>
        </w:rPr>
        <w:t xml:space="preserve"> </w:t>
      </w:r>
      <w:r>
        <w:rPr>
          <w:rFonts w:ascii="Arial" w:hAnsi="Arial"/>
          <w:b w:val="false"/>
          <w:sz w:val="16"/>
        </w:rPr>
        <w:t>million, respectively, were classified as operating cash flows in the condensed consolidated statement of cash flows.</w:t>
      </w:r>
    </w:p>
    <w:p>
      <w:pPr>
        <w:pStyle w:val="TextBody"/>
        <w:spacing w:lineRule="auto" w:line="273" w:before="360" w:after="0"/>
        <w:jc w:val="left"/>
        <w:rPr>
          <w:rFonts w:ascii="Times New Roman" w:hAnsi="Times New Roman"/>
          <w:sz w:val="20"/>
        </w:rPr>
      </w:pPr>
      <w:r>
        <w:rPr>
          <w:rFonts w:ascii="Arial" w:hAnsi="Arial"/>
          <w:b/>
          <w:sz w:val="20"/>
        </w:rPr>
        <w:t>5.</w:t>
      </w:r>
      <w:r>
        <w:rPr>
          <w:rFonts w:ascii="Times New Roman" w:hAnsi="Times New Roman"/>
          <w:sz w:val="20"/>
        </w:rPr>
        <w:t xml:space="preserve"> </w:t>
      </w:r>
      <w:r>
        <w:rPr>
          <w:rFonts w:ascii="Arial" w:hAnsi="Arial"/>
          <w:b/>
          <w:sz w:val="20"/>
        </w:rPr>
        <w:t>Derivative Instruments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part of the Company’s foreign currency risk management program, the Company uses foreign currency forward contracts to mitigate the volatility related to fluctuations in the foreign exchange rates. These foreign currency forward contracts are not designated as hedging instruments.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March 31, 2022 and December 31, 2021, the Company had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14</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5,322</w:t>
      </w:r>
      <w:r>
        <w:rPr>
          <w:rFonts w:ascii="Times New Roman" w:hAnsi="Times New Roman"/>
          <w:sz w:val="20"/>
        </w:rPr>
        <w:t xml:space="preserve"> </w:t>
      </w:r>
      <w:r>
        <w:rPr>
          <w:rFonts w:ascii="Arial" w:hAnsi="Arial"/>
          <w:b w:val="false"/>
          <w:sz w:val="20"/>
        </w:rPr>
        <w:t>and 8,653</w:t>
      </w:r>
      <w:r>
        <w:rPr>
          <w:rFonts w:ascii="Times New Roman" w:hAnsi="Times New Roman"/>
          <w:sz w:val="20"/>
        </w:rPr>
        <w:t xml:space="preserve"> </w:t>
      </w:r>
      <w:r>
        <w:rPr>
          <w:rFonts w:ascii="Arial" w:hAnsi="Arial"/>
          <w:b w:val="false"/>
          <w:sz w:val="20"/>
        </w:rPr>
        <w:t>open foreign exchange contracts, respectively. As of March 31, 2022 and December 31, 2021, the Company had foreign currency forward contracts outstanding with a notional amount of $36.2</w:t>
      </w:r>
      <w:r>
        <w:rPr>
          <w:rFonts w:ascii="Times New Roman" w:hAnsi="Times New Roman"/>
          <w:sz w:val="20"/>
        </w:rPr>
        <w:t xml:space="preserve"> </w:t>
      </w:r>
      <w:r>
        <w:rPr>
          <w:rFonts w:ascii="Arial" w:hAnsi="Arial"/>
          <w:b w:val="false"/>
          <w:sz w:val="20"/>
        </w:rPr>
        <w:t>million and $27.9</w:t>
      </w:r>
      <w:r>
        <w:rPr>
          <w:rFonts w:ascii="Times New Roman" w:hAnsi="Times New Roman"/>
          <w:sz w:val="20"/>
        </w:rPr>
        <w:t xml:space="preserve"> </w:t>
      </w:r>
      <w:r>
        <w:rPr>
          <w:rFonts w:ascii="Arial" w:hAnsi="Arial"/>
          <w:b w:val="false"/>
          <w:sz w:val="20"/>
        </w:rPr>
        <w:t>million, respectively.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Company records all derivative instruments in the condensed consolidated balance sheets at their fair values. The Company recorded an asset of less than $0.1</w:t>
      </w:r>
      <w:r>
        <w:rPr>
          <w:rFonts w:ascii="Arial" w:hAnsi="Arial"/>
          <w:sz w:val="20"/>
        </w:rPr>
        <w:t xml:space="preserve"> </w:t>
      </w:r>
      <w:r>
        <w:rPr>
          <w:rFonts w:ascii="Arial" w:hAnsi="Arial"/>
          <w:b w:val="false"/>
          <w:sz w:val="20"/>
        </w:rPr>
        <w:t>million as of both March 31, 2022 and December 31, 2021 related to outstanding foreign exchange contracts. The Company recognized a gain of $0.3</w:t>
      </w:r>
      <w:r>
        <w:rPr>
          <w:rFonts w:ascii="Arial" w:hAnsi="Arial"/>
          <w:sz w:val="20"/>
        </w:rPr>
        <w:t xml:space="preserve"> </w:t>
      </w:r>
      <w:r>
        <w:rPr>
          <w:rFonts w:ascii="Arial" w:hAnsi="Arial"/>
          <w:b w:val="false"/>
          <w:sz w:val="20"/>
        </w:rPr>
        <w:t>million and a gain of less than $0.1</w:t>
      </w:r>
      <w:r>
        <w:rPr>
          <w:rFonts w:ascii="Arial" w:hAnsi="Arial"/>
          <w:sz w:val="20"/>
        </w:rPr>
        <w:t xml:space="preserve"> </w:t>
      </w:r>
      <w:r>
        <w:rPr>
          <w:rFonts w:ascii="Arial" w:hAnsi="Arial"/>
          <w:b w:val="false"/>
          <w:sz w:val="20"/>
        </w:rPr>
        <w:t>million during the three months ended March 31, 2022 and March 31, 2021, respectively. Gains and losses are included as a component of general and administrative expense within the condensed consolidated statements of operations and</w:t>
      </w:r>
      <w:r>
        <w:rPr>
          <w:rFonts w:ascii="Arial" w:hAnsi="Arial"/>
          <w:sz w:val="20"/>
        </w:rPr>
        <w:t xml:space="preserve"> </w:t>
      </w:r>
      <w:r>
        <w:rPr>
          <w:rFonts w:ascii="Arial" w:hAnsi="Arial"/>
          <w:b w:val="false"/>
          <w:sz w:val="20"/>
        </w:rPr>
        <w:t>comprehensive loss.</w:t>
      </w:r>
      <w:r>
        <w:rPr>
          <w:rFonts w:ascii="Times New Roman" w:hAnsi="Times New Roman"/>
          <w:sz w:val="20"/>
        </w:rPr>
        <w:t xml:space="preserve"> </w:t>
      </w:r>
    </w:p>
    <w:p>
      <w:pPr>
        <w:pStyle w:val="TextBody"/>
        <w:spacing w:lineRule="auto" w:line="273" w:before="360" w:after="0"/>
        <w:jc w:val="left"/>
        <w:rPr>
          <w:rFonts w:ascii="Arial" w:hAnsi="Arial"/>
          <w:b/>
          <w:sz w:val="20"/>
        </w:rPr>
      </w:pPr>
      <w:r>
        <w:rPr>
          <w:rFonts w:ascii="Arial" w:hAnsi="Arial"/>
          <w:b/>
          <w:sz w:val="20"/>
        </w:rPr>
        <w:t>6.</w:t>
      </w:r>
    </w:p>
    <w:p>
      <w:pPr>
        <w:pStyle w:val="TextBody"/>
        <w:spacing w:lineRule="auto" w:line="273" w:before="360" w:after="283"/>
        <w:jc w:val="left"/>
        <w:rPr>
          <w:rFonts w:ascii="Arial" w:hAnsi="Arial"/>
          <w:b/>
          <w:sz w:val="20"/>
        </w:rPr>
      </w:pPr>
      <w:r>
        <w:rPr>
          <w:rFonts w:ascii="Arial" w:hAnsi="Arial"/>
          <w:b/>
          <w:sz w:val="20"/>
        </w:rPr>
        <w:t xml:space="preserve">Accrued Expenses and Other Current Liabilities </w:t>
      </w:r>
    </w:p>
    <w:p>
      <w:pPr>
        <w:pStyle w:val="TextBody"/>
        <w:spacing w:lineRule="auto" w:line="273" w:before="200" w:after="200"/>
        <w:jc w:val="left"/>
        <w:rPr>
          <w:rFonts w:ascii="Times New Roman" w:hAnsi="Times New Roman"/>
          <w:sz w:val="20"/>
        </w:rPr>
      </w:pPr>
      <w:r>
        <w:rPr>
          <w:rFonts w:ascii="Arial" w:hAnsi="Arial"/>
          <w:b w:val="false"/>
          <w:sz w:val="20"/>
        </w:rPr>
        <w:t>Accrued expenses and other current liabilities consisted of the following as of the dates presented (in thousands):</w:t>
      </w:r>
      <w:r>
        <w:rPr>
          <w:rFonts w:ascii="Times New Roman" w:hAnsi="Times New Roman"/>
          <w:sz w:val="20"/>
        </w:rPr>
        <w:t xml:space="preserve"> </w:t>
      </w:r>
    </w:p>
    <w:tbl>
      <w:tblPr>
        <w:tblW w:w="7562" w:type="dxa"/>
        <w:jc w:val="left"/>
        <w:tblInd w:w="0" w:type="dxa"/>
        <w:tblCellMar>
          <w:top w:w="28" w:type="dxa"/>
          <w:left w:w="28" w:type="dxa"/>
          <w:bottom w:w="28" w:type="dxa"/>
          <w:right w:w="28" w:type="dxa"/>
        </w:tblCellMar>
      </w:tblPr>
      <w:tblGrid>
        <w:gridCol w:w="4861"/>
        <w:gridCol w:w="146"/>
        <w:gridCol w:w="211"/>
        <w:gridCol w:w="691"/>
        <w:gridCol w:w="146"/>
        <w:gridCol w:w="146"/>
        <w:gridCol w:w="273"/>
        <w:gridCol w:w="897"/>
        <w:gridCol w:w="191"/>
      </w:tblGrid>
      <w:tr>
        <w:trPr/>
        <w:tc>
          <w:tcPr>
            <w:tcW w:w="48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6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b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b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8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employee compensation and related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10,340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13,854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8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vendor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1,763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8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income and other non-employee related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2,652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8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professional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1,307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8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Current portion of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1,670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48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accrued expenses and current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4,408</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3,150</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86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21,588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22,726</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7.</w:t>
      </w:r>
    </w:p>
    <w:p>
      <w:pPr>
        <w:pStyle w:val="TextBody"/>
        <w:spacing w:lineRule="auto" w:line="273" w:before="360" w:after="283"/>
        <w:jc w:val="left"/>
        <w:rPr>
          <w:rFonts w:ascii="Arial" w:hAnsi="Arial"/>
          <w:b/>
          <w:sz w:val="20"/>
        </w:rPr>
      </w:pPr>
      <w:r>
        <w:rPr>
          <w:rFonts w:ascii="Arial" w:hAnsi="Arial"/>
          <w:b/>
          <w:sz w:val="20"/>
        </w:rPr>
        <w:t xml:space="preserve">Property and Equipment, net </w:t>
      </w:r>
    </w:p>
    <w:p>
      <w:pPr>
        <w:pStyle w:val="TextBody"/>
        <w:spacing w:lineRule="auto" w:line="273" w:before="200" w:after="200"/>
        <w:jc w:val="left"/>
        <w:rPr>
          <w:rFonts w:ascii="Times New Roman" w:hAnsi="Times New Roman"/>
          <w:sz w:val="20"/>
        </w:rPr>
      </w:pPr>
      <w:r>
        <w:rPr>
          <w:rFonts w:ascii="Arial" w:hAnsi="Arial"/>
          <w:b w:val="false"/>
          <w:sz w:val="20"/>
        </w:rPr>
        <w:t>Property and equipment, net consisted of the following as of the dates presented (in thousands):</w:t>
      </w:r>
      <w:r>
        <w:rPr>
          <w:rFonts w:ascii="Times New Roman" w:hAnsi="Times New Roman"/>
          <w:sz w:val="20"/>
        </w:rPr>
        <w:t xml:space="preserve"> </w:t>
      </w:r>
    </w:p>
    <w:tbl>
      <w:tblPr>
        <w:tblW w:w="7152" w:type="dxa"/>
        <w:jc w:val="left"/>
        <w:tblInd w:w="0" w:type="dxa"/>
        <w:tblCellMar>
          <w:top w:w="28" w:type="dxa"/>
          <w:left w:w="28" w:type="dxa"/>
          <w:bottom w:w="28" w:type="dxa"/>
          <w:right w:w="28" w:type="dxa"/>
        </w:tblCellMar>
      </w:tblPr>
      <w:tblGrid>
        <w:gridCol w:w="4411"/>
        <w:gridCol w:w="146"/>
        <w:gridCol w:w="211"/>
        <w:gridCol w:w="691"/>
        <w:gridCol w:w="166"/>
        <w:gridCol w:w="146"/>
        <w:gridCol w:w="273"/>
        <w:gridCol w:w="897"/>
        <w:gridCol w:w="211"/>
      </w:tblGrid>
      <w:tr>
        <w:trPr/>
        <w:tc>
          <w:tcPr>
            <w:tcW w:w="44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4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w:t>
              <w:b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17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w:t>
              <w:b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Computer equipment and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2,347</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2,211</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Internal-use software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8,619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7,414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Furniture and fixtures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918</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953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Leasehold improvements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4,995</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16,874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89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15,573</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44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Less: Accumulated 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(6,794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9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4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10,080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9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9,442</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Depreciation and amortization expense for the three months ended March 31, 2022 and 2021 was</w:t>
      </w:r>
      <w:r>
        <w:rPr>
          <w:rFonts w:ascii="Times New Roman" w:hAnsi="Times New Roman"/>
          <w:sz w:val="20"/>
        </w:rPr>
        <w:t xml:space="preserve"> </w:t>
      </w:r>
      <w:r>
        <w:rPr>
          <w:rFonts w:ascii="Arial" w:hAnsi="Arial"/>
          <w:b w:val="false"/>
          <w:sz w:val="20"/>
        </w:rPr>
        <w:t>$0.7</w:t>
      </w:r>
      <w:r>
        <w:rPr>
          <w:rFonts w:ascii="Times New Roman" w:hAnsi="Times New Roman"/>
          <w:sz w:val="20"/>
        </w:rPr>
        <w:t xml:space="preserve"> </w:t>
      </w:r>
      <w:r>
        <w:rPr>
          <w:rFonts w:ascii="Arial" w:hAnsi="Arial"/>
          <w:b w:val="false"/>
          <w:sz w:val="20"/>
        </w:rPr>
        <w:t>million and $0.4</w:t>
      </w:r>
      <w:r>
        <w:rPr>
          <w:rFonts w:ascii="Times New Roman" w:hAnsi="Times New Roman"/>
          <w:sz w:val="20"/>
        </w:rPr>
        <w:t xml:space="preserve"> </w:t>
      </w:r>
      <w:r>
        <w:rPr>
          <w:rFonts w:ascii="Arial" w:hAnsi="Arial"/>
          <w:b w:val="false"/>
          <w:sz w:val="20"/>
        </w:rPr>
        <w:t>million, respectively.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2021, the Company sold $0.1</w:t>
      </w:r>
      <w:r>
        <w:rPr>
          <w:rFonts w:ascii="Times New Roman" w:hAnsi="Times New Roman"/>
          <w:sz w:val="20"/>
        </w:rPr>
        <w:t xml:space="preserve"> </w:t>
      </w:r>
      <w:r>
        <w:rPr>
          <w:rFonts w:ascii="Arial" w:hAnsi="Arial"/>
          <w:b w:val="false"/>
          <w:sz w:val="20"/>
        </w:rPr>
        <w:t>million of property and equipment with accumulated depreciation of $0.1</w:t>
      </w:r>
      <w:r>
        <w:rPr>
          <w:rFonts w:ascii="Times New Roman" w:hAnsi="Times New Roman"/>
          <w:sz w:val="20"/>
        </w:rPr>
        <w:t xml:space="preserve"> </w:t>
      </w:r>
      <w:r>
        <w:rPr>
          <w:rFonts w:ascii="Arial" w:hAnsi="Arial"/>
          <w:b w:val="false"/>
          <w:sz w:val="20"/>
        </w:rPr>
        <w:t>million. The Company recognized a gain on the sale of the fixed assets of less than $0.1</w:t>
      </w:r>
      <w:r>
        <w:rPr>
          <w:rFonts w:ascii="Times New Roman" w:hAnsi="Times New Roman"/>
          <w:sz w:val="20"/>
        </w:rPr>
        <w:t xml:space="preserve"> </w:t>
      </w:r>
      <w:r>
        <w:rPr>
          <w:rFonts w:ascii="Arial" w:hAnsi="Arial"/>
          <w:b w:val="false"/>
          <w:sz w:val="20"/>
        </w:rPr>
        <w:t>million.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Company capitalized</w:t>
      </w:r>
      <w:r>
        <w:rPr>
          <w:rFonts w:ascii="Times New Roman" w:hAnsi="Times New Roman"/>
          <w:sz w:val="20"/>
        </w:rPr>
        <w:t xml:space="preserve"> </w:t>
      </w:r>
      <w:r>
        <w:rPr>
          <w:rFonts w:ascii="Arial" w:hAnsi="Arial"/>
          <w:b w:val="false"/>
          <w:sz w:val="20"/>
        </w:rPr>
        <w:t>$1.2</w:t>
      </w:r>
      <w:r>
        <w:rPr>
          <w:rFonts w:ascii="Times New Roman" w:hAnsi="Times New Roman"/>
          <w:sz w:val="20"/>
        </w:rPr>
        <w:t xml:space="preserve"> </w:t>
      </w:r>
      <w:r>
        <w:rPr>
          <w:rFonts w:ascii="Arial" w:hAnsi="Arial"/>
          <w:b w:val="false"/>
          <w:sz w:val="20"/>
        </w:rPr>
        <w:t>million</w:t>
      </w:r>
      <w:r>
        <w:rPr>
          <w:rFonts w:ascii="Times New Roman" w:hAnsi="Times New Roman"/>
          <w:sz w:val="20"/>
        </w:rPr>
        <w:t xml:space="preserve"> </w:t>
      </w:r>
      <w:r>
        <w:rPr>
          <w:rFonts w:ascii="Arial" w:hAnsi="Arial"/>
          <w:b w:val="false"/>
          <w:sz w:val="20"/>
        </w:rPr>
        <w:t>and $5.6</w:t>
      </w:r>
      <w:r>
        <w:rPr>
          <w:rFonts w:ascii="Times New Roman" w:hAnsi="Times New Roman"/>
          <w:sz w:val="20"/>
        </w:rPr>
        <w:t xml:space="preserve"> </w:t>
      </w:r>
      <w:r>
        <w:rPr>
          <w:rFonts w:ascii="Arial" w:hAnsi="Arial"/>
          <w:b w:val="false"/>
          <w:sz w:val="20"/>
        </w:rPr>
        <w:t>million in costs related to internal-use software during the three months ended March 31, 2022 and twelve months ended December 31, 2021, respectively. The Company capitalized $1.4</w:t>
      </w:r>
      <w:r>
        <w:rPr>
          <w:rFonts w:ascii="Times New Roman" w:hAnsi="Times New Roman"/>
          <w:sz w:val="20"/>
        </w:rPr>
        <w:t xml:space="preserve"> </w:t>
      </w:r>
      <w:r>
        <w:rPr>
          <w:rFonts w:ascii="Arial" w:hAnsi="Arial"/>
          <w:b w:val="false"/>
          <w:sz w:val="20"/>
        </w:rPr>
        <w:t>million in costs related to internal-use software during the three months ended March 31, 2021. Software developed for internal use is amortized on a straight-line basis over its estimated useful life of five years.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of March 31, 2022 and December 31, 2021, the carrying value of internal-use software was</w:t>
      </w:r>
      <w:r>
        <w:rPr>
          <w:rFonts w:ascii="Times New Roman" w:hAnsi="Times New Roman"/>
          <w:sz w:val="20"/>
        </w:rPr>
        <w:t xml:space="preserve"> </w:t>
      </w:r>
      <w:r>
        <w:rPr>
          <w:rFonts w:ascii="Arial" w:hAnsi="Arial"/>
          <w:b w:val="false"/>
          <w:sz w:val="20"/>
        </w:rPr>
        <w:t>$6.7</w:t>
      </w:r>
      <w:r>
        <w:rPr>
          <w:rFonts w:ascii="Times New Roman" w:hAnsi="Times New Roman"/>
          <w:sz w:val="20"/>
        </w:rPr>
        <w:t xml:space="preserve"> </w:t>
      </w:r>
      <w:r>
        <w:rPr>
          <w:rFonts w:ascii="Arial" w:hAnsi="Arial"/>
          <w:b w:val="false"/>
          <w:sz w:val="20"/>
        </w:rPr>
        <w:t>million and $6.5</w:t>
      </w:r>
      <w:r>
        <w:rPr>
          <w:rFonts w:ascii="Times New Roman" w:hAnsi="Times New Roman"/>
          <w:sz w:val="20"/>
        </w:rPr>
        <w:t xml:space="preserve"> </w:t>
      </w:r>
      <w:r>
        <w:rPr>
          <w:rFonts w:ascii="Arial" w:hAnsi="Arial"/>
          <w:b w:val="false"/>
          <w:sz w:val="20"/>
        </w:rPr>
        <w:t>million, respectively.</w:t>
      </w:r>
      <w:r>
        <w:rPr>
          <w:rFonts w:ascii="Times New Roman" w:hAnsi="Times New Roman"/>
          <w:sz w:val="20"/>
        </w:rPr>
        <w:t xml:space="preserve"> </w:t>
      </w:r>
      <w:r>
        <w:rPr>
          <w:rFonts w:ascii="Arial" w:hAnsi="Arial"/>
          <w:b w:val="false"/>
          <w:sz w:val="20"/>
        </w:rPr>
        <w:t>Amortization expense related to internal-use software was $0.4</w:t>
      </w:r>
      <w:r>
        <w:rPr>
          <w:rFonts w:ascii="Times New Roman" w:hAnsi="Times New Roman"/>
          <w:sz w:val="20"/>
        </w:rPr>
        <w:t xml:space="preserve"> </w:t>
      </w:r>
      <w:r>
        <w:rPr>
          <w:rFonts w:ascii="Arial" w:hAnsi="Arial"/>
          <w:b w:val="false"/>
          <w:sz w:val="20"/>
        </w:rPr>
        <w:t>million and $0.1</w:t>
      </w:r>
      <w:r>
        <w:rPr>
          <w:rFonts w:ascii="Times New Roman" w:hAnsi="Times New Roman"/>
          <w:sz w:val="20"/>
        </w:rPr>
        <w:t xml:space="preserve"> </w:t>
      </w:r>
      <w:r>
        <w:rPr>
          <w:rFonts w:ascii="Arial" w:hAnsi="Arial"/>
          <w:b w:val="false"/>
          <w:sz w:val="20"/>
        </w:rPr>
        <w:t>million during the three months ended March 31, 2022 and 2021, respectively.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15</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8.</w:t>
      </w:r>
    </w:p>
    <w:p>
      <w:pPr>
        <w:pStyle w:val="TextBody"/>
        <w:spacing w:lineRule="auto" w:line="273" w:before="360" w:after="283"/>
        <w:jc w:val="left"/>
        <w:rPr>
          <w:rFonts w:ascii="Arial" w:hAnsi="Arial"/>
          <w:b/>
          <w:sz w:val="20"/>
        </w:rPr>
      </w:pPr>
      <w:r>
        <w:rPr>
          <w:rFonts w:ascii="Arial" w:hAnsi="Arial"/>
          <w:b/>
          <w:sz w:val="20"/>
        </w:rPr>
        <w:t>Business Combinations</w:t>
      </w:r>
    </w:p>
    <w:p>
      <w:pPr>
        <w:pStyle w:val="TextBody"/>
        <w:spacing w:lineRule="auto" w:line="273" w:before="200" w:after="200"/>
        <w:jc w:val="left"/>
        <w:rPr>
          <w:rFonts w:ascii="Arial" w:hAnsi="Arial"/>
          <w:b/>
          <w:i/>
          <w:sz w:val="20"/>
        </w:rPr>
      </w:pPr>
      <w:r>
        <w:rPr>
          <w:rFonts w:ascii="Arial" w:hAnsi="Arial"/>
          <w:b/>
          <w:i/>
          <w:sz w:val="20"/>
        </w:rPr>
        <w:t>Business Acquisition Completed in 2021</w:t>
      </w:r>
    </w:p>
    <w:p>
      <w:pPr>
        <w:pStyle w:val="TextBody"/>
        <w:spacing w:lineRule="auto" w:line="273" w:before="200" w:after="200"/>
        <w:jc w:val="left"/>
        <w:rPr>
          <w:rFonts w:ascii="Arial" w:hAnsi="Arial"/>
          <w:b w:val="false"/>
          <w:i/>
          <w:sz w:val="20"/>
        </w:rPr>
      </w:pPr>
      <w:r>
        <w:rPr>
          <w:rFonts w:ascii="Arial" w:hAnsi="Arial"/>
          <w:b w:val="false"/>
          <w:i/>
          <w:sz w:val="20"/>
        </w:rPr>
        <w:t>WPM</w:t>
      </w:r>
    </w:p>
    <w:p>
      <w:pPr>
        <w:pStyle w:val="TextBody"/>
        <w:spacing w:lineRule="auto" w:line="273" w:before="200" w:after="200"/>
        <w:jc w:val="left"/>
        <w:rPr>
          <w:rFonts w:ascii="Times New Roman" w:hAnsi="Times New Roman"/>
          <w:sz w:val="20"/>
        </w:rPr>
      </w:pPr>
      <w:r>
        <w:rPr>
          <w:rFonts w:ascii="Arial" w:hAnsi="Arial"/>
          <w:b w:val="false"/>
          <w:sz w:val="20"/>
        </w:rPr>
        <w:t>On December 14, 2021, Flywire completed its acquisition of WPM, a leading software provider that enables seamless and secure payment experiences for universities and colleges across the U.K. The acquisition of WPM was intended to build on Flywire’s existing education payments business and is expected to further accelerate the Company's market share in the U.K. education sector. The acquisition of WPM has been accounted for as a business combination.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Pursuant to the terms of the agreement, the Company acquired all outstanding equity of WPM for estimated total purchase consideration of</w:t>
      </w:r>
      <w:r>
        <w:rPr>
          <w:rFonts w:ascii="Times New Roman" w:hAnsi="Times New Roman"/>
          <w:sz w:val="20"/>
        </w:rPr>
        <w:t xml:space="preserve"> </w:t>
      </w:r>
      <w:r>
        <w:rPr>
          <w:rFonts w:ascii="Arial" w:hAnsi="Arial"/>
          <w:b w:val="false"/>
          <w:sz w:val="20"/>
        </w:rPr>
        <w:t>$59.6</w:t>
      </w:r>
      <w:r>
        <w:rPr>
          <w:rFonts w:ascii="Times New Roman" w:hAnsi="Times New Roman"/>
          <w:sz w:val="20"/>
        </w:rPr>
        <w:t xml:space="preserve"> </w:t>
      </w:r>
      <w:r>
        <w:rPr>
          <w:rFonts w:ascii="Arial" w:hAnsi="Arial"/>
          <w:b w:val="false"/>
          <w:sz w:val="20"/>
        </w:rPr>
        <w:t>million, which consists of (in thousands):</w:t>
      </w:r>
      <w:r>
        <w:rPr>
          <w:rFonts w:ascii="Times New Roman" w:hAnsi="Times New Roman"/>
          <w:sz w:val="20"/>
        </w:rPr>
        <w:t xml:space="preserve"> </w:t>
      </w:r>
    </w:p>
    <w:tbl>
      <w:tblPr>
        <w:tblW w:w="6035" w:type="dxa"/>
        <w:jc w:val="left"/>
        <w:tblInd w:w="0" w:type="dxa"/>
        <w:tblCellMar>
          <w:top w:w="28" w:type="dxa"/>
          <w:left w:w="28" w:type="dxa"/>
          <w:bottom w:w="28" w:type="dxa"/>
          <w:right w:w="28" w:type="dxa"/>
        </w:tblCellMar>
      </w:tblPr>
      <w:tblGrid>
        <w:gridCol w:w="4516"/>
        <w:gridCol w:w="146"/>
        <w:gridCol w:w="211"/>
        <w:gridCol w:w="691"/>
        <w:gridCol w:w="471"/>
      </w:tblGrid>
      <w:tr>
        <w:trPr/>
        <w:tc>
          <w:tcPr>
            <w:tcW w:w="45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45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consideration, net of cash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56,111</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45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Estimated fair value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3,499</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451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purchase consideration, net of cash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59,610</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The contingent consideration is payable at various intervals through March 2024 in the form of up to approximately 225,000</w:t>
      </w:r>
      <w:r>
        <w:rPr>
          <w:rFonts w:ascii="Times New Roman" w:hAnsi="Times New Roman"/>
          <w:sz w:val="20"/>
        </w:rPr>
        <w:t xml:space="preserve"> </w:t>
      </w:r>
      <w:r>
        <w:rPr>
          <w:rFonts w:ascii="Arial" w:hAnsi="Arial"/>
          <w:b w:val="false"/>
          <w:sz w:val="20"/>
        </w:rPr>
        <w:t>shares of common stock and is dependent upon the Company's achievement of specified minimum payment volume targets and integration targets established for the years ending December 31, 2022 and 2023. A portion of the contingent consideration is also tied to continuing employment of certain key employees; accordingly, approximately 56,000</w:t>
      </w:r>
      <w:r>
        <w:rPr>
          <w:rFonts w:ascii="Times New Roman" w:hAnsi="Times New Roman"/>
          <w:sz w:val="20"/>
        </w:rPr>
        <w:t xml:space="preserve"> </w:t>
      </w:r>
      <w:r>
        <w:rPr>
          <w:rFonts w:ascii="Arial" w:hAnsi="Arial"/>
          <w:b w:val="false"/>
          <w:sz w:val="20"/>
        </w:rPr>
        <w:t>shares have been excluded from the purchase price. Therefore, total common stock included in the purchase price totals up to approximately 169,000</w:t>
      </w:r>
      <w:r>
        <w:rPr>
          <w:rFonts w:ascii="Times New Roman" w:hAnsi="Times New Roman"/>
          <w:sz w:val="20"/>
        </w:rPr>
        <w:t xml:space="preserve"> </w:t>
      </w:r>
      <w:r>
        <w:rPr>
          <w:rFonts w:ascii="Arial" w:hAnsi="Arial"/>
          <w:b w:val="false"/>
          <w:sz w:val="20"/>
        </w:rPr>
        <w:t>shares. During the three months ended March 31, 2022, the Company expensed $0.3</w:t>
      </w:r>
      <w:r>
        <w:rPr>
          <w:rFonts w:ascii="Times New Roman" w:hAnsi="Times New Roman"/>
          <w:sz w:val="20"/>
        </w:rPr>
        <w:t xml:space="preserve"> </w:t>
      </w:r>
      <w:r>
        <w:rPr>
          <w:rFonts w:ascii="Arial" w:hAnsi="Arial"/>
          <w:b w:val="false"/>
          <w:sz w:val="20"/>
        </w:rPr>
        <w:t>million in personnel costs associated with the retention portion contingent consideration. These personnel costs are included in the Company’s condensed consolidated statements of operations and comprehensive loss and a liability is recorded in accrued expenses and other current liabilities on the condensed consolidated balance sheet. Contingent consideration related to minimum payment volume targets will be settled at 15 months and 27 months after acquisition date based on the 15 months and subsequent 12 months result. Contingent consideration related to integration targets will be settled in common stock upon completion, which is expected in the second quarter 2022. The contingent consideration related to continuing employment of certain key employees</w:t>
      </w:r>
      <w:r>
        <w:rPr>
          <w:rFonts w:ascii="Arial" w:hAnsi="Arial"/>
          <w:sz w:val="20"/>
        </w:rPr>
        <w:t xml:space="preserve"> </w:t>
      </w:r>
      <w:r>
        <w:rPr>
          <w:rFonts w:ascii="Arial" w:hAnsi="Arial"/>
          <w:b w:val="false"/>
          <w:sz w:val="20"/>
        </w:rPr>
        <w:t>is payable at the two-year acquisition anniversary date.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Company did not incur any transaction costs related to the WPM acquisition during the three months ended March 31, 2022.</w:t>
      </w:r>
    </w:p>
    <w:p>
      <w:pPr>
        <w:pStyle w:val="TextBody"/>
        <w:spacing w:lineRule="auto" w:line="273" w:before="200" w:after="200"/>
        <w:jc w:val="left"/>
        <w:rPr>
          <w:rFonts w:ascii="Times New Roman" w:hAnsi="Times New Roman"/>
          <w:sz w:val="20"/>
        </w:rPr>
      </w:pPr>
      <w:r>
        <w:rPr>
          <w:rFonts w:ascii="Arial" w:hAnsi="Arial"/>
          <w:b w:val="false"/>
          <w:sz w:val="20"/>
        </w:rPr>
        <w:t xml:space="preserve">Except for deferred revenue, which has been recognized in accordance with ASU 2021-08, </w:t>
      </w:r>
      <w:r>
        <w:rPr>
          <w:rFonts w:ascii="Arial" w:hAnsi="Arial"/>
          <w:b w:val="false"/>
          <w:i/>
          <w:sz w:val="20"/>
        </w:rPr>
        <w:t>Business Combinations (Topic 805): Accounting for Contract Assets and Contract Liabilities from Contracts with Customers</w:t>
      </w:r>
      <w:r>
        <w:rPr>
          <w:rFonts w:ascii="Arial" w:hAnsi="Arial"/>
          <w:b w:val="false"/>
          <w:sz w:val="20"/>
        </w:rPr>
        <w:t xml:space="preserve">, the following table summarizes the allocation of the purchase consideration to the fair value of the assets acquired and liabilities assumed (in thousands): </w:t>
      </w:r>
    </w:p>
    <w:tbl>
      <w:tblPr>
        <w:tblW w:w="5375" w:type="dxa"/>
        <w:jc w:val="left"/>
        <w:tblInd w:w="0" w:type="dxa"/>
        <w:tblCellMar>
          <w:top w:w="28" w:type="dxa"/>
          <w:left w:w="28" w:type="dxa"/>
          <w:bottom w:w="28" w:type="dxa"/>
          <w:right w:w="28" w:type="dxa"/>
        </w:tblCellMar>
      </w:tblPr>
      <w:tblGrid>
        <w:gridCol w:w="3856"/>
        <w:gridCol w:w="146"/>
        <w:gridCol w:w="211"/>
        <w:gridCol w:w="691"/>
        <w:gridCol w:w="471"/>
      </w:tblGrid>
      <w:tr>
        <w:trPr/>
        <w:tc>
          <w:tcPr>
            <w:tcW w:w="3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2,101</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Accounts receivable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973</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Prepaid expenses and other current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209</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Property and equipment,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Goodwill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40,389</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Identifiable intangible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31,301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8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assets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74,978</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Deferred tax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7,776</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Deferred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4,525</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Accounts payable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Accrued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915</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38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 liabilities assumed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13,267</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assets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61,711</w:t>
            </w:r>
          </w:p>
        </w:tc>
        <w:tc>
          <w:tcPr>
            <w:tcW w:w="471" w:type="dxa"/>
            <w:tcBorders/>
            <w:shd w:fill="auto" w:val="clear"/>
            <w:vAlign w:val="center"/>
          </w:tcPr>
          <w:p>
            <w:pPr>
              <w:pStyle w:val="TableContents"/>
              <w:spacing w:lineRule="auto" w:line="252" w:before="0" w:after="0"/>
              <w:ind w:left="0" w:right="0" w:firstLine="280"/>
              <w:jc w:val="left"/>
              <w:rPr/>
            </w:pPr>
            <w:r>
              <w:rPr/>
              <w:t> </w:t>
            </w:r>
          </w:p>
        </w:tc>
      </w:tr>
      <w:tr>
        <w:trPr/>
        <w:tc>
          <w:tcPr>
            <w:tcW w:w="38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Less: cash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2,101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8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assets, less cash acquired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59,610</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Goodwill arising from the acquisition of $40.4</w:t>
      </w:r>
      <w:r>
        <w:rPr>
          <w:rFonts w:ascii="Times New Roman" w:hAnsi="Times New Roman"/>
          <w:sz w:val="20"/>
        </w:rPr>
        <w:t xml:space="preserve"> </w:t>
      </w:r>
      <w:r>
        <w:rPr>
          <w:rFonts w:ascii="Arial" w:hAnsi="Arial"/>
          <w:b w:val="false"/>
          <w:sz w:val="20"/>
        </w:rPr>
        <w:t>million was attributable to the assembled workforce of WPM and the synergies expected to arise from the acquisition. The Company expects that no</w:t>
      </w:r>
      <w:r>
        <w:rPr>
          <w:rFonts w:ascii="Times New Roman" w:hAnsi="Times New Roman"/>
          <w:sz w:val="20"/>
        </w:rPr>
        <w:t xml:space="preserve"> </w:t>
      </w:r>
      <w:r>
        <w:rPr>
          <w:rFonts w:ascii="Arial" w:hAnsi="Arial"/>
          <w:b w:val="false"/>
          <w:sz w:val="20"/>
        </w:rPr>
        <w:t>goodwill from this acquisition will be deductible for income tax purposes.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The following table reflects the estimated fair values of the identified intangible assets of WPM and their respective weighted-average estimated amortization periods.</w:t>
      </w:r>
      <w:r>
        <w:rPr>
          <w:rFonts w:ascii="Times New Roman" w:hAnsi="Times New Roman"/>
          <w:sz w:val="20"/>
        </w:rPr>
        <w:t xml:space="preserve"> </w:t>
      </w:r>
    </w:p>
    <w:tbl>
      <w:tblPr>
        <w:tblW w:w="6000" w:type="dxa"/>
        <w:jc w:val="left"/>
        <w:tblInd w:w="0" w:type="dxa"/>
        <w:tblCellMar>
          <w:top w:w="28" w:type="dxa"/>
          <w:left w:w="28" w:type="dxa"/>
          <w:bottom w:w="28" w:type="dxa"/>
          <w:right w:w="28" w:type="dxa"/>
        </w:tblCellMar>
      </w:tblPr>
      <w:tblGrid>
        <w:gridCol w:w="2116"/>
        <w:gridCol w:w="146"/>
        <w:gridCol w:w="298"/>
        <w:gridCol w:w="977"/>
        <w:gridCol w:w="146"/>
        <w:gridCol w:w="146"/>
        <w:gridCol w:w="625"/>
        <w:gridCol w:w="1355"/>
        <w:gridCol w:w="1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Estimated Fair</w:t>
              <w:br/>
              <w:t>Values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8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Weighted-Average</w:t>
              <w:br/>
              <w:t>Estimated Amortization</w:t>
              <w:br/>
              <w:t>Periods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11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5"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(in thousands)</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80" w:type="dxa"/>
            <w:gridSpan w:val="2"/>
            <w:tcBorders/>
            <w:shd w:fill="auto" w:val="clear"/>
            <w:vAlign w:val="center"/>
          </w:tcPr>
          <w:p>
            <w:pPr>
              <w:pStyle w:val="TableContents"/>
              <w:spacing w:lineRule="auto" w:line="252" w:before="0" w:after="0"/>
              <w:ind w:left="0" w:right="0" w:hanging="0"/>
              <w:jc w:val="center"/>
              <w:rPr>
                <w:rFonts w:ascii="Arial" w:hAnsi="Arial"/>
                <w:b/>
                <w:sz w:val="16"/>
              </w:rPr>
            </w:pPr>
            <w:r>
              <w:rPr>
                <w:rFonts w:ascii="Arial" w:hAnsi="Arial"/>
                <w:b/>
                <w:sz w:val="16"/>
              </w:rPr>
              <w:t>(years)</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Developed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7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left"/>
              <w:rPr/>
            </w:pPr>
            <w:r>
              <w:rPr/>
              <w:t> </w:t>
            </w:r>
          </w:p>
        </w:tc>
        <w:tc>
          <w:tcPr>
            <w:tcW w:w="135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Customer relationships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7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29,901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25" w:type="dxa"/>
            <w:tcBorders/>
            <w:shd w:fill="auto" w:val="clear"/>
            <w:vAlign w:val="center"/>
          </w:tcPr>
          <w:p>
            <w:pPr>
              <w:pStyle w:val="TableContents"/>
              <w:spacing w:lineRule="auto" w:line="252" w:before="0" w:after="0"/>
              <w:ind w:left="0" w:right="0" w:hanging="0"/>
              <w:jc w:val="left"/>
              <w:rPr/>
            </w:pPr>
            <w:r>
              <w:rPr/>
              <w:t> </w:t>
            </w:r>
          </w:p>
        </w:tc>
        <w:tc>
          <w:tcPr>
            <w:tcW w:w="135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1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7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31,301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980"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200" w:after="200"/>
        <w:jc w:val="left"/>
        <w:rPr>
          <w:rFonts w:ascii="Arial" w:hAnsi="Arial"/>
          <w:b w:val="false"/>
          <w:sz w:val="20"/>
        </w:rPr>
      </w:pPr>
      <w:r>
        <w:rPr>
          <w:rFonts w:ascii="Arial" w:hAnsi="Arial"/>
          <w:b w:val="false"/>
          <w:sz w:val="20"/>
        </w:rPr>
        <w:t>The results of WPM have been included in the consolidated financial statements since the date of the acquisition. The Company has not disclosed unaudited pro forma financial information that shows the results of the Company’s operations for the three months ended March 31, 2021 as if the acquisition had occurred on January 1, 2020 as the historical results of WPM are not material to the Company’s condensed consolidated financial statements.</w:t>
      </w:r>
    </w:p>
    <w:p>
      <w:pPr>
        <w:pStyle w:val="TextBody"/>
        <w:spacing w:lineRule="auto" w:line="273" w:before="360" w:after="0"/>
        <w:jc w:val="left"/>
        <w:rPr>
          <w:rFonts w:ascii="Arial" w:hAnsi="Arial"/>
          <w:b/>
          <w:sz w:val="20"/>
        </w:rPr>
      </w:pPr>
      <w:r>
        <w:rPr>
          <w:rFonts w:ascii="Arial" w:hAnsi="Arial"/>
          <w:b/>
          <w:sz w:val="20"/>
        </w:rPr>
        <w:t>9.</w:t>
      </w:r>
    </w:p>
    <w:p>
      <w:pPr>
        <w:pStyle w:val="TextBody"/>
        <w:spacing w:lineRule="auto" w:line="273" w:before="360" w:after="283"/>
        <w:jc w:val="left"/>
        <w:rPr>
          <w:rFonts w:ascii="Arial" w:hAnsi="Arial"/>
          <w:b/>
          <w:sz w:val="20"/>
        </w:rPr>
      </w:pPr>
      <w:r>
        <w:rPr>
          <w:rFonts w:ascii="Arial" w:hAnsi="Arial"/>
          <w:b/>
          <w:sz w:val="20"/>
        </w:rPr>
        <w:t xml:space="preserve">Goodwill and Acquired Intangible Assets </w:t>
      </w:r>
    </w:p>
    <w:p>
      <w:pPr>
        <w:pStyle w:val="TextBody"/>
        <w:spacing w:lineRule="auto" w:line="273" w:before="200" w:after="200"/>
        <w:jc w:val="left"/>
        <w:rPr>
          <w:rFonts w:ascii="Arial" w:hAnsi="Arial"/>
          <w:b/>
          <w:i/>
          <w:sz w:val="20"/>
        </w:rPr>
      </w:pPr>
      <w:r>
        <w:rPr>
          <w:rFonts w:ascii="Arial" w:hAnsi="Arial"/>
          <w:b/>
          <w:i/>
          <w:sz w:val="20"/>
        </w:rPr>
        <w:t>Goodwill</w:t>
      </w:r>
    </w:p>
    <w:p>
      <w:pPr>
        <w:pStyle w:val="TextBody"/>
        <w:spacing w:lineRule="auto" w:line="273" w:before="200" w:after="200"/>
        <w:jc w:val="left"/>
        <w:rPr>
          <w:rFonts w:ascii="Times New Roman" w:hAnsi="Times New Roman"/>
          <w:sz w:val="20"/>
        </w:rPr>
      </w:pPr>
      <w:r>
        <w:rPr>
          <w:rFonts w:ascii="Arial" w:hAnsi="Arial"/>
          <w:b w:val="false"/>
          <w:sz w:val="20"/>
        </w:rPr>
        <w:t>The following table summarizes the changes in the carrying amount of goodwill for the three months ended March 31, 2022 and 2021 (in thousands):</w:t>
      </w:r>
      <w:r>
        <w:rPr>
          <w:rFonts w:ascii="Times New Roman" w:hAnsi="Times New Roman"/>
          <w:sz w:val="20"/>
        </w:rPr>
        <w:t xml:space="preserve"> </w:t>
      </w:r>
    </w:p>
    <w:tbl>
      <w:tblPr>
        <w:tblW w:w="6463" w:type="dxa"/>
        <w:jc w:val="left"/>
        <w:tblInd w:w="0" w:type="dxa"/>
        <w:tblCellMar>
          <w:top w:w="28" w:type="dxa"/>
          <w:left w:w="28" w:type="dxa"/>
          <w:bottom w:w="28" w:type="dxa"/>
          <w:right w:w="28" w:type="dxa"/>
        </w:tblCellMar>
      </w:tblPr>
      <w:tblGrid>
        <w:gridCol w:w="3556"/>
        <w:gridCol w:w="146"/>
        <w:gridCol w:w="254"/>
        <w:gridCol w:w="833"/>
        <w:gridCol w:w="200"/>
        <w:gridCol w:w="176"/>
        <w:gridCol w:w="254"/>
        <w:gridCol w:w="833"/>
        <w:gridCol w:w="211"/>
      </w:tblGrid>
      <w:tr>
        <w:trPr/>
        <w:tc>
          <w:tcPr>
            <w:tcW w:w="35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5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5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108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Beginning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85,841</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44,650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Goodwill related to acquisitions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pPr>
            <w:r>
              <w:rPr/>
              <w:t>—</w:t>
            </w:r>
          </w:p>
        </w:tc>
        <w:tc>
          <w:tcPr>
            <w:tcW w:w="200" w:type="dxa"/>
            <w:tcBorders/>
            <w:shd w:fill="auto" w:val="clear"/>
            <w:vAlign w:val="center"/>
          </w:tcPr>
          <w:p>
            <w:pPr>
              <w:pStyle w:val="TableContents"/>
              <w:spacing w:lineRule="auto" w:line="252" w:before="0" w:after="0"/>
              <w:ind w:left="0" w:right="0" w:hanging="0"/>
              <w:jc w:val="left"/>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shd w:fill="auto" w:val="clear"/>
            <w:vAlign w:val="center"/>
          </w:tcPr>
          <w:p>
            <w:pPr>
              <w:pStyle w:val="TableContents"/>
              <w:spacing w:lineRule="auto" w:line="252" w:before="0" w:after="0"/>
              <w:ind w:left="0" w:right="0" w:hanging="0"/>
              <w:jc w:val="left"/>
              <w:rPr/>
            </w:pPr>
            <w:r>
              <w:rPr/>
              <w:t> </w:t>
            </w:r>
          </w:p>
        </w:tc>
        <w:tc>
          <w:tcPr>
            <w:tcW w:w="833"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Foreign currency translation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(1,175</w:t>
            </w:r>
          </w:p>
        </w:tc>
        <w:tc>
          <w:tcPr>
            <w:tcW w:w="20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5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Ending balance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84,666</w:t>
            </w:r>
          </w:p>
        </w:tc>
        <w:tc>
          <w:tcPr>
            <w:tcW w:w="20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76" w:type="dxa"/>
            <w:tcBorders/>
            <w:shd w:fill="auto" w:val="clear"/>
            <w:vAlign w:val="center"/>
          </w:tcPr>
          <w:p>
            <w:pPr>
              <w:pStyle w:val="TableContents"/>
              <w:spacing w:lineRule="auto" w:line="252" w:before="0" w:after="0"/>
              <w:ind w:left="0" w:right="0" w:hanging="0"/>
              <w:jc w:val="left"/>
              <w:rPr/>
            </w:pPr>
            <w:r>
              <w:rPr/>
              <w:t> </w:t>
            </w:r>
          </w:p>
        </w:tc>
        <w:tc>
          <w:tcPr>
            <w:tcW w:w="25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44,618</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No</w:t>
      </w:r>
      <w:r>
        <w:rPr>
          <w:rFonts w:ascii="Times New Roman" w:hAnsi="Times New Roman"/>
          <w:sz w:val="20"/>
        </w:rPr>
        <w:t xml:space="preserve"> </w:t>
      </w:r>
      <w:r>
        <w:rPr>
          <w:rFonts w:ascii="Arial" w:hAnsi="Arial"/>
          <w:b w:val="false"/>
          <w:sz w:val="20"/>
        </w:rPr>
        <w:t>goodwill impairment was recorded during the three months ended March 31, 2022 and 2021.</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Acquired Intangible Assets</w:t>
      </w:r>
    </w:p>
    <w:p>
      <w:pPr>
        <w:pStyle w:val="TextBody"/>
        <w:spacing w:lineRule="auto" w:line="273" w:before="200" w:after="200"/>
        <w:jc w:val="left"/>
        <w:rPr>
          <w:rFonts w:ascii="Times New Roman" w:hAnsi="Times New Roman"/>
          <w:sz w:val="20"/>
        </w:rPr>
      </w:pPr>
      <w:r>
        <w:rPr>
          <w:rFonts w:ascii="Arial" w:hAnsi="Arial"/>
          <w:b w:val="false"/>
          <w:sz w:val="20"/>
        </w:rPr>
        <w:t>Acquired intangible assets subject to amortization consisted of the following (in thousands):</w:t>
      </w:r>
      <w:r>
        <w:rPr>
          <w:rFonts w:ascii="Times New Roman" w:hAnsi="Times New Roman"/>
          <w:sz w:val="20"/>
        </w:rPr>
        <w:t xml:space="preserve"> </w:t>
      </w:r>
    </w:p>
    <w:tbl>
      <w:tblPr>
        <w:tblW w:w="8405" w:type="dxa"/>
        <w:jc w:val="left"/>
        <w:tblInd w:w="0" w:type="dxa"/>
        <w:tblCellMar>
          <w:top w:w="28" w:type="dxa"/>
          <w:left w:w="28" w:type="dxa"/>
          <w:bottom w:w="28" w:type="dxa"/>
          <w:right w:w="28" w:type="dxa"/>
        </w:tblCellMar>
      </w:tblPr>
      <w:tblGrid>
        <w:gridCol w:w="2311"/>
        <w:gridCol w:w="146"/>
        <w:gridCol w:w="273"/>
        <w:gridCol w:w="1032"/>
        <w:gridCol w:w="146"/>
        <w:gridCol w:w="146"/>
        <w:gridCol w:w="253"/>
        <w:gridCol w:w="903"/>
        <w:gridCol w:w="166"/>
        <w:gridCol w:w="146"/>
        <w:gridCol w:w="256"/>
        <w:gridCol w:w="839"/>
        <w:gridCol w:w="146"/>
        <w:gridCol w:w="146"/>
        <w:gridCol w:w="259"/>
        <w:gridCol w:w="1046"/>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Gross 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Net 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Weighted</w:t>
              <w:br/>
              <w:t>Average</w:t>
              <w:br/>
              <w:t>Remaining Life</w:t>
              <w:br/>
              <w:t>(Years)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Developed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26,591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(11,774</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14,817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4.78</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Customer Relationships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10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81,958</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9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(6,312</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pPr>
            <w:r>
              <w:rPr/>
              <w:t> </w:t>
            </w:r>
          </w:p>
        </w:tc>
        <w:tc>
          <w:tcPr>
            <w:tcW w:w="8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75,646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11.51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Trade Name/Trademark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10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9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pPr>
            <w:r>
              <w:rPr/>
              <w:t> </w:t>
            </w:r>
          </w:p>
        </w:tc>
        <w:tc>
          <w:tcPr>
            <w:tcW w:w="83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Non-Compete Agreement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(390</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0.87</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109,529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(18,987</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90,542</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pBdr>
          <w:bottom w:val="single" w:sz="6" w:space="1" w:color="000000"/>
        </w:pBdr>
        <w:spacing w:lineRule="auto" w:line="273" w:before="0" w:after="0"/>
        <w:jc w:val="left"/>
        <w:rPr/>
      </w:pPr>
      <w:r>
        <w:rPr/>
        <w:t> </w:t>
      </w:r>
    </w:p>
    <w:p>
      <w:pPr>
        <w:pStyle w:val="TextBody"/>
        <w:spacing w:lineRule="auto" w:line="273" w:before="40" w:after="200"/>
        <w:jc w:val="left"/>
        <w:rPr>
          <w:rFonts w:ascii="Times New Roman" w:hAnsi="Times New Roman"/>
          <w:sz w:val="20"/>
        </w:rPr>
      </w:pPr>
      <w:r>
        <w:rPr>
          <w:rFonts w:ascii="Arial" w:hAnsi="Arial"/>
          <w:b w:val="false"/>
          <w:sz w:val="16"/>
        </w:rPr>
        <w:t>* Includes $0.9</w:t>
      </w:r>
      <w:r>
        <w:rPr>
          <w:rFonts w:ascii="Times New Roman" w:hAnsi="Times New Roman"/>
          <w:sz w:val="20"/>
        </w:rPr>
        <w:t xml:space="preserve"> </w:t>
      </w:r>
      <w:r>
        <w:rPr>
          <w:rFonts w:ascii="Arial" w:hAnsi="Arial"/>
          <w:b w:val="false"/>
          <w:sz w:val="16"/>
        </w:rPr>
        <w:t>million of foreign currency translation adjustments</w:t>
      </w:r>
      <w:r>
        <w:rPr>
          <w:rFonts w:ascii="Times New Roman" w:hAnsi="Times New Roman"/>
          <w:sz w:val="20"/>
        </w:rPr>
        <w:t xml:space="preserve"> </w:t>
      </w:r>
    </w:p>
    <w:tbl>
      <w:tblPr>
        <w:tblW w:w="8405" w:type="dxa"/>
        <w:jc w:val="left"/>
        <w:tblInd w:w="0" w:type="dxa"/>
        <w:tblCellMar>
          <w:top w:w="28" w:type="dxa"/>
          <w:left w:w="28" w:type="dxa"/>
          <w:bottom w:w="28" w:type="dxa"/>
          <w:right w:w="28" w:type="dxa"/>
        </w:tblCellMar>
      </w:tblPr>
      <w:tblGrid>
        <w:gridCol w:w="2311"/>
        <w:gridCol w:w="146"/>
        <w:gridCol w:w="273"/>
        <w:gridCol w:w="1032"/>
        <w:gridCol w:w="146"/>
        <w:gridCol w:w="146"/>
        <w:gridCol w:w="253"/>
        <w:gridCol w:w="903"/>
        <w:gridCol w:w="166"/>
        <w:gridCol w:w="146"/>
        <w:gridCol w:w="256"/>
        <w:gridCol w:w="839"/>
        <w:gridCol w:w="146"/>
        <w:gridCol w:w="146"/>
        <w:gridCol w:w="259"/>
        <w:gridCol w:w="1046"/>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160" w:type="dxa"/>
            <w:gridSpan w:val="10"/>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center"/>
              <w:rPr/>
            </w:pPr>
            <w:r>
              <w:rPr/>
              <w:t> </w:t>
            </w:r>
          </w:p>
        </w:tc>
        <w:tc>
          <w:tcPr>
            <w:tcW w:w="191" w:type="dxa"/>
            <w:tcBorders/>
            <w:shd w:fill="auto" w:val="cle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Gross Carrying</w:t>
              <w:b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Accumulated</w:t>
              <w:br/>
              <w:t>Amortization</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Net Carrying</w:t>
              <w:b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Weighted</w:t>
              <w:br/>
              <w:t>Average</w:t>
              <w:br/>
              <w:t>Remaining Life</w:t>
              <w:br/>
              <w:t>(Years)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Developed Technology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26,600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(10,635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15,965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Customer Relationships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10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82,887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9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(5,356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pPr>
            <w:r>
              <w:rPr/>
              <w:t> </w:t>
            </w:r>
          </w:p>
        </w:tc>
        <w:tc>
          <w:tcPr>
            <w:tcW w:w="839"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77,531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11.89</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Trade Name/Trademark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shd w:fill="auto" w:val="clear"/>
            <w:vAlign w:val="center"/>
          </w:tcPr>
          <w:p>
            <w:pPr>
              <w:pStyle w:val="TableContents"/>
              <w:spacing w:lineRule="auto" w:line="252" w:before="0" w:after="0"/>
              <w:ind w:left="0" w:right="0" w:hanging="0"/>
              <w:jc w:val="left"/>
              <w:rPr/>
            </w:pPr>
            <w:r>
              <w:rPr/>
              <w:t> </w:t>
            </w:r>
          </w:p>
        </w:tc>
        <w:tc>
          <w:tcPr>
            <w:tcW w:w="10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shd w:fill="auto" w:val="clear"/>
            <w:vAlign w:val="center"/>
          </w:tcPr>
          <w:p>
            <w:pPr>
              <w:pStyle w:val="TableContents"/>
              <w:spacing w:lineRule="auto" w:line="252" w:before="0" w:after="0"/>
              <w:ind w:left="0" w:right="0" w:hanging="0"/>
              <w:jc w:val="left"/>
              <w:rPr/>
            </w:pPr>
            <w:r>
              <w:rPr/>
              <w:t> </w:t>
            </w:r>
          </w:p>
        </w:tc>
        <w:tc>
          <w:tcPr>
            <w:tcW w:w="9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shd w:fill="auto" w:val="clear"/>
            <w:vAlign w:val="center"/>
          </w:tcPr>
          <w:p>
            <w:pPr>
              <w:pStyle w:val="TableContents"/>
              <w:spacing w:lineRule="auto" w:line="252" w:before="0" w:after="0"/>
              <w:ind w:left="0" w:right="0" w:hanging="0"/>
              <w:jc w:val="left"/>
              <w:rPr/>
            </w:pPr>
            <w:r>
              <w:rPr/>
              <w:t> </w:t>
            </w:r>
          </w:p>
        </w:tc>
        <w:tc>
          <w:tcPr>
            <w:tcW w:w="839"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pPr>
            <w:r>
              <w:rPr/>
              <w:t>—</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Non-Compete Agreement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9" w:type="dxa"/>
            <w:tcBorders/>
            <w:shd w:fill="auto" w:val="clear"/>
            <w:vAlign w:val="center"/>
          </w:tcPr>
          <w:p>
            <w:pPr>
              <w:pStyle w:val="TableContents"/>
              <w:spacing w:lineRule="auto" w:line="252" w:before="0" w:after="0"/>
              <w:ind w:left="0" w:right="0" w:hanging="0"/>
              <w:jc w:val="left"/>
              <w:rPr/>
            </w:pPr>
            <w:r>
              <w:rPr/>
              <w:t> </w:t>
            </w:r>
          </w:p>
        </w:tc>
        <w:tc>
          <w:tcPr>
            <w:tcW w:w="10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31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110,467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(16,869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93,598</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05" w:type="dxa"/>
            <w:gridSpan w:val="2"/>
            <w:tcBorders/>
            <w:shd w:fill="auto" w:val="clear"/>
            <w:vAlign w:val="center"/>
          </w:tcPr>
          <w:p>
            <w:pPr>
              <w:pStyle w:val="TableContents"/>
              <w:spacing w:lineRule="auto" w:line="252" w:before="0" w:after="0"/>
              <w:ind w:left="0" w:right="0" w:hanging="0"/>
              <w:jc w:val="right"/>
              <w:rPr/>
            </w:pPr>
            <w:r>
              <w:rPr/>
              <w:t> </w:t>
            </w:r>
          </w:p>
        </w:tc>
        <w:tc>
          <w:tcPr>
            <w:tcW w:w="191" w:type="dxa"/>
            <w:tcBorders/>
            <w:shd w:fill="auto" w:val="clear"/>
            <w:vAlign w:val="center"/>
          </w:tcPr>
          <w:p>
            <w:pPr>
              <w:pStyle w:val="TableContents"/>
              <w:spacing w:lineRule="auto" w:line="252" w:before="0" w:after="0"/>
              <w:ind w:left="0" w:right="0" w:hanging="0"/>
              <w:jc w:val="righ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17</w:t>
      </w:r>
    </w:p>
    <w:p>
      <w:pPr>
        <w:pStyle w:val="HorizontalLine"/>
        <w:rPr/>
      </w:pPr>
      <w:r>
        <w:rPr/>
      </w:r>
    </w:p>
    <w:p>
      <w:pPr>
        <w:pStyle w:val="TextBody"/>
        <w:spacing w:lineRule="auto" w:line="273" w:before="0" w:after="0"/>
        <w:jc w:val="left"/>
        <w:rPr/>
      </w:pPr>
      <w:r>
        <w:rPr/>
        <w:t> </w:t>
      </w:r>
    </w:p>
    <w:p>
      <w:pPr>
        <w:pStyle w:val="TextBody"/>
        <w:pBdr>
          <w:bottom w:val="single" w:sz="6" w:space="1" w:color="000000"/>
        </w:pBdr>
        <w:spacing w:lineRule="auto" w:line="273" w:before="0" w:after="0"/>
        <w:jc w:val="left"/>
        <w:rPr/>
      </w:pPr>
      <w:r>
        <w:rPr/>
        <w:t> </w:t>
      </w:r>
    </w:p>
    <w:p>
      <w:pPr>
        <w:pStyle w:val="TextBody"/>
        <w:spacing w:lineRule="auto" w:line="273" w:before="40" w:after="0"/>
        <w:jc w:val="left"/>
        <w:rPr>
          <w:rFonts w:ascii="Times New Roman" w:hAnsi="Times New Roman"/>
          <w:sz w:val="20"/>
        </w:rPr>
      </w:pPr>
      <w:r>
        <w:rPr>
          <w:rFonts w:ascii="Arial" w:hAnsi="Arial"/>
          <w:b w:val="false"/>
          <w:sz w:val="16"/>
        </w:rPr>
        <w:t>* Includes $0.6</w:t>
      </w:r>
      <w:r>
        <w:rPr>
          <w:rFonts w:ascii="Times New Roman" w:hAnsi="Times New Roman"/>
          <w:sz w:val="20"/>
        </w:rPr>
        <w:t xml:space="preserve"> </w:t>
      </w:r>
      <w:r>
        <w:rPr>
          <w:rFonts w:ascii="Arial" w:hAnsi="Arial"/>
          <w:b w:val="false"/>
          <w:sz w:val="16"/>
        </w:rPr>
        <w:t>million of foreign currency translation adjustments and $0.1</w:t>
      </w:r>
      <w:r>
        <w:rPr>
          <w:rFonts w:ascii="Times New Roman" w:hAnsi="Times New Roman"/>
          <w:sz w:val="20"/>
        </w:rPr>
        <w:t xml:space="preserve"> </w:t>
      </w:r>
      <w:r>
        <w:rPr>
          <w:rFonts w:ascii="Arial" w:hAnsi="Arial"/>
          <w:b w:val="false"/>
          <w:sz w:val="16"/>
        </w:rPr>
        <w:t>million in acquired developed technology assets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Amortization expense for the three months ended March 31, 2022 and 2021 was $2.1</w:t>
      </w:r>
      <w:r>
        <w:rPr>
          <w:rFonts w:ascii="Times New Roman" w:hAnsi="Times New Roman"/>
          <w:sz w:val="20"/>
        </w:rPr>
        <w:t xml:space="preserve"> </w:t>
      </w:r>
      <w:r>
        <w:rPr>
          <w:rFonts w:ascii="Arial" w:hAnsi="Arial"/>
          <w:b w:val="false"/>
          <w:sz w:val="20"/>
        </w:rPr>
        <w:t>million and $1.6</w:t>
      </w:r>
      <w:r>
        <w:rPr>
          <w:rFonts w:ascii="Times New Roman" w:hAnsi="Times New Roman"/>
          <w:sz w:val="20"/>
        </w:rPr>
        <w:t xml:space="preserve"> </w:t>
      </w:r>
      <w:r>
        <w:rPr>
          <w:rFonts w:ascii="Arial" w:hAnsi="Arial"/>
          <w:b w:val="false"/>
          <w:sz w:val="20"/>
        </w:rPr>
        <w:t>million, respectively.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of March 31, 2022, the estimated annual amortization expense of intangible assets for each of the next five years and thereafter is expected to be as follows (in thousands):</w:t>
      </w:r>
      <w:r>
        <w:rPr>
          <w:rFonts w:ascii="Times New Roman" w:hAnsi="Times New Roman"/>
          <w:sz w:val="20"/>
        </w:rPr>
        <w:t xml:space="preserve"> </w:t>
      </w:r>
    </w:p>
    <w:tbl>
      <w:tblPr>
        <w:tblW w:w="4179" w:type="dxa"/>
        <w:jc w:val="left"/>
        <w:tblInd w:w="0" w:type="dxa"/>
        <w:tblCellMar>
          <w:top w:w="28" w:type="dxa"/>
          <w:left w:w="28" w:type="dxa"/>
          <w:bottom w:w="28" w:type="dxa"/>
          <w:right w:w="28" w:type="dxa"/>
        </w:tblCellMar>
      </w:tblPr>
      <w:tblGrid>
        <w:gridCol w:w="2701"/>
        <w:gridCol w:w="146"/>
        <w:gridCol w:w="266"/>
        <w:gridCol w:w="875"/>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14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Estimated</w:t>
              <w:br/>
              <w:t>Amortization</w:t>
              <w:br/>
              <w:t>Expense</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7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Remaining of fiscal year 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6,481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pPr>
            <w:r>
              <w:rPr/>
              <w:t> </w:t>
            </w:r>
            <w:r>
              <w:rPr>
                <w:rFonts w:ascii="Arial" w:hAnsi="Arial"/>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87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9,421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pPr>
            <w:r>
              <w:rPr/>
              <w:t> </w:t>
            </w:r>
            <w:r>
              <w:rPr>
                <w:rFonts w:ascii="Arial" w:hAnsi="Arial"/>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87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pPr>
            <w:r>
              <w:rPr/>
              <w:t> </w:t>
            </w:r>
            <w:r>
              <w:rPr>
                <w:rFonts w:ascii="Arial" w:hAnsi="Arial"/>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87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9,196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pPr>
            <w:r>
              <w:rPr/>
              <w:t> </w:t>
            </w:r>
            <w:r>
              <w:rPr>
                <w:rFonts w:ascii="Arial" w:hAnsi="Arial"/>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87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7,386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pPr>
            <w:r>
              <w:rPr/>
              <w:t> </w:t>
            </w:r>
            <w:r>
              <w:rPr>
                <w:rFonts w:ascii="Arial" w:hAnsi="Arial"/>
                <w:b w:val="false"/>
                <w:sz w:val="20"/>
              </w:rPr>
              <w:t>2027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shd w:fill="auto" w:val="clear"/>
            <w:vAlign w:val="center"/>
          </w:tcPr>
          <w:p>
            <w:pPr>
              <w:pStyle w:val="TableContents"/>
              <w:spacing w:lineRule="auto" w:line="252" w:before="0" w:after="0"/>
              <w:ind w:left="0" w:right="0" w:hanging="0"/>
              <w:jc w:val="left"/>
              <w:rPr/>
            </w:pPr>
            <w:r>
              <w:rPr/>
              <w:t> </w:t>
            </w:r>
          </w:p>
        </w:tc>
        <w:tc>
          <w:tcPr>
            <w:tcW w:w="87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7,233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41,225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270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90,542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10.</w:t>
      </w:r>
    </w:p>
    <w:p>
      <w:pPr>
        <w:pStyle w:val="TextBody"/>
        <w:spacing w:lineRule="auto" w:line="273" w:before="360" w:after="283"/>
        <w:jc w:val="left"/>
        <w:rPr>
          <w:rFonts w:ascii="Arial" w:hAnsi="Arial"/>
          <w:b/>
          <w:sz w:val="20"/>
        </w:rPr>
      </w:pPr>
      <w:r>
        <w:rPr>
          <w:rFonts w:ascii="Arial" w:hAnsi="Arial"/>
          <w:b/>
          <w:sz w:val="20"/>
        </w:rPr>
        <w:t xml:space="preserve">Debt </w:t>
      </w:r>
    </w:p>
    <w:p>
      <w:pPr>
        <w:pStyle w:val="TextBody"/>
        <w:spacing w:lineRule="auto" w:line="273" w:before="200" w:after="200"/>
        <w:jc w:val="left"/>
        <w:rPr>
          <w:rFonts w:ascii="Arial" w:hAnsi="Arial"/>
          <w:b/>
          <w:i/>
          <w:sz w:val="20"/>
        </w:rPr>
      </w:pPr>
      <w:r>
        <w:rPr>
          <w:rFonts w:ascii="Arial" w:hAnsi="Arial"/>
          <w:b/>
          <w:i/>
          <w:sz w:val="20"/>
        </w:rPr>
        <w:t>Revolving Credit Syndication Loan</w:t>
      </w:r>
    </w:p>
    <w:p>
      <w:pPr>
        <w:pStyle w:val="TextBody"/>
        <w:spacing w:lineRule="auto" w:line="273" w:before="200" w:after="200"/>
        <w:jc w:val="left"/>
        <w:rPr>
          <w:rFonts w:ascii="Times New Roman" w:hAnsi="Times New Roman"/>
          <w:sz w:val="20"/>
        </w:rPr>
      </w:pPr>
      <w:r>
        <w:rPr>
          <w:rFonts w:ascii="Arial" w:hAnsi="Arial"/>
          <w:b w:val="false"/>
          <w:sz w:val="20"/>
        </w:rPr>
        <w:t>On July 29, 2021, the Company entered into a three-year senior secured revolving credit syndication loan (the Revolving Credit Facility) with three banks for a total commitment of $50.0</w:t>
      </w:r>
      <w:r>
        <w:rPr>
          <w:rFonts w:ascii="Times New Roman" w:hAnsi="Times New Roman"/>
          <w:sz w:val="20"/>
        </w:rPr>
        <w:t xml:space="preserve"> </w:t>
      </w:r>
      <w:r>
        <w:rPr>
          <w:rFonts w:ascii="Arial" w:hAnsi="Arial"/>
          <w:b w:val="false"/>
          <w:sz w:val="20"/>
        </w:rPr>
        <w:t>million. The Revolving Credit Facility includes a $5.0</w:t>
      </w:r>
      <w:r>
        <w:rPr>
          <w:rFonts w:ascii="Times New Roman" w:hAnsi="Times New Roman"/>
          <w:sz w:val="20"/>
        </w:rPr>
        <w:t xml:space="preserve"> </w:t>
      </w:r>
      <w:r>
        <w:rPr>
          <w:rFonts w:ascii="Arial" w:hAnsi="Arial"/>
          <w:b w:val="false"/>
          <w:sz w:val="20"/>
        </w:rPr>
        <w:t>million letter of credit sub-facility and a $5.0</w:t>
      </w:r>
      <w:r>
        <w:rPr>
          <w:rFonts w:ascii="Times New Roman" w:hAnsi="Times New Roman"/>
          <w:sz w:val="20"/>
        </w:rPr>
        <w:t xml:space="preserve"> </w:t>
      </w:r>
      <w:r>
        <w:rPr>
          <w:rFonts w:ascii="Arial" w:hAnsi="Arial"/>
          <w:b w:val="false"/>
          <w:sz w:val="20"/>
        </w:rPr>
        <w:t>million swingline sub-facility, with available borrowings under the Revolving Credit Facility reduced by the amount of any letters of credit and swingline borrowings outstanding from time to time. The Revolving Credit Facility is guaranteed by Flywire’s material domestic subsidiaries. One of the lenders in the syndicate was the existing debt holder under the Loan and Security Agreement (the LSA) entered into in 2018 and amended in 2020.</w:t>
      </w:r>
    </w:p>
    <w:p>
      <w:pPr>
        <w:pStyle w:val="TextBody"/>
        <w:spacing w:lineRule="auto" w:line="273" w:before="200" w:after="200"/>
        <w:jc w:val="left"/>
        <w:rPr>
          <w:rFonts w:ascii="Arial" w:hAnsi="Arial"/>
          <w:b w:val="false"/>
          <w:sz w:val="20"/>
        </w:rPr>
      </w:pPr>
      <w:r>
        <w:rPr>
          <w:rFonts w:ascii="Arial" w:hAnsi="Arial"/>
          <w:b w:val="false"/>
          <w:sz w:val="20"/>
        </w:rPr>
        <w:t>The Revolving Credit Facility consists of Alternate Base Rate (ABR) loans or Eurodollar Borrowings, at the Company’s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the Company’s liquidity as of the most recent consolidated financial information and ranges from 0.75% to 2.25%. The Revolving Credit Facility incurs a commitment fee ranging from 0.25% to 0.35% based upon the Company’s liquidity as of the most recent consolidated financial information assessed on the average undrawn portion of the available commitment.</w:t>
      </w:r>
    </w:p>
    <w:p>
      <w:pPr>
        <w:pStyle w:val="TextBody"/>
        <w:spacing w:lineRule="auto" w:line="273" w:before="200" w:after="200"/>
        <w:jc w:val="left"/>
        <w:rPr>
          <w:rFonts w:ascii="Arial" w:hAnsi="Arial"/>
          <w:b w:val="false"/>
          <w:sz w:val="20"/>
        </w:rPr>
      </w:pPr>
      <w:r>
        <w:rPr>
          <w:rFonts w:ascii="Arial" w:hAnsi="Arial"/>
          <w:b w:val="false"/>
          <w:sz w:val="20"/>
        </w:rPr>
        <w:t>The Revolving Credit Facility contains customary affirmative and negative covenants and restrictions typical for a financing of this type that, among other things, require the Company to satisfy certain financial covenants and restrict the Company’s ability to incur additional debt, pay dividends and make distributions, make certain investments and acquisitions, repurchase its stock and prepay certain indebtedness, create liens, enter into agreements with affiliates, modify the nature of its business, enter into sale-leaseback transactions, transfer and sell material assets and merge or consolidate. Non-compliance with one or more of the covenants and restrictions could result in the full or partial principal balance of the Revolving Credit Facility becoming immediately due and payable and termination of the commitments. The Company was in compliance with all covenants associated with the Revolving Credit Facility as of March 31, 2022.</w:t>
      </w:r>
    </w:p>
    <w:p>
      <w:pPr>
        <w:pStyle w:val="TextBody"/>
        <w:spacing w:lineRule="auto" w:line="273" w:before="200" w:after="200"/>
        <w:jc w:val="left"/>
        <w:rPr>
          <w:rFonts w:ascii="Times New Roman" w:hAnsi="Times New Roman"/>
          <w:sz w:val="20"/>
        </w:rPr>
      </w:pPr>
      <w:r>
        <w:rPr>
          <w:rFonts w:ascii="Arial" w:hAnsi="Arial"/>
          <w:b w:val="false"/>
          <w:sz w:val="20"/>
        </w:rPr>
        <w:t>On July 29, 2021, the Company drew $25.9</w:t>
      </w:r>
      <w:r>
        <w:rPr>
          <w:rFonts w:ascii="Times New Roman" w:hAnsi="Times New Roman"/>
          <w:sz w:val="20"/>
        </w:rPr>
        <w:t xml:space="preserve"> </w:t>
      </w:r>
      <w:r>
        <w:rPr>
          <w:rFonts w:ascii="Arial" w:hAnsi="Arial"/>
          <w:b w:val="false"/>
          <w:sz w:val="20"/>
        </w:rPr>
        <w:t>million on the Revolving Credit Facility and used the proceeds to early prepay the LSA $25.0</w:t>
      </w:r>
      <w:r>
        <w:rPr>
          <w:rFonts w:ascii="Times New Roman" w:hAnsi="Times New Roman"/>
          <w:sz w:val="20"/>
        </w:rPr>
        <w:t xml:space="preserve"> </w:t>
      </w:r>
      <w:r>
        <w:rPr>
          <w:rFonts w:ascii="Arial" w:hAnsi="Arial"/>
          <w:b w:val="false"/>
          <w:sz w:val="20"/>
        </w:rPr>
        <w:t>million term loan. In connection with the transaction, the Company incurred $0.4</w:t>
      </w:r>
      <w:r>
        <w:rPr>
          <w:rFonts w:ascii="Times New Roman" w:hAnsi="Times New Roman"/>
          <w:sz w:val="20"/>
        </w:rPr>
        <w:t xml:space="preserve"> </w:t>
      </w:r>
      <w:r>
        <w:rPr>
          <w:rFonts w:ascii="Arial" w:hAnsi="Arial"/>
          <w:b w:val="false"/>
          <w:sz w:val="20"/>
        </w:rPr>
        <w:t>million in prepayment costs and $0.3</w:t>
      </w:r>
      <w:r>
        <w:rPr>
          <w:rFonts w:ascii="Times New Roman" w:hAnsi="Times New Roman"/>
          <w:sz w:val="20"/>
        </w:rPr>
        <w:t xml:space="preserve"> </w:t>
      </w:r>
      <w:r>
        <w:rPr>
          <w:rFonts w:ascii="Arial" w:hAnsi="Arial"/>
          <w:b w:val="false"/>
          <w:sz w:val="20"/>
        </w:rPr>
        <w:t>million in debt issuance costs. Debt issuance costs related to new lenders in the syndication are amortized on a straight-line basis over the term of the Revolving Credit Facility. Debt issuance costs related to the existing lender in the syndication were expensed. The exchange of the LSA term loan with the Revolving Credit Facility from the same lender was accounted for as a modification. Prior to the closing of the Revolving Credit Facility, debt issuance costs and debt discounts were amortized to interest expense using the effective interest method over the repayment term of the debt and were presented as an offset to the outstanding debt balance on the consolidated balance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sheets. Upon the closing of the Revolving Credit Facility, debt issuance costs and debt discount are amortized on a straight-line basis over the contractual term of the agreement and are presented as a component of other assets on the Company's consolidated balance sheets.</w:t>
      </w:r>
    </w:p>
    <w:p>
      <w:pPr>
        <w:pStyle w:val="TextBody"/>
        <w:spacing w:lineRule="auto" w:line="273" w:before="200" w:after="200"/>
        <w:jc w:val="left"/>
        <w:rPr>
          <w:rFonts w:ascii="Times New Roman" w:hAnsi="Times New Roman"/>
          <w:sz w:val="20"/>
        </w:rPr>
      </w:pPr>
      <w:r>
        <w:rPr>
          <w:rFonts w:ascii="Arial" w:hAnsi="Arial"/>
          <w:b w:val="false"/>
          <w:sz w:val="20"/>
        </w:rPr>
        <w:t>As of March 31, 2022 and December 31, 2021, the Company had $25.9</w:t>
      </w:r>
      <w:r>
        <w:rPr>
          <w:rFonts w:ascii="Times New Roman" w:hAnsi="Times New Roman"/>
          <w:sz w:val="20"/>
        </w:rPr>
        <w:t xml:space="preserve"> </w:t>
      </w:r>
      <w:r>
        <w:rPr>
          <w:rFonts w:ascii="Arial" w:hAnsi="Arial"/>
          <w:b w:val="false"/>
          <w:sz w:val="20"/>
        </w:rPr>
        <w:t>million outstanding under the Revolving Credit Facility.</w:t>
      </w:r>
    </w:p>
    <w:p>
      <w:pPr>
        <w:pStyle w:val="TextBody"/>
        <w:spacing w:lineRule="auto" w:line="273" w:before="200" w:after="200"/>
        <w:jc w:val="left"/>
        <w:rPr>
          <w:rFonts w:ascii="Times New Roman" w:hAnsi="Times New Roman"/>
          <w:sz w:val="20"/>
        </w:rPr>
      </w:pPr>
      <w:r>
        <w:rPr>
          <w:rFonts w:ascii="Arial" w:hAnsi="Arial"/>
          <w:b/>
          <w:i/>
          <w:sz w:val="20"/>
        </w:rPr>
        <w:t>Loan and Security Agreement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On January 16, 2018, the Company entered into the LSA with a financial institution for a $25.0</w:t>
      </w:r>
      <w:r>
        <w:rPr>
          <w:rFonts w:ascii="Times New Roman" w:hAnsi="Times New Roman"/>
          <w:sz w:val="20"/>
        </w:rPr>
        <w:t xml:space="preserve"> </w:t>
      </w:r>
      <w:r>
        <w:rPr>
          <w:rFonts w:ascii="Arial" w:hAnsi="Arial"/>
          <w:b w:val="false"/>
          <w:sz w:val="20"/>
        </w:rPr>
        <w:t>million loan with interest at a rate of 8.5% per annum.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w:t>
      </w:r>
      <w:r>
        <w:rPr>
          <w:rFonts w:ascii="Times New Roman" w:hAnsi="Times New Roman"/>
          <w:sz w:val="20"/>
        </w:rPr>
        <w:t xml:space="preserve"> </w:t>
      </w:r>
      <w:r>
        <w:rPr>
          <w:rFonts w:ascii="Arial" w:hAnsi="Arial"/>
          <w:b w:val="false"/>
          <w:sz w:val="20"/>
        </w:rPr>
        <w:t>million in connection with the issuance of the LSA, which were amortized to interest expense, using the effective interest method, over the term of the loan.</w:t>
      </w:r>
    </w:p>
    <w:p>
      <w:pPr>
        <w:pStyle w:val="TextBody"/>
        <w:spacing w:lineRule="auto" w:line="273" w:before="200" w:after="200"/>
        <w:jc w:val="left"/>
        <w:rPr>
          <w:rFonts w:ascii="Arial" w:hAnsi="Arial"/>
          <w:b w:val="false"/>
          <w:sz w:val="20"/>
        </w:rPr>
      </w:pPr>
      <w:r>
        <w:rPr>
          <w:rFonts w:ascii="Arial" w:hAnsi="Arial"/>
          <w:b w:val="false"/>
          <w:sz w:val="20"/>
        </w:rPr>
        <w:t>On April 25, 2020, the Company entered into a Joinder and First Amendment to the LSA for administrative matters.</w:t>
      </w:r>
    </w:p>
    <w:p>
      <w:pPr>
        <w:pStyle w:val="TextBody"/>
        <w:spacing w:lineRule="auto" w:line="273" w:before="200" w:after="200"/>
        <w:jc w:val="left"/>
        <w:rPr>
          <w:rFonts w:ascii="Times New Roman" w:hAnsi="Times New Roman"/>
          <w:sz w:val="20"/>
        </w:rPr>
      </w:pPr>
      <w:r>
        <w:rPr>
          <w:rFonts w:ascii="Arial" w:hAnsi="Arial"/>
          <w:b w:val="false"/>
          <w:sz w:val="20"/>
        </w:rPr>
        <w:t>On May 18, 2020, the Company entered into a Joinder and Second Amendment to the LSA to refinance the LSA. As part of the amendment, the financial institution re-advanced $4.2</w:t>
      </w:r>
      <w:r>
        <w:rPr>
          <w:rFonts w:ascii="Times New Roman" w:hAnsi="Times New Roman"/>
          <w:sz w:val="20"/>
        </w:rPr>
        <w:t xml:space="preserve"> </w:t>
      </w:r>
      <w:r>
        <w:rPr>
          <w:rFonts w:ascii="Arial" w:hAnsi="Arial"/>
          <w:b w:val="false"/>
          <w:sz w:val="20"/>
        </w:rPr>
        <w:t>million of principal paid on the loan through May 1, 2020. The final maturity date of the LSA was extended to May 2025. The new stated interest rate was at a floating per annum rate equal to the greater of (i) 5.25% above the prime rate; or (ii) 8.50%. The LSA was interest only until May 2023. Beginning on June 1, 2023, the Company would make 24 equal principal payments. The Company incurred $0.2</w:t>
      </w:r>
      <w:r>
        <w:rPr>
          <w:rFonts w:ascii="Times New Roman" w:hAnsi="Times New Roman"/>
          <w:sz w:val="20"/>
        </w:rPr>
        <w:t xml:space="preserve"> </w:t>
      </w:r>
      <w:r>
        <w:rPr>
          <w:rFonts w:ascii="Arial" w:hAnsi="Arial"/>
          <w:b w:val="false"/>
          <w:sz w:val="20"/>
        </w:rPr>
        <w:t>million in commitment fees from the financial institution to close the refinancing. These commitment fees were recorded as a reduction to the loan balance on the balance sheet.</w:t>
      </w:r>
    </w:p>
    <w:p>
      <w:pPr>
        <w:pStyle w:val="TextBody"/>
        <w:spacing w:lineRule="auto" w:line="273" w:before="200" w:after="200"/>
        <w:jc w:val="left"/>
        <w:rPr>
          <w:rFonts w:ascii="Arial" w:hAnsi="Arial"/>
          <w:b w:val="false"/>
          <w:sz w:val="20"/>
        </w:rPr>
      </w:pPr>
      <w:r>
        <w:rPr>
          <w:rFonts w:ascii="Arial" w:hAnsi="Arial"/>
          <w:b w:val="false"/>
          <w:sz w:val="20"/>
        </w:rPr>
        <w:t>On June 2, 2020, December 9, 2020 and May 19, 2021, the Company entered into a Third, Fourth and Fifth Amendments, respectively, to the LSA for administrative matters.</w:t>
      </w:r>
    </w:p>
    <w:p>
      <w:pPr>
        <w:pStyle w:val="TextBody"/>
        <w:spacing w:lineRule="auto" w:line="273" w:before="200" w:after="200"/>
        <w:jc w:val="left"/>
        <w:rPr>
          <w:rFonts w:ascii="Arial" w:hAnsi="Arial"/>
          <w:b w:val="false"/>
          <w:sz w:val="20"/>
        </w:rPr>
      </w:pPr>
      <w:r>
        <w:rPr>
          <w:rFonts w:ascii="Arial" w:hAnsi="Arial"/>
          <w:b w:val="false"/>
          <w:sz w:val="20"/>
        </w:rPr>
        <w:t>All amendments were accounted for as debt modifications.</w:t>
      </w:r>
    </w:p>
    <w:p>
      <w:pPr>
        <w:pStyle w:val="TextBody"/>
        <w:spacing w:lineRule="auto" w:line="273" w:before="200" w:after="200"/>
        <w:jc w:val="left"/>
        <w:rPr>
          <w:rFonts w:ascii="Times New Roman" w:hAnsi="Times New Roman"/>
          <w:sz w:val="20"/>
        </w:rPr>
      </w:pPr>
      <w:r>
        <w:rPr>
          <w:rFonts w:ascii="Arial" w:hAnsi="Arial"/>
          <w:b w:val="false"/>
          <w:sz w:val="20"/>
        </w:rPr>
        <w:t>On July 29, 2021, the Company drew $25.9</w:t>
      </w:r>
      <w:r>
        <w:rPr>
          <w:rFonts w:ascii="Times New Roman" w:hAnsi="Times New Roman"/>
          <w:sz w:val="20"/>
        </w:rPr>
        <w:t xml:space="preserve"> </w:t>
      </w:r>
      <w:r>
        <w:rPr>
          <w:rFonts w:ascii="Arial" w:hAnsi="Arial"/>
          <w:b w:val="false"/>
          <w:sz w:val="20"/>
        </w:rPr>
        <w:t>million on its new Revolving Credit Facility and used the proceeds to early prepay the $25.0</w:t>
      </w:r>
      <w:r>
        <w:rPr>
          <w:rFonts w:ascii="Times New Roman" w:hAnsi="Times New Roman"/>
          <w:sz w:val="20"/>
        </w:rPr>
        <w:t xml:space="preserve"> </w:t>
      </w:r>
      <w:r>
        <w:rPr>
          <w:rFonts w:ascii="Arial" w:hAnsi="Arial"/>
          <w:b w:val="false"/>
          <w:sz w:val="20"/>
        </w:rPr>
        <w:t>million LSA. In connection with the transaction, the Company incurred $0.4</w:t>
      </w:r>
      <w:r>
        <w:rPr>
          <w:rFonts w:ascii="Times New Roman" w:hAnsi="Times New Roman"/>
          <w:sz w:val="20"/>
        </w:rPr>
        <w:t xml:space="preserve"> </w:t>
      </w:r>
      <w:r>
        <w:rPr>
          <w:rFonts w:ascii="Arial" w:hAnsi="Arial"/>
          <w:b w:val="false"/>
          <w:sz w:val="20"/>
        </w:rPr>
        <w:t>million of prepayment costs.</w:t>
      </w:r>
    </w:p>
    <w:p>
      <w:pPr>
        <w:pStyle w:val="TextBody"/>
        <w:spacing w:lineRule="auto" w:line="273" w:before="200" w:after="200"/>
        <w:jc w:val="left"/>
        <w:rPr>
          <w:rFonts w:ascii="Times New Roman" w:hAnsi="Times New Roman"/>
          <w:sz w:val="20"/>
        </w:rPr>
      </w:pPr>
      <w:r>
        <w:rPr>
          <w:rFonts w:ascii="Arial" w:hAnsi="Arial"/>
          <w:b w:val="false"/>
          <w:sz w:val="20"/>
        </w:rPr>
        <w:t>The Company recorded interest expense of $0.2</w:t>
      </w:r>
      <w:r>
        <w:rPr>
          <w:rFonts w:ascii="Times New Roman" w:hAnsi="Times New Roman"/>
          <w:sz w:val="20"/>
        </w:rPr>
        <w:t xml:space="preserve"> </w:t>
      </w:r>
      <w:r>
        <w:rPr>
          <w:rFonts w:ascii="Arial" w:hAnsi="Arial"/>
          <w:b w:val="false"/>
          <w:sz w:val="20"/>
        </w:rPr>
        <w:t>million, including amortization of debt issuance cost and debt discount of less than $0.1</w:t>
      </w:r>
      <w:r>
        <w:rPr>
          <w:rFonts w:ascii="Times New Roman" w:hAnsi="Times New Roman"/>
          <w:sz w:val="20"/>
        </w:rPr>
        <w:t xml:space="preserve"> </w:t>
      </w:r>
      <w:r>
        <w:rPr>
          <w:rFonts w:ascii="Arial" w:hAnsi="Arial"/>
          <w:b w:val="false"/>
          <w:sz w:val="20"/>
        </w:rPr>
        <w:t>million for the three months ended March 31, 2022. The Company recorded interest expense of $0.6</w:t>
      </w:r>
      <w:r>
        <w:rPr>
          <w:rFonts w:ascii="Times New Roman" w:hAnsi="Times New Roman"/>
          <w:sz w:val="20"/>
        </w:rPr>
        <w:t xml:space="preserve"> </w:t>
      </w:r>
      <w:r>
        <w:rPr>
          <w:rFonts w:ascii="Arial" w:hAnsi="Arial"/>
          <w:b w:val="false"/>
          <w:sz w:val="20"/>
        </w:rPr>
        <w:t>million, including amortization of debt issuance cost and debt discount of $0.1</w:t>
      </w:r>
      <w:r>
        <w:rPr>
          <w:rFonts w:ascii="Times New Roman" w:hAnsi="Times New Roman"/>
          <w:sz w:val="20"/>
        </w:rPr>
        <w:t xml:space="preserve"> </w:t>
      </w:r>
      <w:r>
        <w:rPr>
          <w:rFonts w:ascii="Arial" w:hAnsi="Arial"/>
          <w:b w:val="false"/>
          <w:sz w:val="20"/>
        </w:rPr>
        <w:t>million for the three months ended March 31, 2021.</w:t>
      </w:r>
      <w:r>
        <w:rPr>
          <w:rFonts w:ascii="Times New Roman" w:hAnsi="Times New Roman"/>
          <w:sz w:val="20"/>
        </w:rPr>
        <w:t xml:space="preserve"> </w:t>
      </w:r>
    </w:p>
    <w:p>
      <w:pPr>
        <w:pStyle w:val="TextBody"/>
        <w:spacing w:lineRule="auto" w:line="273" w:before="360" w:after="0"/>
        <w:jc w:val="left"/>
        <w:rPr>
          <w:rFonts w:ascii="Arial" w:hAnsi="Arial"/>
          <w:b/>
          <w:sz w:val="20"/>
        </w:rPr>
      </w:pPr>
      <w:r>
        <w:rPr>
          <w:rFonts w:ascii="Arial" w:hAnsi="Arial"/>
          <w:b/>
          <w:sz w:val="20"/>
        </w:rPr>
        <w:t>11. Stockholders’ Equity (Deficit)</w:t>
      </w:r>
    </w:p>
    <w:p>
      <w:pPr>
        <w:pStyle w:val="TextBody"/>
        <w:spacing w:lineRule="auto" w:line="273" w:before="200" w:after="200"/>
        <w:jc w:val="left"/>
        <w:rPr>
          <w:rFonts w:ascii="Arial" w:hAnsi="Arial"/>
          <w:b/>
          <w:i/>
          <w:sz w:val="20"/>
        </w:rPr>
      </w:pPr>
      <w:r>
        <w:rPr>
          <w:rFonts w:ascii="Arial" w:hAnsi="Arial"/>
          <w:b/>
          <w:i/>
          <w:sz w:val="20"/>
        </w:rPr>
        <w:t>Preferred Stock</w:t>
      </w:r>
    </w:p>
    <w:p>
      <w:pPr>
        <w:pStyle w:val="TextBody"/>
        <w:spacing w:lineRule="auto" w:line="273" w:before="200" w:after="200"/>
        <w:jc w:val="left"/>
        <w:rPr>
          <w:rFonts w:ascii="Times New Roman" w:hAnsi="Times New Roman"/>
          <w:sz w:val="20"/>
        </w:rPr>
      </w:pPr>
      <w:r>
        <w:rPr>
          <w:rFonts w:ascii="Arial" w:hAnsi="Arial"/>
          <w:b w:val="false"/>
          <w:sz w:val="20"/>
        </w:rPr>
        <w:t>In connection with the IPO, the Company’s amended and restated certificate of incorporation became effective, which authorized the issuance of 10,000,000</w:t>
      </w:r>
      <w:r>
        <w:rPr>
          <w:rFonts w:ascii="Times New Roman" w:hAnsi="Times New Roman"/>
          <w:sz w:val="20"/>
        </w:rPr>
        <w:t xml:space="preserve"> </w:t>
      </w:r>
      <w:r>
        <w:rPr>
          <w:rFonts w:ascii="Arial" w:hAnsi="Arial"/>
          <w:b w:val="false"/>
          <w:sz w:val="20"/>
        </w:rPr>
        <w:t>shares of undesignated preferred stock with a par value of $0.0001</w:t>
      </w:r>
      <w:r>
        <w:rPr>
          <w:rFonts w:ascii="Times New Roman" w:hAnsi="Times New Roman"/>
          <w:sz w:val="20"/>
        </w:rPr>
        <w:t xml:space="preserve"> </w:t>
      </w:r>
      <w:r>
        <w:rPr>
          <w:rFonts w:ascii="Arial" w:hAnsi="Arial"/>
          <w:b w:val="false"/>
          <w:sz w:val="20"/>
        </w:rPr>
        <w:t>per share with rights and preferences, including voting rights, designated from time to time by the board of directors.</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Common Stock</w:t>
      </w:r>
    </w:p>
    <w:p>
      <w:pPr>
        <w:pStyle w:val="TextBody"/>
        <w:spacing w:lineRule="auto" w:line="273" w:before="200" w:after="200"/>
        <w:jc w:val="left"/>
        <w:rPr>
          <w:rFonts w:ascii="Times New Roman" w:hAnsi="Times New Roman"/>
          <w:sz w:val="20"/>
        </w:rPr>
      </w:pPr>
      <w:r>
        <w:rPr>
          <w:rFonts w:ascii="Arial" w:hAnsi="Arial"/>
          <w:b w:val="false"/>
          <w:sz w:val="20"/>
        </w:rPr>
        <w:t>In connection with the IPO, the Company’s current amended and restated certificate of incorporation authorized the issuance of 2,000,000,000</w:t>
      </w:r>
      <w:r>
        <w:rPr>
          <w:rFonts w:ascii="Times New Roman" w:hAnsi="Times New Roman"/>
          <w:sz w:val="20"/>
        </w:rPr>
        <w:t xml:space="preserve"> </w:t>
      </w:r>
      <w:r>
        <w:rPr>
          <w:rFonts w:ascii="Arial" w:hAnsi="Arial"/>
          <w:b w:val="false"/>
          <w:sz w:val="20"/>
        </w:rPr>
        <w:t>shares of voting common stock with a par value of $0.0001</w:t>
      </w:r>
      <w:r>
        <w:rPr>
          <w:rFonts w:ascii="Times New Roman" w:hAnsi="Times New Roman"/>
          <w:sz w:val="20"/>
        </w:rPr>
        <w:t xml:space="preserve"> </w:t>
      </w:r>
      <w:r>
        <w:rPr>
          <w:rFonts w:ascii="Arial" w:hAnsi="Arial"/>
          <w:b w:val="false"/>
          <w:sz w:val="20"/>
        </w:rPr>
        <w:t>per share and 10,000,000</w:t>
      </w:r>
      <w:r>
        <w:rPr>
          <w:rFonts w:ascii="Times New Roman" w:hAnsi="Times New Roman"/>
          <w:sz w:val="20"/>
        </w:rPr>
        <w:t xml:space="preserve"> </w:t>
      </w:r>
      <w:r>
        <w:rPr>
          <w:rFonts w:ascii="Arial" w:hAnsi="Arial"/>
          <w:b w:val="false"/>
          <w:sz w:val="20"/>
        </w:rPr>
        <w:t>shares of non-voting common stock with a par value of $0.0001</w:t>
      </w:r>
      <w:r>
        <w:rPr>
          <w:rFonts w:ascii="Times New Roman" w:hAnsi="Times New Roman"/>
          <w:sz w:val="20"/>
        </w:rPr>
        <w:t xml:space="preserve"> </w:t>
      </w:r>
      <w:r>
        <w:rPr>
          <w:rFonts w:ascii="Arial" w:hAnsi="Arial"/>
          <w:b w:val="false"/>
          <w:sz w:val="20"/>
        </w:rPr>
        <w:t>per share. The voting and non-voting shares are identical, except that holders of voting common stock are entitled to one vote for each share on each matter properly submitted to the Company’s stockholders for their vote, while holders of non-voting common stock are not entitled to vote on such matters. Holders of voting common stock and non-voting common stock are entitled to receive any dividends as may be declared from time to time by the board of directors.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 xml:space="preserve">Holders of the Company's common stock have no conversion rights while each share of non-voting common stock automatically converts into common stock on a one-to-one basis without the payment of additional consideration upon the transfer thereof in (i) a widespread public distribution, including pursuant to Rule 144 under the Securities Act, (ii) a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19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transfer (including a private placement or a sale pursuant to Rule 144 under the Securities Act) in which no one party acquires the right to purchase 2% or more of any class of voting securities (as such term is used for the purposes of the Bank Holding Company Act of 1956, as amended), (iii) an assignment to a single party (for example, a broker or investment banker) for the purposes of conducting a widespread public distribution, or (iv) to a party who would control more than 50% of the Company's voting securities without giving effect to the shares of non-voting common stock transferred by the holder. Other than in the event of such transfers, shares of non-voting common stock shall not be convertible into any other security.</w:t>
      </w:r>
    </w:p>
    <w:p>
      <w:pPr>
        <w:pStyle w:val="TextBody"/>
        <w:spacing w:lineRule="auto" w:line="273" w:before="200" w:after="200"/>
        <w:jc w:val="left"/>
        <w:rPr>
          <w:rFonts w:ascii="Arial" w:hAnsi="Arial"/>
          <w:b w:val="false"/>
          <w:sz w:val="20"/>
        </w:rPr>
      </w:pPr>
      <w:r>
        <w:rPr>
          <w:rFonts w:ascii="Arial" w:hAnsi="Arial"/>
          <w:b w:val="false"/>
          <w:sz w:val="20"/>
        </w:rPr>
        <w:t>As of March 31, 2022, the Company had reserved shares of common stock for future issuance as follows:</w:t>
      </w:r>
    </w:p>
    <w:tbl>
      <w:tblPr>
        <w:tblW w:w="6965" w:type="dxa"/>
        <w:jc w:val="left"/>
        <w:tblInd w:w="0" w:type="dxa"/>
        <w:tblCellMar>
          <w:top w:w="28" w:type="dxa"/>
          <w:left w:w="28" w:type="dxa"/>
          <w:bottom w:w="28" w:type="dxa"/>
          <w:right w:w="28" w:type="dxa"/>
        </w:tblCellMar>
      </w:tblPr>
      <w:tblGrid>
        <w:gridCol w:w="5416"/>
        <w:gridCol w:w="146"/>
        <w:gridCol w:w="146"/>
        <w:gridCol w:w="1066"/>
        <w:gridCol w:w="191"/>
      </w:tblGrid>
      <w:tr>
        <w:trPr/>
        <w:tc>
          <w:tcPr>
            <w:tcW w:w="5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Issued and outstanding stock options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14,346,683</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Issued and outstanding restricted stock units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2,420,345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Available for issuance under the 2021 Equity Incentive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12,341,771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Available for issuance under Employee Stock Purchase Plan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2,704,236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Available for conversion of non-voting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5,988,378</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41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37,801,413</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12.</w:t>
      </w:r>
    </w:p>
    <w:p>
      <w:pPr>
        <w:pStyle w:val="TextBody"/>
        <w:spacing w:lineRule="auto" w:line="273" w:before="360" w:after="283"/>
        <w:jc w:val="left"/>
        <w:rPr>
          <w:rFonts w:ascii="Arial" w:hAnsi="Arial"/>
          <w:b/>
          <w:sz w:val="20"/>
        </w:rPr>
      </w:pPr>
      <w:r>
        <w:rPr>
          <w:rFonts w:ascii="Arial" w:hAnsi="Arial"/>
          <w:b/>
          <w:sz w:val="20"/>
        </w:rPr>
        <w:t xml:space="preserve">Stock-Based Compensation </w:t>
      </w:r>
    </w:p>
    <w:p>
      <w:pPr>
        <w:pStyle w:val="TextBody"/>
        <w:spacing w:lineRule="auto" w:line="273" w:before="200" w:after="200"/>
        <w:jc w:val="left"/>
        <w:rPr>
          <w:rFonts w:ascii="Times New Roman" w:hAnsi="Times New Roman"/>
          <w:sz w:val="20"/>
        </w:rPr>
      </w:pPr>
      <w:r>
        <w:rPr>
          <w:rFonts w:ascii="Arial" w:hAnsi="Arial"/>
          <w:b/>
          <w:i/>
          <w:sz w:val="20"/>
        </w:rPr>
        <w:t>Equity Incentive Plan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April 2021, the Company’s board of directors adopted, and in May 2021 its stockholders approved the 2021 Equity Incentive Plan (the 2021 Plan), which became effective in connection with the IPO.</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No further awards are being made under the Company’s 2009 Equity Incentive Plan, as amended (the 2009 Plan) or the Company’s 2018 Equity Incentive Plan (the 2018 Plan); however, awards outstanding under each of the 2009 Plan and 2018 Plan will continue to be governed by their existing terms. With the establishment of the 2021 Equity Incentive Plan (2021 Plan) as further discussed below, upon the expiration, forfeiture, cancellation, or reacquisition of any stock-based awards granted under the 2009 Plan or 2018 Plan, an equal number of shares will become available for grant under the 2021 Plan. The 2021 Plan, 2018 Plan and 2009 Plan are collectively referred to as the “Equity Incentive Plans”.</w:t>
      </w:r>
    </w:p>
    <w:p>
      <w:pPr>
        <w:pStyle w:val="TextBody"/>
        <w:spacing w:lineRule="auto" w:line="273" w:before="200" w:after="200"/>
        <w:jc w:val="left"/>
        <w:rPr>
          <w:rFonts w:ascii="Times New Roman" w:hAnsi="Times New Roman"/>
          <w:sz w:val="20"/>
        </w:rPr>
      </w:pPr>
      <w:r>
        <w:rPr>
          <w:rFonts w:ascii="Arial" w:hAnsi="Arial"/>
          <w:b w:val="false"/>
          <w:sz w:val="20"/>
        </w:rPr>
        <w:t>The 2021 Plan provides for the grant of incentive stock options, nonqualified stock options, stock appreciation rights, restricted stock awards, restricted stock units, performance awards and other forms of equity compensation (collectively, equity awards). A total of 14,523,284</w:t>
      </w:r>
      <w:r>
        <w:rPr>
          <w:rFonts w:ascii="Times New Roman" w:hAnsi="Times New Roman"/>
          <w:sz w:val="20"/>
        </w:rPr>
        <w:t xml:space="preserve"> </w:t>
      </w:r>
      <w:r>
        <w:rPr>
          <w:rFonts w:ascii="Arial" w:hAnsi="Arial"/>
          <w:b w:val="false"/>
          <w:sz w:val="20"/>
        </w:rPr>
        <w:t>shares of the Company’s common stock have been reserved for issuance under the 2021 Plan in addition to (i) any annual automatic evergreen increases in the number of shares of common stock reserved for issuance under the 2021 Plan</w:t>
      </w:r>
      <w:r>
        <w:rPr>
          <w:rFonts w:ascii="Times New Roman" w:hAnsi="Times New Roman"/>
          <w:sz w:val="20"/>
        </w:rPr>
        <w:t xml:space="preserve"> </w:t>
      </w:r>
      <w:r>
        <w:rPr>
          <w:rFonts w:ascii="Arial" w:hAnsi="Arial"/>
          <w:b w:val="false"/>
          <w:sz w:val="20"/>
        </w:rPr>
        <w:t>and (ii) upon the expiration, forfeiture, cancellation, or reacquisition of any stock-based awards granted under the 2009 Plan or 2018 Plan, an equal number of shares of voting common stock will become available under the 2021 Plan.</w:t>
      </w:r>
    </w:p>
    <w:p>
      <w:pPr>
        <w:pStyle w:val="TextBody"/>
        <w:spacing w:lineRule="auto" w:line="273" w:before="200" w:after="200"/>
        <w:jc w:val="left"/>
        <w:rPr>
          <w:rFonts w:ascii="Times New Roman" w:hAnsi="Times New Roman"/>
          <w:sz w:val="20"/>
        </w:rPr>
      </w:pPr>
      <w:r>
        <w:rPr>
          <w:rFonts w:ascii="Arial" w:hAnsi="Arial"/>
          <w:b w:val="false"/>
          <w:sz w:val="20"/>
        </w:rPr>
        <w:t>As of March 31, 2022, a total of 12,341,771</w:t>
      </w:r>
      <w:r>
        <w:rPr>
          <w:rFonts w:ascii="Times New Roman" w:hAnsi="Times New Roman"/>
          <w:sz w:val="20"/>
        </w:rPr>
        <w:t xml:space="preserve"> </w:t>
      </w:r>
      <w:r>
        <w:rPr>
          <w:rFonts w:ascii="Arial" w:hAnsi="Arial"/>
          <w:b w:val="false"/>
          <w:sz w:val="20"/>
        </w:rPr>
        <w:t>shares of the Company's common stock are available for future issuance under the 2021 Plan.</w:t>
      </w:r>
    </w:p>
    <w:p>
      <w:pPr>
        <w:pStyle w:val="TextBody"/>
        <w:spacing w:lineRule="auto" w:line="273" w:before="200" w:after="200"/>
        <w:jc w:val="left"/>
        <w:rPr>
          <w:rFonts w:ascii="Times New Roman" w:hAnsi="Times New Roman"/>
          <w:sz w:val="20"/>
        </w:rPr>
      </w:pPr>
      <w:r>
        <w:rPr>
          <w:rFonts w:ascii="Arial" w:hAnsi="Arial"/>
          <w:b/>
          <w:i/>
          <w:sz w:val="20"/>
        </w:rPr>
        <w:t>Stock Options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Stock options granted under the 2009 Plan, 2018 Plan and the 2021 Plan generally vest based on continued service over four years</w:t>
      </w:r>
      <w:r>
        <w:rPr>
          <w:rFonts w:ascii="Times New Roman" w:hAnsi="Times New Roman"/>
          <w:sz w:val="20"/>
        </w:rPr>
        <w:t xml:space="preserve"> </w:t>
      </w:r>
      <w:r>
        <w:rPr>
          <w:rFonts w:ascii="Arial" w:hAnsi="Arial"/>
          <w:b w:val="false"/>
          <w:sz w:val="20"/>
        </w:rPr>
        <w:t>and expire within ten years</w:t>
      </w:r>
      <w:r>
        <w:rPr>
          <w:rFonts w:ascii="Times New Roman" w:hAnsi="Times New Roman"/>
          <w:sz w:val="20"/>
        </w:rPr>
        <w:t xml:space="preserve"> </w:t>
      </w:r>
      <w:r>
        <w:rPr>
          <w:rFonts w:ascii="Arial" w:hAnsi="Arial"/>
          <w:b w:val="false"/>
          <w:sz w:val="20"/>
        </w:rPr>
        <w:t>from the date of grant. Any options that are canceled or forfeited before expiration become available for future grants.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2022, the Company granted options to purchase an aggregate of 212,000</w:t>
      </w:r>
      <w:r>
        <w:rPr>
          <w:rFonts w:ascii="Times New Roman" w:hAnsi="Times New Roman"/>
          <w:sz w:val="20"/>
        </w:rPr>
        <w:t xml:space="preserve"> </w:t>
      </w:r>
      <w:r>
        <w:rPr>
          <w:rFonts w:ascii="Arial" w:hAnsi="Arial"/>
          <w:b w:val="false"/>
          <w:sz w:val="20"/>
        </w:rPr>
        <w:t>shares of common stock with weighted average exercise prices of $30.09</w:t>
      </w:r>
      <w:r>
        <w:rPr>
          <w:rFonts w:ascii="Times New Roman" w:hAnsi="Times New Roman"/>
          <w:sz w:val="20"/>
        </w:rPr>
        <w:t xml:space="preserve"> </w:t>
      </w:r>
      <w:r>
        <w:rPr>
          <w:rFonts w:ascii="Arial" w:hAnsi="Arial"/>
          <w:b w:val="false"/>
          <w:sz w:val="20"/>
        </w:rPr>
        <w:t>per share.</w:t>
      </w:r>
    </w:p>
    <w:p>
      <w:pPr>
        <w:pStyle w:val="TextBody"/>
        <w:spacing w:lineRule="auto" w:line="273" w:before="200" w:after="200"/>
        <w:jc w:val="left"/>
        <w:rPr>
          <w:rFonts w:ascii="Times New Roman" w:hAnsi="Times New Roman"/>
          <w:sz w:val="20"/>
        </w:rPr>
      </w:pPr>
      <w:r>
        <w:rPr>
          <w:rFonts w:ascii="Arial" w:hAnsi="Arial"/>
          <w:b w:val="false"/>
          <w:sz w:val="20"/>
        </w:rPr>
        <w:t>The fair value of each option award is estimated on the date of grant using the Black-Scholes option-pricing model with the following assumptions: (i) expected term of 6.08</w:t>
      </w:r>
      <w:r>
        <w:rPr>
          <w:rFonts w:ascii="Times New Roman" w:hAnsi="Times New Roman"/>
          <w:sz w:val="20"/>
        </w:rPr>
        <w:t xml:space="preserve"> </w:t>
      </w:r>
      <w:r>
        <w:rPr>
          <w:rFonts w:ascii="Arial" w:hAnsi="Arial"/>
          <w:b w:val="false"/>
          <w:sz w:val="20"/>
        </w:rPr>
        <w:t>years, (ii) expected volatility of 44.5%, (iii) risk-free interest rate of 1.70% and (iv) expected dividend yield of 0%.</w:t>
      </w:r>
    </w:p>
    <w:p>
      <w:pPr>
        <w:pStyle w:val="TextBody"/>
        <w:spacing w:lineRule="auto" w:line="273" w:before="200" w:after="200"/>
        <w:jc w:val="left"/>
        <w:rPr>
          <w:rFonts w:ascii="Times New Roman" w:hAnsi="Times New Roman"/>
          <w:sz w:val="20"/>
        </w:rPr>
      </w:pPr>
      <w:r>
        <w:rPr>
          <w:rFonts w:ascii="Arial" w:hAnsi="Arial"/>
          <w:b w:val="false"/>
          <w:sz w:val="20"/>
        </w:rPr>
        <w:t>As of March 31, 2022, there was $29.4</w:t>
      </w:r>
      <w:r>
        <w:rPr>
          <w:rFonts w:ascii="Times New Roman" w:hAnsi="Times New Roman"/>
          <w:sz w:val="20"/>
        </w:rPr>
        <w:t xml:space="preserve"> </w:t>
      </w:r>
      <w:r>
        <w:rPr>
          <w:rFonts w:ascii="Arial" w:hAnsi="Arial"/>
          <w:b w:val="false"/>
          <w:sz w:val="20"/>
        </w:rPr>
        <w:t>million of total unrecognized expense related to unvested stock options, which is expected to be recognized over a weighted-average period of 2.6</w:t>
      </w:r>
      <w:r>
        <w:rPr>
          <w:rFonts w:ascii="Times New Roman" w:hAnsi="Times New Roman"/>
          <w:sz w:val="20"/>
        </w:rPr>
        <w:t xml:space="preserve"> </w:t>
      </w:r>
      <w:r>
        <w:rPr>
          <w:rFonts w:ascii="Arial" w:hAnsi="Arial"/>
          <w:b w:val="false"/>
          <w:sz w:val="20"/>
        </w:rPr>
        <w:t>years.</w:t>
      </w:r>
    </w:p>
    <w:p>
      <w:pPr>
        <w:pStyle w:val="TextBody"/>
        <w:spacing w:lineRule="auto" w:line="273" w:before="200" w:after="200"/>
        <w:jc w:val="left"/>
        <w:rPr>
          <w:rFonts w:ascii="Times New Roman" w:hAnsi="Times New Roman"/>
          <w:sz w:val="20"/>
        </w:rPr>
      </w:pPr>
      <w:r>
        <w:rPr>
          <w:rFonts w:ascii="Arial" w:hAnsi="Arial"/>
          <w:b/>
          <w:i/>
          <w:sz w:val="20"/>
        </w:rPr>
        <w:t>Restricted Stock Awards and Restricted Stock Units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During 2018, the Company granted restricted stock awards to employees under the 2018 Plan. The restricted stock awards vested ratably over a four year period from the date of grant. The fair value of each restricted stock awards on the date of grant was the estimated fair value of the common stock on the date of grant. All restricted stock awards were fully vested as of January 2022.</w:t>
      </w:r>
    </w:p>
    <w:p>
      <w:pPr>
        <w:pStyle w:val="TextBody"/>
        <w:spacing w:lineRule="auto" w:line="273" w:before="200" w:after="200"/>
        <w:jc w:val="left"/>
        <w:rPr>
          <w:rFonts w:ascii="Times New Roman" w:hAnsi="Times New Roman"/>
          <w:sz w:val="20"/>
        </w:rPr>
      </w:pPr>
      <w:r>
        <w:rPr>
          <w:rFonts w:ascii="Arial" w:hAnsi="Arial"/>
          <w:b w:val="false"/>
          <w:sz w:val="20"/>
        </w:rPr>
        <w:t>During 2021, the Company awarded restricted stock units to employees and nonemployee board members under the 2021 Plan. During the three months ended March 31, 2022, the Company awarded restricted stock units covering an aggregate of 2,279,034</w:t>
      </w:r>
      <w:r>
        <w:rPr>
          <w:rFonts w:ascii="Times New Roman" w:hAnsi="Times New Roman"/>
          <w:sz w:val="20"/>
        </w:rPr>
        <w:t xml:space="preserve"> </w:t>
      </w:r>
      <w:r>
        <w:rPr>
          <w:rFonts w:ascii="Arial" w:hAnsi="Arial"/>
          <w:b w:val="false"/>
          <w:sz w:val="20"/>
        </w:rPr>
        <w:t>shares of common stock. For the Company's executives, the fair value of the restricted stock units was estimated based upon the trailing 20 day trading price of the Company's common stock and for the remainder employees, the fair value of the restricted stock units was estimated based upon the market closing price of the Company’s common stock on the date of the grant. The restricted stock units vest over the requisite service period, which range between one and four years</w:t>
      </w:r>
      <w:r>
        <w:rPr>
          <w:rFonts w:ascii="Times New Roman" w:hAnsi="Times New Roman"/>
          <w:sz w:val="20"/>
        </w:rPr>
        <w:t xml:space="preserve"> </w:t>
      </w:r>
      <w:r>
        <w:rPr>
          <w:rFonts w:ascii="Arial" w:hAnsi="Arial"/>
          <w:b w:val="false"/>
          <w:sz w:val="20"/>
        </w:rPr>
        <w:t>from the date of the grant, subject to the continued employment of the employees and services of the nonemployee board members.</w:t>
      </w:r>
    </w:p>
    <w:p>
      <w:pPr>
        <w:pStyle w:val="TextBody"/>
        <w:spacing w:lineRule="auto" w:line="273" w:before="200" w:after="200"/>
        <w:jc w:val="left"/>
        <w:rPr>
          <w:rFonts w:ascii="Times New Roman" w:hAnsi="Times New Roman"/>
          <w:sz w:val="20"/>
        </w:rPr>
      </w:pPr>
      <w:r>
        <w:rPr>
          <w:rFonts w:ascii="Arial" w:hAnsi="Arial"/>
          <w:b w:val="false"/>
          <w:sz w:val="20"/>
        </w:rPr>
        <w:t>As of March 31, 2022, there was $57.1</w:t>
      </w:r>
      <w:r>
        <w:rPr>
          <w:rFonts w:ascii="Times New Roman" w:hAnsi="Times New Roman"/>
          <w:sz w:val="20"/>
        </w:rPr>
        <w:t xml:space="preserve"> </w:t>
      </w:r>
      <w:r>
        <w:rPr>
          <w:rFonts w:ascii="Arial" w:hAnsi="Arial"/>
          <w:b w:val="false"/>
          <w:sz w:val="20"/>
        </w:rPr>
        <w:t>million of total unrecognized compensation expense related to restricted stock units, which is expected to be recognized over a weighted-average period of 3.9</w:t>
      </w:r>
      <w:r>
        <w:rPr>
          <w:rFonts w:ascii="Times New Roman" w:hAnsi="Times New Roman"/>
          <w:sz w:val="20"/>
        </w:rPr>
        <w:t xml:space="preserve"> </w:t>
      </w:r>
      <w:r>
        <w:rPr>
          <w:rFonts w:ascii="Arial" w:hAnsi="Arial"/>
          <w:b w:val="false"/>
          <w:sz w:val="20"/>
        </w:rPr>
        <w:t>years.</w:t>
      </w:r>
    </w:p>
    <w:p>
      <w:pPr>
        <w:pStyle w:val="TextBody"/>
        <w:spacing w:lineRule="auto" w:line="273" w:before="200" w:after="200"/>
        <w:jc w:val="left"/>
        <w:rPr>
          <w:rFonts w:ascii="Arial" w:hAnsi="Arial"/>
          <w:b/>
          <w:i/>
          <w:sz w:val="20"/>
        </w:rPr>
      </w:pPr>
      <w:r>
        <w:rPr>
          <w:rFonts w:ascii="Arial" w:hAnsi="Arial"/>
          <w:b/>
          <w:i/>
          <w:sz w:val="20"/>
        </w:rPr>
        <w:t>Employee Stock Purchase Plan</w:t>
      </w:r>
    </w:p>
    <w:p>
      <w:pPr>
        <w:pStyle w:val="TextBody"/>
        <w:spacing w:lineRule="auto" w:line="273" w:before="200" w:after="200"/>
        <w:jc w:val="left"/>
        <w:rPr>
          <w:rFonts w:ascii="Times New Roman" w:hAnsi="Times New Roman"/>
          <w:sz w:val="20"/>
        </w:rPr>
      </w:pPr>
      <w:r>
        <w:rPr>
          <w:rFonts w:ascii="Arial" w:hAnsi="Arial"/>
          <w:b w:val="false"/>
          <w:sz w:val="20"/>
        </w:rPr>
        <w:t>In April 2021, the Company’s board of directors adopted, and in May 2021 its stockholders approved, the 2021 Employee Stock Purchase Plan (ESPP), which became effective in connection with the IPO. The ESPP authorizes the issuance of shares of common stock pursuant to purchase rights granted to employees. A total of 2,704,236</w:t>
      </w:r>
      <w:r>
        <w:rPr>
          <w:rFonts w:ascii="Times New Roman" w:hAnsi="Times New Roman"/>
          <w:sz w:val="20"/>
        </w:rPr>
        <w:t xml:space="preserve"> </w:t>
      </w:r>
      <w:r>
        <w:rPr>
          <w:rFonts w:ascii="Arial" w:hAnsi="Arial"/>
          <w:b w:val="false"/>
          <w:sz w:val="20"/>
        </w:rPr>
        <w:t>shares of common stock have been reserved for future issuance under the ESPP, in addition to any annual automatic evergreen increases in the number of shares of common stock reserved for future issuance under the ESPP. The price at which common stock is purchased under the ESPP is equal to 85% of the fair market value of a share of common stock on the first or last day of the offering period, whichever is lower. Eligible employees can contribute up to 15% of their eligible compensation. Offering periods are generally 6 months long.</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ESPP enrollment period started on December 15, 2021 and ended on December 31, 2021. The first offering period commenced on January 1, 2022 and will end on June 30, 2022.</w:t>
      </w:r>
    </w:p>
    <w:p>
      <w:pPr>
        <w:pStyle w:val="TextBody"/>
        <w:spacing w:lineRule="auto" w:line="273" w:before="200" w:after="200"/>
        <w:jc w:val="left"/>
        <w:rPr>
          <w:rFonts w:ascii="Arial" w:hAnsi="Arial"/>
          <w:b w:val="false"/>
          <w:sz w:val="20"/>
        </w:rPr>
      </w:pPr>
      <w:r>
        <w:rPr>
          <w:rFonts w:ascii="Arial" w:hAnsi="Arial"/>
          <w:b w:val="false"/>
          <w:sz w:val="20"/>
        </w:rPr>
        <w:t>The fair value of the ESPP offering during the three months ended March 31, 2022 was estimated at the date of the offering using the Black-Scholes option-pricing model with the following assumptions: (i) expected term of 0.5 years, (ii) expected volatility of 36.5%, (iii) risk-free interest rate of 0.19% and (iv) expected dividend yield of 0%.</w:t>
      </w:r>
    </w:p>
    <w:p>
      <w:pPr>
        <w:pStyle w:val="TextBody"/>
        <w:spacing w:lineRule="auto" w:line="273" w:before="200" w:after="200"/>
        <w:jc w:val="left"/>
        <w:rPr>
          <w:rFonts w:ascii="Times New Roman" w:hAnsi="Times New Roman"/>
          <w:sz w:val="20"/>
        </w:rPr>
      </w:pPr>
      <w:r>
        <w:rPr>
          <w:rFonts w:ascii="Arial" w:hAnsi="Arial"/>
          <w:b w:val="false"/>
          <w:sz w:val="20"/>
        </w:rPr>
        <w:t>As of March 31, 2022, the total unrecognized compensation expense related to the ESPP was $0.3</w:t>
      </w:r>
      <w:r>
        <w:rPr>
          <w:rFonts w:ascii="Times New Roman" w:hAnsi="Times New Roman"/>
          <w:sz w:val="20"/>
        </w:rPr>
        <w:t xml:space="preserve"> </w:t>
      </w:r>
      <w:r>
        <w:rPr>
          <w:rFonts w:ascii="Arial" w:hAnsi="Arial"/>
          <w:b w:val="false"/>
          <w:sz w:val="20"/>
        </w:rPr>
        <w:t>million, which is expected to be amortized over the next 3 months.</w:t>
      </w:r>
    </w:p>
    <w:p>
      <w:pPr>
        <w:pStyle w:val="TextBody"/>
        <w:spacing w:lineRule="auto" w:line="273" w:before="200" w:after="200"/>
        <w:jc w:val="left"/>
        <w:rPr>
          <w:rFonts w:ascii="Arial" w:hAnsi="Arial"/>
          <w:b/>
          <w:i/>
          <w:sz w:val="20"/>
        </w:rPr>
      </w:pPr>
      <w:r>
        <w:rPr>
          <w:rFonts w:ascii="Arial" w:hAnsi="Arial"/>
          <w:b/>
          <w:i/>
          <w:sz w:val="20"/>
        </w:rPr>
        <w:t>Stock-Based Compensation Costs</w:t>
      </w:r>
    </w:p>
    <w:p>
      <w:pPr>
        <w:pStyle w:val="TextBody"/>
        <w:spacing w:lineRule="auto" w:line="273" w:before="200" w:after="200"/>
        <w:jc w:val="left"/>
        <w:rPr>
          <w:rFonts w:ascii="Arial" w:hAnsi="Arial"/>
          <w:b w:val="false"/>
          <w:sz w:val="20"/>
        </w:rPr>
      </w:pPr>
      <w:r>
        <w:rPr>
          <w:rFonts w:ascii="Arial" w:hAnsi="Arial"/>
          <w:b w:val="false"/>
          <w:sz w:val="20"/>
        </w:rPr>
        <w:t>The following table summarizes the stock-based compensation expense for stock options, restricted stock units and employee stock purchase plan granted to employees that was recorded in the Company’s condensed consolidated statements of operations and comprehensive loss (in thousands):</w:t>
      </w:r>
    </w:p>
    <w:tbl>
      <w:tblPr>
        <w:tblW w:w="6637" w:type="dxa"/>
        <w:jc w:val="left"/>
        <w:tblInd w:w="0" w:type="dxa"/>
        <w:tblCellMar>
          <w:top w:w="28" w:type="dxa"/>
          <w:left w:w="28" w:type="dxa"/>
          <w:bottom w:w="28" w:type="dxa"/>
          <w:right w:w="28" w:type="dxa"/>
        </w:tblCellMar>
      </w:tblPr>
      <w:tblGrid>
        <w:gridCol w:w="3751"/>
        <w:gridCol w:w="146"/>
        <w:gridCol w:w="270"/>
        <w:gridCol w:w="750"/>
        <w:gridCol w:w="187"/>
        <w:gridCol w:w="187"/>
        <w:gridCol w:w="270"/>
        <w:gridCol w:w="885"/>
        <w:gridCol w:w="191"/>
      </w:tblGrid>
      <w:tr>
        <w:trPr/>
        <w:tc>
          <w:tcPr>
            <w:tcW w:w="37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7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549"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5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Technology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830</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8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1,085</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Selling and marketing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75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1,311</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0" w:type="dxa"/>
            <w:tcBorders/>
            <w:shd w:fill="auto" w:val="clear"/>
            <w:vAlign w:val="center"/>
          </w:tcPr>
          <w:p>
            <w:pPr>
              <w:pStyle w:val="TableContents"/>
              <w:spacing w:lineRule="auto" w:line="252" w:before="0" w:after="0"/>
              <w:ind w:left="0" w:right="0" w:hanging="0"/>
              <w:jc w:val="left"/>
              <w:rPr/>
            </w:pPr>
            <w:r>
              <w:rPr/>
              <w:t> </w:t>
            </w:r>
          </w:p>
        </w:tc>
        <w:tc>
          <w:tcPr>
            <w:tcW w:w="88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2,644</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3,354</w:t>
            </w:r>
          </w:p>
        </w:tc>
        <w:tc>
          <w:tcPr>
            <w:tcW w:w="187"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88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6,635</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375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5,495</w:t>
            </w:r>
          </w:p>
        </w:tc>
        <w:tc>
          <w:tcPr>
            <w:tcW w:w="187"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87" w:type="dxa"/>
            <w:tcBorders/>
            <w:shd w:fill="auto" w:val="clear"/>
            <w:vAlign w:val="center"/>
          </w:tcPr>
          <w:p>
            <w:pPr>
              <w:pStyle w:val="TableContents"/>
              <w:spacing w:lineRule="auto" w:line="252" w:before="0" w:after="0"/>
              <w:ind w:left="0" w:right="0" w:hanging="0"/>
              <w:jc w:val="left"/>
              <w:rPr/>
            </w:pPr>
            <w:r>
              <w:rPr/>
              <w:t> </w:t>
            </w:r>
          </w:p>
        </w:tc>
        <w:tc>
          <w:tcPr>
            <w:tcW w:w="27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8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10,364</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In February 2021, certain of the Company’s existing investors acquired 1,205,118</w:t>
      </w:r>
      <w:r>
        <w:rPr>
          <w:rFonts w:ascii="Times New Roman" w:hAnsi="Times New Roman"/>
          <w:sz w:val="20"/>
        </w:rPr>
        <w:t xml:space="preserve"> </w:t>
      </w:r>
      <w:r>
        <w:rPr>
          <w:rFonts w:ascii="Arial" w:hAnsi="Arial"/>
          <w:b w:val="false"/>
          <w:sz w:val="20"/>
        </w:rPr>
        <w:t>outstanding shares of common stock from employees of the Company for a purchase price greater than the fair value of the common stock at the time of the transaction. As a result, the Company recorded $8.4</w:t>
      </w:r>
      <w:r>
        <w:rPr>
          <w:rFonts w:ascii="Times New Roman" w:hAnsi="Times New Roman"/>
          <w:sz w:val="20"/>
        </w:rPr>
        <w:t xml:space="preserve"> </w:t>
      </w:r>
      <w:r>
        <w:rPr>
          <w:rFonts w:ascii="Arial" w:hAnsi="Arial"/>
          <w:b w:val="false"/>
          <w:sz w:val="20"/>
        </w:rPr>
        <w:t>million of stock-based compensation expense during the three months ended March 31, 2021. The amount recorded as stock-based compensation represents the difference between the price paid and the estimated fair value at the date of the transaction.</w:t>
      </w:r>
    </w:p>
    <w:p>
      <w:pPr>
        <w:pStyle w:val="TextBody"/>
        <w:spacing w:lineRule="auto" w:line="273" w:before="200" w:after="20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21</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13.</w:t>
      </w:r>
    </w:p>
    <w:p>
      <w:pPr>
        <w:pStyle w:val="TextBody"/>
        <w:spacing w:lineRule="auto" w:line="273" w:before="360" w:after="283"/>
        <w:jc w:val="left"/>
        <w:rPr>
          <w:rFonts w:ascii="Arial" w:hAnsi="Arial"/>
          <w:b/>
          <w:sz w:val="20"/>
        </w:rPr>
      </w:pPr>
      <w:r>
        <w:rPr>
          <w:rFonts w:ascii="Arial" w:hAnsi="Arial"/>
          <w:b/>
          <w:sz w:val="20"/>
        </w:rPr>
        <w:t xml:space="preserve">Net Loss per Share </w:t>
      </w:r>
    </w:p>
    <w:p>
      <w:pPr>
        <w:pStyle w:val="TextBody"/>
        <w:spacing w:lineRule="auto" w:line="273" w:before="200" w:after="200"/>
        <w:jc w:val="left"/>
        <w:rPr>
          <w:rFonts w:ascii="Arial" w:hAnsi="Arial"/>
          <w:b w:val="false"/>
          <w:sz w:val="20"/>
        </w:rPr>
      </w:pPr>
      <w:r>
        <w:rPr>
          <w:rFonts w:ascii="Arial" w:hAnsi="Arial"/>
          <w:b w:val="false"/>
          <w:sz w:val="20"/>
        </w:rPr>
        <w:t>Flywire follows the two-class method when computing net income (loss) per share as the Company has issued shares that meet the definition of participating securities. Prior to the automatic conversion of all of its convertible preferred stock and redeemable convertible preferred stock into voting and non-voting common stock upon the completion of the IPO, the Company considered all series of its preferred stock and unvested common stock to be participating securities as the holders of such stock had the right to receive nonforfeitable dividends on a pari passu basis in the event that a dividend was paid on common stock. Under the two-class method, the net loss attributable to common stockholders is not allocated to the convertible preferred stock or the redeemable convertible preferred stock as the preferred stockholders do not have a contractual obligation to share in the Company’s losses.</w:t>
      </w:r>
    </w:p>
    <w:p>
      <w:pPr>
        <w:pStyle w:val="TextBody"/>
        <w:spacing w:lineRule="auto" w:line="273" w:before="200" w:after="200"/>
        <w:jc w:val="left"/>
        <w:rPr>
          <w:rFonts w:ascii="Arial" w:hAnsi="Arial"/>
          <w:b w:val="false"/>
          <w:sz w:val="20"/>
        </w:rPr>
      </w:pPr>
      <w:r>
        <w:rPr>
          <w:rFonts w:ascii="Arial" w:hAnsi="Arial"/>
          <w:b w:val="false"/>
          <w:sz w:val="20"/>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pStyle w:val="TextBody"/>
        <w:spacing w:lineRule="auto" w:line="273" w:before="200" w:after="200"/>
        <w:jc w:val="left"/>
        <w:rPr>
          <w:rFonts w:ascii="Arial" w:hAnsi="Arial"/>
          <w:b w:val="false"/>
          <w:sz w:val="20"/>
        </w:rPr>
      </w:pPr>
      <w:r>
        <w:rPr>
          <w:rFonts w:ascii="Arial" w:hAnsi="Arial"/>
          <w:b w:val="false"/>
          <w:sz w:val="20"/>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three months ended March 31, 2022 and 2021. For the three months ended March 31, 2022 and 2021, net loss per share attributable to common stockholders was the same as diluted net loss per share attributable to common stockholders.</w:t>
      </w:r>
    </w:p>
    <w:p>
      <w:pPr>
        <w:pStyle w:val="TextBody"/>
        <w:spacing w:lineRule="auto" w:line="273" w:before="200" w:after="200"/>
        <w:jc w:val="left"/>
        <w:rPr>
          <w:rFonts w:ascii="Arial" w:hAnsi="Arial"/>
          <w:b w:val="false"/>
          <w:sz w:val="20"/>
        </w:rPr>
      </w:pPr>
      <w:r>
        <w:rPr>
          <w:rFonts w:ascii="Arial" w:hAnsi="Arial"/>
          <w:b w:val="false"/>
          <w:sz w:val="20"/>
        </w:rPr>
        <w:t>The rights, including the liquidation and dividend rights, of the voting and non-voting common stock are identical, except with respect to voting rights. As the liquidation and dividend rights are identical, the undistributed earnings are allocated on a proportionate basis to each class of common stock and the resulting basic and diluted net loss per share attributable to common stockholders are, therefore, the same for both voting and non-voting common stock on both individual and combined basis.</w:t>
      </w:r>
    </w:p>
    <w:p>
      <w:pPr>
        <w:pStyle w:val="TextBody"/>
        <w:spacing w:lineRule="auto" w:line="273" w:before="200" w:after="200"/>
        <w:jc w:val="left"/>
        <w:rPr>
          <w:rFonts w:ascii="Arial" w:hAnsi="Arial"/>
          <w:b w:val="false"/>
          <w:sz w:val="20"/>
        </w:rPr>
      </w:pPr>
      <w:r>
        <w:rPr>
          <w:rFonts w:ascii="Arial" w:hAnsi="Arial"/>
          <w:b w:val="false"/>
          <w:sz w:val="20"/>
        </w:rPr>
        <w:t>Basic and diluted net loss per share attributable to common stockholders was calculated as follows (in thousands, except share and per share amounts):</w:t>
      </w:r>
    </w:p>
    <w:tbl>
      <w:tblPr>
        <w:tblW w:w="10194" w:type="dxa"/>
        <w:jc w:val="left"/>
        <w:tblInd w:w="0" w:type="dxa"/>
        <w:tblCellMar>
          <w:top w:w="28" w:type="dxa"/>
          <w:left w:w="28" w:type="dxa"/>
          <w:bottom w:w="28" w:type="dxa"/>
          <w:right w:w="28" w:type="dxa"/>
        </w:tblCellMar>
      </w:tblPr>
      <w:tblGrid>
        <w:gridCol w:w="6586"/>
        <w:gridCol w:w="146"/>
        <w:gridCol w:w="211"/>
        <w:gridCol w:w="1171"/>
        <w:gridCol w:w="166"/>
        <w:gridCol w:w="146"/>
        <w:gridCol w:w="211"/>
        <w:gridCol w:w="1066"/>
        <w:gridCol w:w="491"/>
      </w:tblGrid>
      <w:tr>
        <w:trPr/>
        <w:tc>
          <w:tcPr>
            <w:tcW w:w="6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65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971"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58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7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5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Numerator: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65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(10,149</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(8,652</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5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Accretion of preferred stock to redemption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65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Net loss attributable to common stockholders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(10,149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(8,657</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5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Denominator: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382" w:type="dxa"/>
            <w:gridSpan w:val="2"/>
            <w:tcBorders/>
            <w:shd w:fill="auto" w:val="clear"/>
            <w:vAlign w:val="center"/>
          </w:tcPr>
          <w:p>
            <w:pPr>
              <w:pStyle w:val="TableContents"/>
              <w:spacing w:lineRule="auto" w:line="252" w:before="0" w:after="0"/>
              <w:ind w:left="0" w:right="0" w:hanging="0"/>
              <w:jc w:val="right"/>
              <w:rPr/>
            </w:pPr>
            <w:r>
              <w:rPr/>
              <w:t> </w:t>
            </w:r>
          </w:p>
        </w:tc>
        <w:tc>
          <w:tcPr>
            <w:tcW w:w="16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77"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658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Weighted average common shares outstanding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106,739,771</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21,100,077</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5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 per share attributable to common stockholders - basic and diluted</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1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(0.10</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(0.41</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200" w:after="200"/>
        <w:jc w:val="left"/>
        <w:rPr>
          <w:rFonts w:ascii="Arial" w:hAnsi="Arial"/>
          <w:b w:val="false"/>
          <w:sz w:val="20"/>
        </w:rPr>
      </w:pPr>
      <w:r>
        <w:rPr>
          <w:rFonts w:ascii="Arial" w:hAnsi="Arial"/>
          <w:b w:val="false"/>
          <w:sz w:val="20"/>
        </w:rPr>
        <w:t>Outstanding potentially dilutive securities, which were excluded from the diluted net loss per share calculations because they would have been antidilutive were as follows as of the dates presented:</w:t>
      </w:r>
    </w:p>
    <w:tbl>
      <w:tblPr>
        <w:tblW w:w="9684" w:type="dxa"/>
        <w:jc w:val="left"/>
        <w:tblInd w:w="0" w:type="dxa"/>
        <w:tblCellMar>
          <w:top w:w="28" w:type="dxa"/>
          <w:left w:w="28" w:type="dxa"/>
          <w:bottom w:w="28" w:type="dxa"/>
          <w:right w:w="28" w:type="dxa"/>
        </w:tblCellMar>
      </w:tblPr>
      <w:tblGrid>
        <w:gridCol w:w="6631"/>
        <w:gridCol w:w="146"/>
        <w:gridCol w:w="146"/>
        <w:gridCol w:w="1066"/>
        <w:gridCol w:w="146"/>
        <w:gridCol w:w="146"/>
        <w:gridCol w:w="146"/>
        <w:gridCol w:w="1066"/>
        <w:gridCol w:w="191"/>
      </w:tblGrid>
      <w:tr>
        <w:trPr/>
        <w:tc>
          <w:tcPr>
            <w:tcW w:w="66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66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1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21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Warrants for the purchase of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75,000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Warrants for the purchase of convertible preferred stock (as converted into</w:t>
              <w:br/>
              <w:t>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381,000</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Redeemable convertible preferred stock (as converted into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13,811,856</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Convertible preferred stock (as converted into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pPr>
            <w:r>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54,208,461</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Unvested restricted stock awards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2,419,900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6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516,552</w:t>
            </w:r>
          </w:p>
        </w:tc>
        <w:tc>
          <w:tcPr>
            <w:tcW w:w="191" w:type="dxa"/>
            <w:tcBorders/>
            <w:shd w:fill="auto" w:val="clear"/>
            <w:vAlign w:val="center"/>
          </w:tcPr>
          <w:p>
            <w:pPr>
              <w:pStyle w:val="TableContents"/>
              <w:spacing w:lineRule="auto" w:line="252" w:before="0" w:after="0"/>
              <w:ind w:left="0" w:right="0" w:hanging="0"/>
              <w:jc w:val="left"/>
              <w:rPr/>
            </w:pPr>
            <w:r>
              <w:rPr/>
              <w:t> </w:t>
            </w:r>
          </w:p>
        </w:tc>
      </w:tr>
      <w:tr>
        <w:trPr/>
        <w:tc>
          <w:tcPr>
            <w:tcW w:w="66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Stock options to purchase common stock (as converted to common stock)</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14,346,683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16,496,223</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66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16,766,583</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85,489,092</w:t>
            </w:r>
          </w:p>
        </w:tc>
        <w:tc>
          <w:tcPr>
            <w:tcW w:w="1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r>
        <w:rPr>
          <w:rFonts w:ascii="Arial" w:hAnsi="Arial"/>
          <w:b/>
          <w:sz w:val="20"/>
        </w:rPr>
        <w:t>14</w:t>
      </w:r>
      <w:r>
        <w:rPr>
          <w:rFonts w:ascii="Arial" w:hAnsi="Arial"/>
          <w:b/>
          <w:i/>
          <w:sz w:val="20"/>
        </w:rPr>
        <w:t>.</w:t>
      </w:r>
      <w:r>
        <w:rPr>
          <w:rFonts w:ascii="Times New Roman" w:hAnsi="Times New Roman"/>
          <w:sz w:val="20"/>
        </w:rPr>
        <w:t xml:space="preserve"> </w:t>
      </w:r>
      <w:r>
        <w:rPr>
          <w:rFonts w:ascii="Arial" w:hAnsi="Arial"/>
          <w:b/>
          <w:sz w:val="20"/>
        </w:rPr>
        <w:t>Income Taxes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Company’s provision for income taxes during the interim periods is determined using an estimate of the Company’s annual effective tax rate, which is adjusted for certain discrete tax items during the interim period. The Company reported an income tax expense of $0.5</w:t>
      </w:r>
      <w:r>
        <w:rPr>
          <w:rFonts w:ascii="Times New Roman" w:hAnsi="Times New Roman"/>
          <w:sz w:val="20"/>
        </w:rPr>
        <w:t xml:space="preserve"> </w:t>
      </w:r>
      <w:r>
        <w:rPr>
          <w:rFonts w:ascii="Arial" w:hAnsi="Arial"/>
          <w:b w:val="false"/>
          <w:sz w:val="20"/>
        </w:rPr>
        <w:t>million and $0.2</w:t>
      </w:r>
      <w:r>
        <w:rPr>
          <w:rFonts w:ascii="Times New Roman" w:hAnsi="Times New Roman"/>
          <w:sz w:val="20"/>
        </w:rPr>
        <w:t xml:space="preserve"> </w:t>
      </w:r>
      <w:r>
        <w:rPr>
          <w:rFonts w:ascii="Arial" w:hAnsi="Arial"/>
          <w:b w:val="false"/>
          <w:sz w:val="20"/>
        </w:rPr>
        <w:t>million for the three months ended March 31, 2022 and 2021, respectively. The income tax expense for the three months ended March 31, 2022 was primarily attributable to profits generated in the Company's foreign subsidiaries. The income tax expense for the three months ended March 31, 2021 was primarily attributable to foreign taxes.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Company’s effective tax rate differs from the Federal statutory rate primarily due to the change in valuation allowance in the U.S. The Company is open to future tax examinations from 2018 to the present; however, carryforward attributes that were generated prior to 2018 may still be adjusted upon examination by federal, state or local tax authorities to the extent they will be used in a future period. In 2021, the U.S. Internal Revenue Service commenced a corporate income tax audit with respect to the 2018 calendar year, which was completed in 2022.</w:t>
      </w:r>
    </w:p>
    <w:p>
      <w:pPr>
        <w:pStyle w:val="TextBody"/>
        <w:spacing w:lineRule="auto" w:line="273" w:before="200" w:after="200"/>
        <w:jc w:val="left"/>
        <w:rPr>
          <w:rFonts w:ascii="Times New Roman" w:hAnsi="Times New Roman"/>
          <w:sz w:val="20"/>
        </w:rPr>
      </w:pPr>
      <w:r>
        <w:rPr>
          <w:rFonts w:ascii="Arial" w:hAnsi="Arial"/>
          <w:b w:val="false"/>
          <w:sz w:val="20"/>
        </w:rPr>
        <w:t>The Company’s management evaluates the realizability of the Company’s deferred tax assets based on all available evidence, both positive and negative. The realization of net deferred tax assets is dependent on the Company’s ability to generate sufficient future taxable income during the foreseeable future. As of March 31, 2022, the Company continues to maintain a full valuation allowance on its U.S. net deferred tax assets.</w:t>
      </w:r>
      <w:r>
        <w:rPr>
          <w:rFonts w:ascii="Times New Roman" w:hAnsi="Times New Roman"/>
          <w:sz w:val="20"/>
        </w:rPr>
        <w:t xml:space="preserve"> </w:t>
      </w:r>
    </w:p>
    <w:p>
      <w:pPr>
        <w:pStyle w:val="TextBody"/>
        <w:spacing w:lineRule="auto" w:line="273" w:before="360" w:after="0"/>
        <w:jc w:val="left"/>
        <w:rPr>
          <w:rFonts w:ascii="Arial" w:hAnsi="Arial"/>
          <w:b/>
          <w:sz w:val="20"/>
        </w:rPr>
      </w:pPr>
      <w:r>
        <w:rPr>
          <w:rFonts w:ascii="Arial" w:hAnsi="Arial"/>
          <w:b/>
          <w:sz w:val="20"/>
        </w:rPr>
        <w:t>15.</w:t>
      </w:r>
    </w:p>
    <w:p>
      <w:pPr>
        <w:pStyle w:val="TextBody"/>
        <w:spacing w:lineRule="auto" w:line="273" w:before="360" w:after="283"/>
        <w:jc w:val="left"/>
        <w:rPr>
          <w:rFonts w:ascii="Arial" w:hAnsi="Arial"/>
          <w:b/>
          <w:sz w:val="20"/>
        </w:rPr>
      </w:pPr>
      <w:r>
        <w:rPr>
          <w:rFonts w:ascii="Arial" w:hAnsi="Arial"/>
          <w:b/>
          <w:sz w:val="20"/>
        </w:rPr>
        <w:t>Leases</w:t>
      </w:r>
    </w:p>
    <w:p>
      <w:pPr>
        <w:pStyle w:val="TextBody"/>
        <w:spacing w:lineRule="auto" w:line="273" w:before="200" w:after="200"/>
        <w:jc w:val="left"/>
        <w:rPr>
          <w:rFonts w:ascii="Times New Roman" w:hAnsi="Times New Roman"/>
          <w:sz w:val="20"/>
        </w:rPr>
      </w:pPr>
      <w:r>
        <w:rPr>
          <w:rFonts w:ascii="Arial" w:hAnsi="Arial"/>
          <w:b/>
          <w:i/>
          <w:sz w:val="20"/>
        </w:rPr>
        <w:t>Operating Leases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of these lease agreements include free rent periods and annual rent increases. Operating lease expense is recognized on a straight-line basis over the term of the lease. There were no finance lease obligations as of March 31, 2022.</w:t>
      </w:r>
    </w:p>
    <w:p>
      <w:pPr>
        <w:pStyle w:val="TextBody"/>
        <w:spacing w:lineRule="auto" w:line="273" w:before="200" w:after="200"/>
        <w:jc w:val="left"/>
        <w:rPr>
          <w:rFonts w:ascii="Times New Roman" w:hAnsi="Times New Roman"/>
          <w:sz w:val="20"/>
        </w:rPr>
      </w:pPr>
      <w:r>
        <w:rPr>
          <w:rFonts w:ascii="Arial" w:hAnsi="Arial"/>
          <w:b w:val="false"/>
          <w:sz w:val="20"/>
        </w:rPr>
        <w:t>In March 2021, the Company entered into a lease agreement for 680</w:t>
      </w:r>
      <w:r>
        <w:rPr>
          <w:rFonts w:ascii="Times New Roman" w:hAnsi="Times New Roman"/>
          <w:sz w:val="20"/>
        </w:rPr>
        <w:t xml:space="preserve"> </w:t>
      </w:r>
      <w:r>
        <w:rPr>
          <w:rFonts w:ascii="Arial" w:hAnsi="Arial"/>
          <w:b w:val="false"/>
          <w:sz w:val="20"/>
        </w:rPr>
        <w:t>square feet of office space in Tel Aviv, Israel. The term of the lease commenced on March 15, 2021</w:t>
      </w:r>
      <w:r>
        <w:rPr>
          <w:rFonts w:ascii="Times New Roman" w:hAnsi="Times New Roman"/>
          <w:sz w:val="20"/>
        </w:rPr>
        <w:t xml:space="preserve"> </w:t>
      </w:r>
      <w:r>
        <w:rPr>
          <w:rFonts w:ascii="Arial" w:hAnsi="Arial"/>
          <w:b w:val="false"/>
          <w:sz w:val="20"/>
        </w:rPr>
        <w:t>and continues until March 8, 2023. The Company has the option to extend the lease for an additional two-year</w:t>
      </w:r>
      <w:r>
        <w:rPr>
          <w:rFonts w:ascii="Times New Roman" w:hAnsi="Times New Roman"/>
          <w:sz w:val="20"/>
        </w:rPr>
        <w:t xml:space="preserve"> </w:t>
      </w:r>
      <w:r>
        <w:rPr>
          <w:rFonts w:ascii="Arial" w:hAnsi="Arial"/>
          <w:b w:val="false"/>
          <w:sz w:val="20"/>
        </w:rPr>
        <w:t>term at market-based rates. The base rent payments commenced in March 2021. The Company is obligated to pay its portion of building operating and tax expenses.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May 2021, the Company executed a lease extension on previously rented office space in Cluj, Romania that commenced on May 15, 2021</w:t>
      </w:r>
      <w:r>
        <w:rPr>
          <w:rFonts w:ascii="Times New Roman" w:hAnsi="Times New Roman"/>
          <w:sz w:val="20"/>
        </w:rPr>
        <w:t xml:space="preserve"> </w:t>
      </w:r>
      <w:r>
        <w:rPr>
          <w:rFonts w:ascii="Arial" w:hAnsi="Arial"/>
          <w:b w:val="false"/>
          <w:sz w:val="20"/>
        </w:rPr>
        <w:t>and continues until March 31, 2024. In May 2021 and July 2021, the Company executed lease extensions on previously rented office space in Singapore that commenced on May 15, 2021</w:t>
      </w:r>
      <w:r>
        <w:rPr>
          <w:rFonts w:ascii="Times New Roman" w:hAnsi="Times New Roman"/>
          <w:sz w:val="20"/>
        </w:rPr>
        <w:t xml:space="preserve"> </w:t>
      </w:r>
      <w:r>
        <w:rPr>
          <w:rFonts w:ascii="Arial" w:hAnsi="Arial"/>
          <w:b w:val="false"/>
          <w:sz w:val="20"/>
        </w:rPr>
        <w:t>and continues until November 14, 2022. The Company is obligated to pay its portion of building operating and tax expenses under both agreements.</w:t>
      </w:r>
    </w:p>
    <w:p>
      <w:pPr>
        <w:pStyle w:val="TextBody"/>
        <w:spacing w:lineRule="auto" w:line="273" w:before="200" w:after="200"/>
        <w:jc w:val="left"/>
        <w:rPr>
          <w:rFonts w:ascii="Times New Roman" w:hAnsi="Times New Roman"/>
          <w:sz w:val="20"/>
        </w:rPr>
      </w:pPr>
      <w:r>
        <w:rPr>
          <w:rFonts w:ascii="Arial" w:hAnsi="Arial"/>
          <w:b w:val="false"/>
          <w:sz w:val="20"/>
        </w:rPr>
        <w:t>In connection with the WPM acquisition, the Company acquired one lease agreement for office space. The lease has a contractual term of 5 years</w:t>
      </w:r>
      <w:r>
        <w:rPr>
          <w:rFonts w:ascii="Times New Roman" w:hAnsi="Times New Roman"/>
          <w:sz w:val="20"/>
        </w:rPr>
        <w:t xml:space="preserve"> </w:t>
      </w:r>
      <w:r>
        <w:rPr>
          <w:rFonts w:ascii="Arial" w:hAnsi="Arial"/>
          <w:b w:val="false"/>
          <w:sz w:val="20"/>
        </w:rPr>
        <w:t>beginning on August 1, 2021</w:t>
      </w:r>
      <w:r>
        <w:rPr>
          <w:rFonts w:ascii="Times New Roman" w:hAnsi="Times New Roman"/>
          <w:sz w:val="20"/>
        </w:rPr>
        <w:t xml:space="preserve"> </w:t>
      </w:r>
      <w:r>
        <w:rPr>
          <w:rFonts w:ascii="Arial" w:hAnsi="Arial"/>
          <w:b w:val="false"/>
          <w:sz w:val="20"/>
        </w:rPr>
        <w:t>and ending on July 31, 2026.</w:t>
      </w:r>
    </w:p>
    <w:p>
      <w:pPr>
        <w:pStyle w:val="TextBody"/>
        <w:spacing w:lineRule="auto" w:line="273" w:before="200" w:after="200"/>
        <w:jc w:val="left"/>
        <w:rPr>
          <w:rFonts w:ascii="Times New Roman" w:hAnsi="Times New Roman"/>
          <w:sz w:val="20"/>
        </w:rPr>
      </w:pPr>
      <w:r>
        <w:rPr>
          <w:rFonts w:ascii="Arial" w:hAnsi="Arial"/>
          <w:b w:val="false"/>
          <w:sz w:val="20"/>
        </w:rPr>
        <w:t>ROU assets are included in Other assets and operating lease liabilities are included in Other liabilities.</w:t>
      </w:r>
      <w:r>
        <w:rPr>
          <w:rFonts w:ascii="Times New Roman" w:hAnsi="Times New Roman"/>
          <w:sz w:val="20"/>
        </w:rPr>
        <w:t xml:space="preserve"> </w:t>
      </w:r>
    </w:p>
    <w:tbl>
      <w:tblPr>
        <w:tblW w:w="5398" w:type="dxa"/>
        <w:jc w:val="left"/>
        <w:tblInd w:w="0" w:type="dxa"/>
        <w:tblCellMar>
          <w:top w:w="28" w:type="dxa"/>
          <w:left w:w="28" w:type="dxa"/>
          <w:bottom w:w="28" w:type="dxa"/>
          <w:right w:w="28" w:type="dxa"/>
        </w:tblCellMar>
      </w:tblPr>
      <w:tblGrid>
        <w:gridCol w:w="3661"/>
        <w:gridCol w:w="146"/>
        <w:gridCol w:w="333"/>
        <w:gridCol w:w="927"/>
        <w:gridCol w:w="331"/>
      </w:tblGrid>
      <w:tr>
        <w:trPr/>
        <w:tc>
          <w:tcPr>
            <w:tcW w:w="36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 2022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6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ROU assets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92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2,804</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6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shd w:fill="auto" w:val="clear"/>
            <w:vAlign w:val="center"/>
          </w:tcPr>
          <w:p>
            <w:pPr>
              <w:pStyle w:val="TableContents"/>
              <w:spacing w:lineRule="auto" w:line="252" w:before="0" w:after="0"/>
              <w:ind w:left="0" w:right="0" w:hanging="0"/>
              <w:jc w:val="left"/>
              <w:rPr/>
            </w:pPr>
            <w:r>
              <w:rPr/>
              <w:t> </w:t>
            </w:r>
          </w:p>
        </w:tc>
        <w:tc>
          <w:tcPr>
            <w:tcW w:w="92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3,695</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6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remaining lease terms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shd w:fill="auto" w:val="clear"/>
            <w:vAlign w:val="center"/>
          </w:tcPr>
          <w:p>
            <w:pPr>
              <w:pStyle w:val="TableContents"/>
              <w:spacing w:lineRule="auto" w:line="252" w:before="0" w:after="0"/>
              <w:ind w:left="0" w:right="0" w:hanging="0"/>
              <w:jc w:val="right"/>
              <w:rPr>
                <w:rFonts w:ascii="Times New Roman" w:hAnsi="Times New Roman"/>
                <w:sz w:val="20"/>
              </w:rPr>
            </w:pPr>
            <w:r>
              <w:rPr>
                <w:rFonts w:ascii="Arial" w:hAnsi="Arial"/>
                <w:b w:val="false"/>
                <w:sz w:val="20"/>
              </w:rPr>
              <w:t>2.16</w:t>
            </w:r>
            <w:r>
              <w:rPr>
                <w:rFonts w:ascii="Times New Roman" w:hAnsi="Times New Roman"/>
                <w:sz w:val="20"/>
              </w:rPr>
              <w:t> </w:t>
            </w:r>
            <w:r>
              <w:rPr>
                <w:rFonts w:ascii="Arial" w:hAnsi="Arial"/>
                <w:b w:val="false"/>
                <w:sz w:val="20"/>
              </w:rPr>
              <w:t>years</w:t>
            </w:r>
          </w:p>
        </w:tc>
        <w:tc>
          <w:tcPr>
            <w:tcW w:w="331" w:type="dxa"/>
            <w:tcBorders/>
            <w:shd w:fill="auto" w:val="clear"/>
            <w:vAlign w:val="center"/>
          </w:tcPr>
          <w:p>
            <w:pPr>
              <w:pStyle w:val="TableContents"/>
              <w:spacing w:lineRule="auto" w:line="252" w:before="0" w:after="0"/>
              <w:ind w:left="0" w:right="0" w:hanging="0"/>
              <w:jc w:val="right"/>
              <w:rPr/>
            </w:pPr>
            <w:r>
              <w:rPr/>
              <w:t> </w:t>
            </w:r>
          </w:p>
        </w:tc>
      </w:tr>
      <w:tr>
        <w:trPr/>
        <w:tc>
          <w:tcPr>
            <w:tcW w:w="36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Weighted-average discount rate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33" w:type="dxa"/>
            <w:tcBorders/>
            <w:shd w:fill="auto" w:val="clear"/>
            <w:vAlign w:val="center"/>
          </w:tcPr>
          <w:p>
            <w:pPr>
              <w:pStyle w:val="TableContents"/>
              <w:spacing w:lineRule="auto" w:line="252" w:before="0" w:after="0"/>
              <w:ind w:left="0" w:right="0" w:hanging="0"/>
              <w:jc w:val="left"/>
              <w:rPr/>
            </w:pPr>
            <w:r>
              <w:rPr/>
              <w:t> </w:t>
            </w:r>
          </w:p>
        </w:tc>
        <w:tc>
          <w:tcPr>
            <w:tcW w:w="927"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200" w:after="200"/>
        <w:jc w:val="left"/>
        <w:rPr>
          <w:rFonts w:ascii="Arial" w:hAnsi="Arial"/>
          <w:b w:val="false"/>
          <w:sz w:val="20"/>
        </w:rPr>
      </w:pPr>
      <w:r>
        <w:rPr>
          <w:rFonts w:ascii="Arial" w:hAnsi="Arial"/>
          <w:b w:val="false"/>
          <w:sz w:val="20"/>
        </w:rPr>
        <w:t>Supplemental cash flow information related to leases was as follows:</w:t>
      </w:r>
    </w:p>
    <w:tbl>
      <w:tblPr>
        <w:tblW w:w="8663" w:type="dxa"/>
        <w:jc w:val="left"/>
        <w:tblInd w:w="0" w:type="dxa"/>
        <w:tblCellMar>
          <w:top w:w="28" w:type="dxa"/>
          <w:left w:w="28" w:type="dxa"/>
          <w:bottom w:w="28" w:type="dxa"/>
          <w:right w:w="28" w:type="dxa"/>
        </w:tblCellMar>
      </w:tblPr>
      <w:tblGrid>
        <w:gridCol w:w="7066"/>
        <w:gridCol w:w="146"/>
        <w:gridCol w:w="420"/>
        <w:gridCol w:w="840"/>
        <w:gridCol w:w="191"/>
      </w:tblGrid>
      <w:tr>
        <w:trPr/>
        <w:tc>
          <w:tcPr>
            <w:tcW w:w="70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066" w:type="dxa"/>
            <w:tcBorders/>
            <w:shd w:fill="auto" w:val="clear"/>
            <w:vAlign w:val="center"/>
          </w:tcPr>
          <w:p>
            <w:pPr>
              <w:pStyle w:val="TableContents"/>
              <w:spacing w:lineRule="auto" w:line="252" w:before="0" w:after="0"/>
              <w:ind w:left="0" w:right="0" w:hanging="0"/>
              <w:jc w:val="left"/>
              <w:rPr>
                <w:rFonts w:ascii="Arial" w:hAnsi="Arial"/>
                <w:b/>
                <w:sz w:val="16"/>
              </w:rPr>
            </w:pPr>
            <w:r>
              <w:rPr>
                <w:rFonts w:ascii="Arial" w:hAnsi="Arial"/>
                <w:b/>
                <w:sz w:val="16"/>
              </w:rPr>
              <w:t>(in thousands)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March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70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Cash paid for amounts included in the measurement of operating lease liabilities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2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84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659</w:t>
            </w:r>
          </w:p>
        </w:tc>
        <w:tc>
          <w:tcPr>
            <w:tcW w:w="19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Future minimum lease payments as of March 31, 2022, were as follows (in thousands):</w:t>
      </w:r>
      <w:r>
        <w:rPr>
          <w:rFonts w:ascii="Times New Roman" w:hAnsi="Times New Roman"/>
          <w:sz w:val="20"/>
        </w:rPr>
        <w:t xml:space="preserve"> </w:t>
      </w:r>
    </w:p>
    <w:tbl>
      <w:tblPr>
        <w:tblW w:w="4485" w:type="dxa"/>
        <w:jc w:val="left"/>
        <w:tblInd w:w="0" w:type="dxa"/>
        <w:tblCellMar>
          <w:top w:w="28" w:type="dxa"/>
          <w:left w:w="28" w:type="dxa"/>
          <w:bottom w:w="28" w:type="dxa"/>
          <w:right w:w="28" w:type="dxa"/>
        </w:tblCellMar>
      </w:tblPr>
      <w:tblGrid>
        <w:gridCol w:w="3211"/>
        <w:gridCol w:w="146"/>
        <w:gridCol w:w="211"/>
        <w:gridCol w:w="586"/>
        <w:gridCol w:w="331"/>
      </w:tblGrid>
      <w:tr>
        <w:trPr/>
        <w:tc>
          <w:tcPr>
            <w:tcW w:w="3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sz w:val="18"/>
              </w:rPr>
            </w:pPr>
            <w:r>
              <w:rPr>
                <w:rFonts w:ascii="Arial" w:hAnsi="Arial"/>
                <w:b/>
                <w:sz w:val="18"/>
              </w:rPr>
              <w:t>Years Ending December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left"/>
              <w:rPr/>
            </w:pPr>
            <w:r>
              <w:rPr/>
              <w:t> </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'2022 (remaining nine months)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1,337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1,557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498</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Thereafter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40"/>
              <w:jc w:val="left"/>
              <w:rPr/>
            </w:pPr>
            <w:r>
              <w:rPr/>
              <w:t> </w:t>
            </w:r>
          </w:p>
        </w:tc>
      </w:tr>
      <w:tr>
        <w:trPr/>
        <w:tc>
          <w:tcPr>
            <w:tcW w:w="321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Total undiscounted lease payments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3,500</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40"/>
              <w:jc w:val="left"/>
              <w:rPr/>
            </w:pPr>
            <w:r>
              <w:rPr/>
              <w:t> </w:t>
            </w:r>
          </w:p>
        </w:tc>
      </w:tr>
      <w:tr>
        <w:trPr/>
        <w:tc>
          <w:tcPr>
            <w:tcW w:w="321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Less - present value discount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295</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40"/>
              <w:jc w:val="left"/>
              <w:rPr/>
            </w:pPr>
            <w:r>
              <w:rPr/>
              <w:t> </w:t>
            </w:r>
          </w:p>
        </w:tc>
      </w:tr>
      <w:tr>
        <w:trPr/>
        <w:tc>
          <w:tcPr>
            <w:tcW w:w="321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Lease Liability, at present value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3,205</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 xml:space="preserve">Future minimum lease payments as of December 31, 2021, prior to the adoption of ASC 842 as described in </w:t>
      </w:r>
      <w:r>
        <w:rPr>
          <w:rFonts w:ascii="Arial" w:hAnsi="Arial"/>
          <w:b w:val="false"/>
          <w:i/>
          <w:sz w:val="20"/>
        </w:rPr>
        <w:t xml:space="preserve">Note 1 - Business Overview and Summary of Significant Accounting Policies, </w:t>
      </w:r>
      <w:r>
        <w:rPr>
          <w:rFonts w:ascii="Arial" w:hAnsi="Arial"/>
          <w:b w:val="false"/>
          <w:sz w:val="20"/>
        </w:rPr>
        <w:t>were as follows:</w:t>
      </w:r>
    </w:p>
    <w:tbl>
      <w:tblPr>
        <w:tblW w:w="3780" w:type="dxa"/>
        <w:jc w:val="left"/>
        <w:tblInd w:w="0" w:type="dxa"/>
        <w:tblCellMar>
          <w:top w:w="28" w:type="dxa"/>
          <w:left w:w="28" w:type="dxa"/>
          <w:bottom w:w="28" w:type="dxa"/>
          <w:right w:w="28" w:type="dxa"/>
        </w:tblCellMar>
      </w:tblPr>
      <w:tblGrid>
        <w:gridCol w:w="2506"/>
        <w:gridCol w:w="146"/>
        <w:gridCol w:w="211"/>
        <w:gridCol w:w="586"/>
        <w:gridCol w:w="331"/>
      </w:tblGrid>
      <w:tr>
        <w:trPr/>
        <w:tc>
          <w:tcPr>
            <w:tcW w:w="2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506" w:type="dxa"/>
            <w:tcBorders/>
            <w:shd w:fill="auto" w:val="clear"/>
            <w:vAlign w:val="center"/>
          </w:tcPr>
          <w:p>
            <w:pPr>
              <w:pStyle w:val="TableContents"/>
              <w:spacing w:lineRule="auto" w:line="252" w:before="0" w:after="0"/>
              <w:ind w:left="0" w:right="0" w:hanging="0"/>
              <w:jc w:val="left"/>
              <w:rPr>
                <w:rFonts w:ascii="Arial" w:hAnsi="Arial"/>
                <w:b/>
                <w:sz w:val="18"/>
              </w:rPr>
            </w:pPr>
            <w:r>
              <w:rPr>
                <w:rFonts w:ascii="Arial" w:hAnsi="Arial"/>
                <w:b/>
                <w:sz w:val="18"/>
              </w:rPr>
              <w:t>Years Ending December 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797" w:type="dxa"/>
            <w:gridSpan w:val="2"/>
            <w:tcBorders/>
            <w:shd w:fill="auto" w:val="clear"/>
            <w:vAlign w:val="center"/>
          </w:tcPr>
          <w:p>
            <w:pPr>
              <w:pStyle w:val="TableContents"/>
              <w:spacing w:lineRule="auto" w:line="252" w:before="0" w:after="0"/>
              <w:ind w:left="0" w:right="0" w:hanging="0"/>
              <w:jc w:val="left"/>
              <w:rPr/>
            </w:pPr>
            <w:r>
              <w:rPr/>
              <w:t> </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1,848</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1,567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500</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2025</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8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73</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5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2026</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40"/>
              <w:jc w:val="left"/>
              <w:rPr/>
            </w:pPr>
            <w:r>
              <w:rPr/>
              <w:t> </w:t>
            </w:r>
          </w:p>
        </w:tc>
      </w:tr>
      <w:tr>
        <w:trPr/>
        <w:tc>
          <w:tcPr>
            <w:tcW w:w="2506" w:type="dxa"/>
            <w:tcBorders/>
            <w:shd w:fill="auto" w:val="clear"/>
            <w:vAlign w:val="center"/>
          </w:tcPr>
          <w:p>
            <w:pPr>
              <w:pStyle w:val="TableContents"/>
              <w:spacing w:lineRule="auto" w:line="252" w:before="0" w:after="0"/>
              <w:ind w:left="14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4,020</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The components of operating lease expense during the three months ended March 31, 2022 is shown on the table below (in thousands), while rent expense for the three months ending March 31, 2021 was $0.5</w:t>
      </w:r>
      <w:r>
        <w:rPr>
          <w:rFonts w:ascii="Times New Roman" w:hAnsi="Times New Roman"/>
          <w:sz w:val="20"/>
        </w:rPr>
        <w:t xml:space="preserve"> </w:t>
      </w:r>
      <w:r>
        <w:rPr>
          <w:rFonts w:ascii="Arial" w:hAnsi="Arial"/>
          <w:b w:val="false"/>
          <w:sz w:val="20"/>
        </w:rPr>
        <w:t>million.</w:t>
      </w:r>
    </w:p>
    <w:tbl>
      <w:tblPr>
        <w:tblW w:w="3840" w:type="dxa"/>
        <w:jc w:val="left"/>
        <w:tblInd w:w="0" w:type="dxa"/>
        <w:tblCellMar>
          <w:top w:w="28" w:type="dxa"/>
          <w:left w:w="28" w:type="dxa"/>
          <w:bottom w:w="28" w:type="dxa"/>
          <w:right w:w="28" w:type="dxa"/>
        </w:tblCellMar>
      </w:tblPr>
      <w:tblGrid>
        <w:gridCol w:w="2731"/>
        <w:gridCol w:w="146"/>
        <w:gridCol w:w="211"/>
        <w:gridCol w:w="421"/>
        <w:gridCol w:w="33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384</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Short-term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122</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27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Variable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54</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140"/>
              <w:jc w:val="left"/>
              <w:rPr/>
            </w:pPr>
            <w:r>
              <w:rPr/>
              <w:t> </w:t>
            </w:r>
          </w:p>
        </w:tc>
      </w:tr>
      <w:tr>
        <w:trPr/>
        <w:tc>
          <w:tcPr>
            <w:tcW w:w="273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Total operating lease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560</w:t>
            </w:r>
          </w:p>
        </w:tc>
        <w:tc>
          <w:tcPr>
            <w:tcW w:w="3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0" w:after="0"/>
        <w:jc w:val="left"/>
        <w:rPr/>
      </w:pPr>
      <w:r>
        <w:rPr/>
        <w:t> </w:t>
      </w:r>
    </w:p>
    <w:p>
      <w:pPr>
        <w:pStyle w:val="TextBody"/>
        <w:spacing w:lineRule="auto" w:line="273" w:before="360" w:after="0"/>
        <w:jc w:val="left"/>
        <w:rPr>
          <w:rFonts w:ascii="Arial" w:hAnsi="Arial"/>
          <w:b/>
          <w:sz w:val="20"/>
        </w:rPr>
      </w:pPr>
      <w:r>
        <w:rPr>
          <w:rFonts w:ascii="Arial" w:hAnsi="Arial"/>
          <w:b/>
          <w:sz w:val="20"/>
        </w:rPr>
        <w:t>16.</w:t>
      </w:r>
    </w:p>
    <w:p>
      <w:pPr>
        <w:pStyle w:val="TextBody"/>
        <w:spacing w:lineRule="auto" w:line="273" w:before="360" w:after="283"/>
        <w:jc w:val="left"/>
        <w:rPr>
          <w:rFonts w:ascii="Arial" w:hAnsi="Arial"/>
          <w:b/>
          <w:sz w:val="20"/>
        </w:rPr>
      </w:pPr>
      <w:r>
        <w:rPr>
          <w:rFonts w:ascii="Arial" w:hAnsi="Arial"/>
          <w:b/>
          <w:sz w:val="20"/>
        </w:rPr>
        <w:t>Commitments and Contingencies</w:t>
      </w:r>
    </w:p>
    <w:p>
      <w:pPr>
        <w:pStyle w:val="TextBody"/>
        <w:spacing w:lineRule="auto" w:line="273" w:before="200" w:after="200"/>
        <w:jc w:val="left"/>
        <w:rPr>
          <w:rFonts w:ascii="Times New Roman" w:hAnsi="Times New Roman"/>
          <w:sz w:val="20"/>
        </w:rPr>
      </w:pPr>
      <w:r>
        <w:rPr>
          <w:rFonts w:ascii="Arial" w:hAnsi="Arial"/>
          <w:b/>
          <w:i/>
          <w:sz w:val="20"/>
        </w:rPr>
        <w:t>Legal proceedings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Company is subject to various legal proceedings and claims from time to time, the outcomes of which are subject to significant uncertainty. The Company records an accrual for legal contingencies when it has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pStyle w:val="TextBody"/>
        <w:spacing w:lineRule="auto" w:line="273" w:before="200" w:after="200"/>
        <w:jc w:val="left"/>
        <w:rPr>
          <w:rFonts w:ascii="Times New Roman" w:hAnsi="Times New Roman"/>
          <w:sz w:val="20"/>
        </w:rPr>
      </w:pPr>
      <w:r>
        <w:rPr>
          <w:rFonts w:ascii="Arial" w:hAnsi="Arial"/>
          <w:b w:val="false"/>
          <w:sz w:val="20"/>
        </w:rPr>
        <w:t>As of March 31, 2022, the Company was not aware of any pending legal matters or claims, individually or in the aggregate, that are expected to have a material adverse effect on its financial position, results of operations, or cash flows.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Indemnification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the ordinary course of business, the Company agrees to indemnify certain partners and clients against third-party claims asserting infringement of certain intellectual property rights, data privacy breaches, damages caused to property or persons, or other liabilities relating to or arising from the Company’s payment platform or other contractual obligations.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for the periods ended March 31, 2022 and December 31, 2021.</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24</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Times New Roman" w:hAnsi="Times New Roman"/>
          <w:sz w:val="20"/>
        </w:rPr>
      </w:pPr>
      <w:bookmarkStart w:id="13" w:name="item_2_management"/>
      <w:bookmarkEnd w:id="13"/>
      <w:r>
        <w:rPr>
          <w:rFonts w:ascii="Arial" w:hAnsi="Arial"/>
          <w:b/>
          <w:sz w:val="20"/>
        </w:rPr>
        <w:t>Ite</w:t>
      </w:r>
      <w:bookmarkStart w:id="14" w:name="item_2_managements_discussion"/>
      <w:bookmarkEnd w:id="14"/>
      <w:r>
        <w:rPr>
          <w:rFonts w:ascii="Arial" w:hAnsi="Arial"/>
          <w:b/>
          <w:sz w:val="20"/>
        </w:rPr>
        <w:t>m 2. Management’s Discussion and Analysis of Financial Condition and Results of Operations</w:t>
      </w:r>
    </w:p>
    <w:p>
      <w:pPr>
        <w:pStyle w:val="TextBody"/>
        <w:spacing w:lineRule="auto" w:line="273" w:before="200" w:after="200"/>
        <w:jc w:val="left"/>
        <w:rPr>
          <w:rFonts w:ascii="Times New Roman" w:hAnsi="Times New Roman"/>
          <w:sz w:val="20"/>
        </w:rPr>
      </w:pPr>
      <w:r>
        <w:rPr>
          <w:rFonts w:ascii="Arial" w:hAnsi="Arial"/>
          <w:b w:val="false"/>
          <w:i/>
          <w:sz w:val="20"/>
        </w:rPr>
        <w:t xml:space="preserve">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Quarterly Report on Form 10-Q includes forward-looking statements that involve risks and uncertainties. You should read the sections titled "Special Note Regarding Forward-Looking Statements” and </w:t>
      </w:r>
      <w:r>
        <w:rPr>
          <w:rFonts w:ascii="Times New Roman" w:hAnsi="Times New Roman"/>
          <w:sz w:val="20"/>
        </w:rPr>
        <w:t>“</w:t>
      </w:r>
      <w:r>
        <w:rPr>
          <w:rFonts w:ascii="Arial" w:hAnsi="Arial"/>
          <w:b w:val="false"/>
          <w:i/>
          <w:sz w:val="20"/>
        </w:rPr>
        <w:t>Risk Factors”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Overview</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pStyle w:val="TextBody"/>
        <w:spacing w:lineRule="auto" w:line="273" w:before="200" w:after="200"/>
        <w:jc w:val="left"/>
        <w:rPr>
          <w:rFonts w:ascii="Times New Roman" w:hAnsi="Times New Roman"/>
          <w:sz w:val="20"/>
        </w:rPr>
      </w:pPr>
      <w:r>
        <w:rPr>
          <w:rFonts w:ascii="Arial" w:hAnsi="Arial"/>
          <w:b w:val="false"/>
          <w:sz w:val="20"/>
        </w:rPr>
        <w:t xml:space="preserve">Our </w:t>
      </w:r>
      <w:r>
        <w:rPr>
          <w:rFonts w:ascii="Arial" w:hAnsi="Arial"/>
          <w:b w:val="false"/>
          <w:i/>
          <w:sz w:val="20"/>
        </w:rPr>
        <w:t>Flywire Advantage</w:t>
      </w:r>
      <w:r>
        <w:rPr>
          <w:rFonts w:ascii="Times New Roman" w:hAnsi="Times New Roman"/>
          <w:sz w:val="20"/>
        </w:rPr>
        <w:t xml:space="preserve"> </w:t>
      </w:r>
      <w:r>
        <w:rPr>
          <w:rFonts w:ascii="Arial" w:hAnsi="Arial"/>
          <w:b w:val="false"/>
          <w:sz w:val="20"/>
        </w:rPr>
        <w:t>is derived from three core elements: (i) our next-gen payments platform; (ii) our proprietary global payment network; and (iii) our vertical-specific software backed by our deep industry expertise. With our Flywire Advantage,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pStyle w:val="TextBody"/>
        <w:spacing w:lineRule="auto" w:line="273" w:before="200" w:after="200"/>
        <w:jc w:val="left"/>
        <w:rPr>
          <w:rFonts w:ascii="Arial" w:hAnsi="Arial"/>
          <w:b w:val="false"/>
          <w:sz w:val="20"/>
        </w:rPr>
      </w:pPr>
      <w:r>
        <w:rPr>
          <w:rFonts w:ascii="Arial" w:hAnsi="Arial"/>
          <w:b w:val="false"/>
          <w:sz w:val="20"/>
        </w:rPr>
        <w:t>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Flywire Advantage has been recognized, with global financial institutions and technology providers choosing to form channel partnerships with us. These partnerships promote organic referral and lead generation opportunities and enhance our indirect sales strategy.</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25</w:t>
      </w:r>
    </w:p>
    <w:p>
      <w:pPr>
        <w:pStyle w:val="HorizontalLine"/>
        <w:rPr/>
      </w:pPr>
      <w:r>
        <w:rPr/>
      </w:r>
    </w:p>
    <w:p>
      <w:pPr>
        <w:pStyle w:val="TextBody"/>
        <w:spacing w:lineRule="auto" w:line="273" w:before="0" w:after="0"/>
        <w:jc w:val="left"/>
        <w:rPr/>
      </w:pPr>
      <w:r>
        <w:rPr/>
        <w:t> </w:t>
      </w:r>
    </w:p>
    <w:p>
      <w:pPr>
        <w:pStyle w:val="TextBody"/>
        <w:spacing w:lineRule="auto" w:line="273" w:before="240" w:after="0"/>
        <w:jc w:val="center"/>
        <w:rPr/>
      </w:pPr>
      <w:r>
        <w:rPr/>
        <w:drawing>
          <wp:inline distT="0" distB="0" distL="0" distR="0">
            <wp:extent cx="5372100" cy="3762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72100" cy="3762375"/>
                    </a:xfrm>
                    <a:prstGeom prst="rect">
                      <a:avLst/>
                    </a:prstGeom>
                  </pic:spPr>
                </pic:pic>
              </a:graphicData>
            </a:graphic>
          </wp:inline>
        </w:drawing>
      </w:r>
      <w:r>
        <w:rPr/>
        <w:t> </w:t>
      </w:r>
    </w:p>
    <w:p>
      <w:pPr>
        <w:pStyle w:val="TextBody"/>
        <w:spacing w:lineRule="auto" w:line="273" w:before="200" w:after="200"/>
        <w:jc w:val="left"/>
        <w:rPr>
          <w:rFonts w:ascii="Times New Roman" w:hAnsi="Times New Roman"/>
          <w:sz w:val="20"/>
        </w:rPr>
      </w:pPr>
      <w:r>
        <w:rPr>
          <w:rFonts w:ascii="Arial" w:hAnsi="Arial"/>
          <w:b w:val="false"/>
          <w:sz w:val="20"/>
        </w:rPr>
        <w:t>The combination of our differentiated solution and efficient go-to-market strategy has resulted in strong and consistent client growth.</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i/>
          <w:sz w:val="20"/>
        </w:rPr>
        <w:t>Rapid domestic and international payments volume growth</w:t>
      </w:r>
      <w:r>
        <w:rPr>
          <w:rFonts w:ascii="Arial" w:hAnsi="Arial"/>
          <w:b w:val="false"/>
          <w:i/>
          <w:sz w:val="20"/>
        </w:rPr>
        <w:t xml:space="preserve">. </w:t>
      </w:r>
      <w:r>
        <w:rPr>
          <w:rFonts w:ascii="Arial" w:hAnsi="Arial"/>
          <w:b w:val="false"/>
          <w:sz w:val="20"/>
        </w:rPr>
        <w:t xml:space="preserve">We have grown our total payment volume by approximately 46.0% period-over-period from $2.9 billion during the three months ended March 31, 2021 to $4.2 billion during the three months ended March 31, 2022.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i/>
          <w:sz w:val="20"/>
        </w:rPr>
        <w:t>Expanded global payments network</w:t>
      </w:r>
      <w:r>
        <w:rPr>
          <w:rFonts w:ascii="Arial" w:hAnsi="Arial"/>
          <w:b w:val="false"/>
          <w:i/>
          <w:sz w:val="20"/>
        </w:rPr>
        <w:t xml:space="preserve">. </w:t>
      </w:r>
      <w:r>
        <w:rPr>
          <w:rFonts w:ascii="Arial" w:hAnsi="Arial"/>
          <w:b w:val="false"/>
          <w:sz w:val="20"/>
        </w:rPr>
        <w:t xml:space="preserve">We have continued to add to the capabilities of our payment network by means of new local bank accounts and payment partners, and have expanded our global reach to over 240 countries and territories and more than 140 currencies.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i/>
          <w:sz w:val="20"/>
        </w:rPr>
        <w:t>Enjoyable and personalized user experience</w:t>
      </w:r>
      <w:r>
        <w:rPr>
          <w:rFonts w:ascii="Arial" w:hAnsi="Arial"/>
          <w:b w:val="false"/>
          <w:i/>
          <w:sz w:val="20"/>
        </w:rPr>
        <w:t>.</w:t>
      </w:r>
      <w:r>
        <w:rPr/>
        <w:t xml:space="preserve"> </w:t>
      </w:r>
      <w:r>
        <w:rPr>
          <w:rFonts w:ascii="Arial" w:hAnsi="Arial"/>
          <w:b w:val="false"/>
          <w:sz w:val="20"/>
        </w:rPr>
        <w:t xml:space="preserve">Our net promoter score (NPS) score of 64 in fiscal year 2020 demonstrates a strong affinity among our clients for our platform.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i/>
          <w:sz w:val="20"/>
        </w:rPr>
        <w:t>Strong dollar-based net retention</w:t>
      </w:r>
      <w:r>
        <w:rPr>
          <w:rFonts w:ascii="Arial" w:hAnsi="Arial"/>
          <w:b w:val="false"/>
          <w:i/>
          <w:sz w:val="20"/>
        </w:rPr>
        <w:t>.</w:t>
      </w:r>
      <w:r>
        <w:rPr/>
        <w:t xml:space="preserve"> </w:t>
      </w:r>
      <w:r>
        <w:rPr>
          <w:rFonts w:ascii="Arial" w:hAnsi="Arial"/>
          <w:b w:val="false"/>
          <w:sz w:val="20"/>
        </w:rPr>
        <w:t xml:space="preserve">For the year ended December 31, 2021, our annual net dollar-based retention rate was approximately 140%. We calculate the annual net dollar-based retention rate for a given year based on the weighted average of the quarterly net dollar-based retention rates for each 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 </w:t>
      </w:r>
    </w:p>
    <w:p>
      <w:pPr>
        <w:pStyle w:val="TextBody"/>
        <w:spacing w:lineRule="auto" w:line="273" w:before="200" w:after="200"/>
        <w:jc w:val="left"/>
        <w:rPr>
          <w:rFonts w:ascii="Times New Roman" w:hAnsi="Times New Roman"/>
          <w:sz w:val="20"/>
        </w:rPr>
      </w:pPr>
      <w:r>
        <w:rPr>
          <w:rFonts w:ascii="Arial" w:hAnsi="Arial"/>
          <w:b w:val="false"/>
          <w:sz w:val="20"/>
        </w:rPr>
        <w:t>As of March 31, 2022, we serve over 2,700 clients around the world. In education, we serve more than 2,000 institutions and 2.0 million students globally. In healthcare, we power more than 80 healthcare systems, including</w:t>
      </w:r>
      <w:r>
        <w:rPr>
          <w:rFonts w:ascii="Times New Roman" w:hAnsi="Times New Roman"/>
          <w:sz w:val="20"/>
        </w:rPr>
        <w:t xml:space="preserve"> </w:t>
      </w:r>
      <w:r>
        <w:rPr>
          <w:rFonts w:ascii="Arial" w:hAnsi="Arial"/>
          <w:b w:val="false"/>
          <w:sz w:val="20"/>
        </w:rPr>
        <w:t>four of the top 10 healthcare systems in</w:t>
      </w:r>
      <w:r>
        <w:rPr>
          <w:rFonts w:ascii="Times New Roman" w:hAnsi="Times New Roman"/>
          <w:sz w:val="20"/>
        </w:rPr>
        <w:t xml:space="preserve"> </w:t>
      </w:r>
      <w:r>
        <w:rPr>
          <w:rFonts w:ascii="Arial" w:hAnsi="Arial"/>
          <w:b w:val="false"/>
          <w:sz w:val="20"/>
        </w:rPr>
        <w:t>the United States ranked by hospital size as of December 31, 2021. In our newer payment verticals of travel and business-to-business (B2B) payments, we have a growing portfolio of more than 420 clients as of</w:t>
      </w:r>
      <w:r>
        <w:rPr>
          <w:rFonts w:ascii="Times New Roman" w:hAnsi="Times New Roman"/>
          <w:sz w:val="20"/>
        </w:rPr>
        <w:t xml:space="preserve"> </w:t>
      </w:r>
      <w:r>
        <w:rPr>
          <w:rFonts w:ascii="Arial" w:hAnsi="Arial"/>
          <w:b w:val="false"/>
          <w:sz w:val="20"/>
        </w:rPr>
        <w:t>as of March 31, 2022.</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success in building our client base around the world and expanding utilization by our clients’ customers has allowed us to achieve significant scale. We enabled more than $13.2 billion and $4.2 billion in total payment volume during the year ended December 31, 2021 and</w:t>
      </w:r>
      <w:r>
        <w:rPr>
          <w:rFonts w:ascii="Times New Roman" w:hAnsi="Times New Roman"/>
          <w:sz w:val="20"/>
        </w:rPr>
        <w:t xml:space="preserve"> </w:t>
      </w:r>
      <w:r>
        <w:rPr>
          <w:rFonts w:ascii="Arial" w:hAnsi="Arial"/>
          <w:b w:val="false"/>
          <w:sz w:val="20"/>
        </w:rPr>
        <w:t>three months ended March 31, 2022, respectively. We generated revenue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of $201.1 million and $131.8 million for the years ended December 31, 2021 and 2020, respectively, and incurred net losses of $28.1 million and $11.1 million for those same years.</w:t>
      </w:r>
    </w:p>
    <w:p>
      <w:pPr>
        <w:pStyle w:val="TextBody"/>
        <w:spacing w:lineRule="auto" w:line="273" w:before="200" w:after="200"/>
        <w:jc w:val="left"/>
        <w:rPr>
          <w:rFonts w:ascii="Arial" w:hAnsi="Arial"/>
          <w:b w:val="false"/>
          <w:sz w:val="20"/>
        </w:rPr>
      </w:pPr>
      <w:r>
        <w:rPr>
          <w:rFonts w:ascii="Arial" w:hAnsi="Arial"/>
          <w:b w:val="false"/>
          <w:sz w:val="20"/>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pStyle w:val="TextBody"/>
        <w:spacing w:lineRule="auto" w:line="273" w:before="200" w:after="200"/>
        <w:jc w:val="left"/>
        <w:rPr>
          <w:rFonts w:ascii="Times New Roman" w:hAnsi="Times New Roman"/>
          <w:sz w:val="20"/>
        </w:rPr>
      </w:pPr>
      <w:r>
        <w:rPr>
          <w:rFonts w:ascii="Arial" w:hAnsi="Arial"/>
          <w:b w:val="false"/>
          <w:sz w:val="20"/>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(IT)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Initial Public Offering</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On May 28, 2021, we completed our IPO, in which we issued and sold 12,006,000 shares of common stock at a public offering price of $24.00 per share, which included 1,566,000 shares of common stock issued pursuant to the exercise in full of the underwriters' option to purchase additional shares. We received $263.8 million in net proceeds from the IPO, after deducting underwriting discounts and commissions of $19.4 million and other offering costs of $4.9 million.</w:t>
      </w:r>
    </w:p>
    <w:p>
      <w:pPr>
        <w:pStyle w:val="TextBody"/>
        <w:spacing w:lineRule="auto" w:line="273" w:before="200" w:after="200"/>
        <w:jc w:val="left"/>
        <w:rPr>
          <w:rFonts w:ascii="Arial" w:hAnsi="Arial"/>
          <w:b/>
          <w:sz w:val="20"/>
        </w:rPr>
      </w:pPr>
      <w:r>
        <w:rPr>
          <w:rFonts w:ascii="Arial" w:hAnsi="Arial"/>
          <w:b/>
          <w:sz w:val="20"/>
        </w:rPr>
        <w:t>Recent Acquisition</w:t>
      </w:r>
    </w:p>
    <w:p>
      <w:pPr>
        <w:pStyle w:val="TextBody"/>
        <w:spacing w:lineRule="auto" w:line="273" w:before="200" w:after="200"/>
        <w:jc w:val="left"/>
        <w:rPr>
          <w:rFonts w:ascii="Times New Roman" w:hAnsi="Times New Roman"/>
          <w:sz w:val="20"/>
        </w:rPr>
      </w:pPr>
      <w:r>
        <w:rPr>
          <w:rFonts w:ascii="Arial" w:hAnsi="Arial"/>
          <w:b w:val="false"/>
          <w:sz w:val="20"/>
        </w:rPr>
        <w:t>In December 2021, we acquired all of the issued and outstanding shares of WPM for a purchase price of $59.6 million including $56.1 million of cash consideration, net of cash acquired and the estimated fair value of contingent consideration of $3.5 million. The contingent consideration is payable at various intervals through March 2024 in the form of up to approximately 225,000 shares of common stock and is dependent upon the Company's achievement of specified minimum payment volume targets and integration targets established for the years ending December 31, 2022 and 2023. WPM is a leading software provider that enables seamless and secure payment experiences for universities and colleges across the U.K. The acquisition of WPM is intended to build on our existing education payments business and is expected to further accelerate our market share in the U.K. education sector. WPM contributed $1.7 million in platform revenue during the three months ended March 31, 2022.</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Our Revenue Model</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derive revenue from transactions and platform and usage-based fees.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 xml:space="preserve">Transaction revenue </w:t>
      </w:r>
      <w:r>
        <w:rPr>
          <w:rFonts w:ascii="Arial" w:hAnsi="Arial"/>
          <w:b w:val="false"/>
          <w:sz w:val="20"/>
        </w:rPr>
        <w:t>is earned from payment processing services provided to our clients. The fee earned on each transaction consists 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 xml:space="preserve">Platform and usage-based fee revenue </w:t>
      </w:r>
      <w:r>
        <w:rPr>
          <w:rFonts w:ascii="Arial" w:hAnsi="Arial"/>
          <w:b w:val="false"/>
          <w:sz w:val="20"/>
        </w:rPr>
        <w:t>includes (i) fees earned for the utilization of our payment platform to optimize cash collections, (ii) fees collected on payment plans established by our clients on our payment platform, (iii) subscription fees and (iv) fees related to printing and mailing services which we consider to be ancillary to the solutions we provide to our clients.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27</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sz w:val="20"/>
        </w:rPr>
        <w:t>Key Operating Metrics and Non-GAAP Financial Measures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following table sets forth our key operating metrics and non-GAAP measures for the periods presented:</w:t>
      </w:r>
      <w:r>
        <w:rPr>
          <w:rFonts w:ascii="Times New Roman" w:hAnsi="Times New Roman"/>
          <w:sz w:val="20"/>
        </w:rPr>
        <w:t xml:space="preserve"> </w:t>
      </w:r>
    </w:p>
    <w:tbl>
      <w:tblPr>
        <w:tblW w:w="5834" w:type="dxa"/>
        <w:jc w:val="left"/>
        <w:tblInd w:w="0" w:type="dxa"/>
        <w:tblCellMar>
          <w:top w:w="28" w:type="dxa"/>
          <w:left w:w="28" w:type="dxa"/>
          <w:bottom w:w="28" w:type="dxa"/>
          <w:right w:w="28" w:type="dxa"/>
        </w:tblCellMar>
      </w:tblPr>
      <w:tblGrid>
        <w:gridCol w:w="3001"/>
        <w:gridCol w:w="146"/>
        <w:gridCol w:w="211"/>
        <w:gridCol w:w="751"/>
        <w:gridCol w:w="286"/>
        <w:gridCol w:w="146"/>
        <w:gridCol w:w="211"/>
        <w:gridCol w:w="751"/>
        <w:gridCol w:w="331"/>
      </w:tblGrid>
      <w:tr>
        <w:trPr/>
        <w:tc>
          <w:tcPr>
            <w:tcW w:w="30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00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3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w:t>
              <w:br/>
              <w:t>March 31,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0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6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3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Total Payment Volume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4,173.7</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2,862.7</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64.6</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45.0</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59.3</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40.2</w:t>
            </w:r>
          </w:p>
        </w:tc>
        <w:tc>
          <w:tcPr>
            <w:tcW w:w="331" w:type="dxa"/>
            <w:tcBorders/>
            <w:shd w:fill="auto" w:val="clear"/>
            <w:vAlign w:val="center"/>
          </w:tcPr>
          <w:p>
            <w:pPr>
              <w:pStyle w:val="TableContents"/>
              <w:spacing w:lineRule="auto" w:line="252" w:before="0" w:after="0"/>
              <w:ind w:left="0" w:right="0" w:hanging="0"/>
              <w:jc w:val="left"/>
              <w:rPr/>
            </w:pPr>
            <w:r>
              <w:rPr/>
              <w:t> </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Gross Margin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60.1</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61.3</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Gross Margin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65.5</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68.7</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(8.7</w:t>
            </w:r>
          </w:p>
        </w:tc>
        <w:tc>
          <w:tcPr>
            <w:tcW w:w="3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00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EBITDA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5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w:t>
            </w:r>
          </w:p>
        </w:tc>
        <w:tc>
          <w:tcPr>
            <w:tcW w:w="331" w:type="dxa"/>
            <w:tcBorders/>
            <w:shd w:fill="auto" w:val="cle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sz w:val="20"/>
        </w:rPr>
        <w:t>For the three months ended March 31, 2022, transaction revenue and platform and usage-based fee revenue represented 75.4% and 24.6% of our revenue, respectively. For the three months ended March 31, 2022, transaction revenue and platform and usage-based fee revenue represented 81.5% and 18.5% of our total revenue less ancillary services, respectively.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For the three months ended March 31, 2021, transaction revenue and platform and usage-based fee revenue represented 72.0% and 28.0% of our revenue, respectively. For the three months ended March 31, 2021, transaction revenue and platform and usage-based fee revenue represented 79.9% and 20.1% of our total revenue less ancillary services, respectively.</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For the three months ended March 31, 2022, our total payment volume was approximately $4.2 billion, consisting of $2.5 billion of total payment volume from transactions included in transaction revenue, and $1.7 billion of total payment volume from transactions included in platform and usage-based fee revenue.</w:t>
      </w:r>
    </w:p>
    <w:p>
      <w:pPr>
        <w:pStyle w:val="TextBody"/>
        <w:spacing w:lineRule="auto" w:line="273" w:before="200" w:after="200"/>
        <w:jc w:val="left"/>
        <w:rPr>
          <w:rFonts w:ascii="Arial" w:hAnsi="Arial"/>
          <w:b w:val="false"/>
          <w:sz w:val="20"/>
        </w:rPr>
      </w:pPr>
      <w:r>
        <w:rPr>
          <w:rFonts w:ascii="Arial" w:hAnsi="Arial"/>
          <w:b w:val="false"/>
          <w:sz w:val="20"/>
        </w:rPr>
        <w:t>For the three months ended March 31, 2021, our total payment volume was approximately $2.9 billion, consisting of $1.7 billion of total payment volume from transactions included in transaction revenue, and $1.2 billion of total payment volume from transactions included in platform and usage-based fee revenue.</w:t>
      </w:r>
    </w:p>
    <w:p>
      <w:pPr>
        <w:pStyle w:val="TextBody"/>
        <w:spacing w:lineRule="auto" w:line="273" w:before="200" w:after="200"/>
        <w:jc w:val="left"/>
        <w:rPr>
          <w:rFonts w:ascii="Times New Roman" w:hAnsi="Times New Roman"/>
          <w:sz w:val="20"/>
        </w:rPr>
      </w:pPr>
      <w:r>
        <w:rPr>
          <w:rFonts w:ascii="Arial" w:hAnsi="Arial"/>
          <w:b/>
          <w:i/>
          <w:sz w:val="20"/>
        </w:rPr>
        <w:t>Total Payment Volume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Revenue Less Ancillary Services, Adjusted Gross Margin and Adjusted EBITDA</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val="false"/>
          <w:i/>
          <w:sz w:val="20"/>
        </w:rPr>
        <w:t>Revenue Less Ancillary Services -</w:t>
      </w:r>
      <w:r>
        <w:rPr/>
        <w:t xml:space="preserve"> </w:t>
      </w:r>
      <w:r>
        <w:rPr>
          <w:rFonts w:ascii="Arial" w:hAnsi="Arial"/>
          <w:b w:val="false"/>
          <w:sz w:val="20"/>
        </w:rPr>
        <w:t xml:space="preserve">Revenue less ancillary services represents our consolidated revenue in accordance with GAAP less (i) pass-through cost for printing and mailing services and (ii) marketing fees we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rFonts w:ascii="Arial" w:hAnsi="Arial"/>
          <w:b w:val="false"/>
          <w:sz w:val="20"/>
        </w:rPr>
        <w:t>receive. We exclude these amounts to arrive at this supplemental non-GAAP financial measure as we view these services as ancillary to the primary services we provide to our clients.</w:t>
      </w:r>
      <w:r>
        <w:rPr/>
        <w:t xml:space="preserve">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val="false"/>
          <w:i/>
          <w:sz w:val="20"/>
        </w:rPr>
        <w:t xml:space="preserve">Adjusted Gross Margin - </w:t>
      </w:r>
      <w:r>
        <w:rPr>
          <w:rFonts w:ascii="Arial" w:hAnsi="Arial"/>
          <w:b w:val="false"/>
          <w:sz w:val="20"/>
        </w:rPr>
        <w:t xml:space="preserve">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 </w:t>
      </w:r>
    </w:p>
    <w:p>
      <w:pPr>
        <w:pStyle w:val="TextBody"/>
        <w:spacing w:lineRule="auto" w:line="273" w:before="200" w:after="200"/>
        <w:jc w:val="left"/>
        <w:rPr/>
      </w:pPr>
      <w:r>
        <w:rPr/>
        <w:t>•</w:t>
      </w:r>
    </w:p>
    <w:p>
      <w:pPr>
        <w:pStyle w:val="TextBody"/>
        <w:spacing w:lineRule="auto" w:line="273" w:before="200" w:after="200"/>
        <w:jc w:val="left"/>
        <w:rPr/>
      </w:pPr>
      <w:r>
        <w:rPr>
          <w:rFonts w:ascii="Arial" w:hAnsi="Arial"/>
          <w:b w:val="false"/>
          <w:i/>
          <w:sz w:val="20"/>
        </w:rPr>
        <w:t xml:space="preserve">Adjusted EBITDA - </w:t>
      </w:r>
      <w:r>
        <w:rPr>
          <w:rFonts w:ascii="Arial" w:hAnsi="Arial"/>
          <w:b w:val="false"/>
          <w:sz w:val="20"/>
        </w:rPr>
        <w:t>Adjusted EBITDA</w:t>
      </w:r>
      <w:r>
        <w:rPr/>
        <w:t xml:space="preserve"> </w:t>
      </w:r>
      <w:r>
        <w:rPr>
          <w:rFonts w:ascii="Arial" w:hAnsi="Arial"/>
          <w:b w:val="false"/>
          <w:sz w:val="20"/>
        </w:rPr>
        <w:t xml:space="preserve">represents EBITDA further adjusted by excluding (i) stock-based compensation expense, (ii) the impact from the change in fair value measurement for contingent consideration associated with acquisitions, (iii) the impact from the change in fair value measurement of our preferred stock warrants prior to our IPO,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our business. </w:t>
      </w:r>
    </w:p>
    <w:p>
      <w:pPr>
        <w:pStyle w:val="TextBody"/>
        <w:spacing w:lineRule="auto" w:line="273" w:before="200" w:after="200"/>
        <w:jc w:val="left"/>
        <w:rPr>
          <w:rFonts w:ascii="Times New Roman" w:hAnsi="Times New Roman"/>
          <w:sz w:val="20"/>
        </w:rPr>
      </w:pPr>
      <w:r>
        <w:rPr>
          <w:rFonts w:ascii="Arial" w:hAnsi="Arial"/>
          <w:b w:val="false"/>
          <w:sz w:val="20"/>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Reconciliations of Non-GAAP Financial Measures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tables below provide reconciliations of Revenue Less Ancillary Services, Adjusted Gross Margin and Adjusted EBITDA to the most comparable GAAP figure on a consolidated basis for the periods presented.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Revenue Less Ancillary Services and Adjusted Gross Margin:</w:t>
      </w:r>
      <w:r>
        <w:rPr>
          <w:rFonts w:ascii="Times New Roman" w:hAnsi="Times New Roman"/>
          <w:sz w:val="20"/>
        </w:rPr>
        <w:t xml:space="preserve"> </w:t>
      </w:r>
    </w:p>
    <w:tbl>
      <w:tblPr>
        <w:tblW w:w="7209" w:type="dxa"/>
        <w:jc w:val="left"/>
        <w:tblInd w:w="0" w:type="dxa"/>
        <w:tblCellMar>
          <w:top w:w="28" w:type="dxa"/>
          <w:left w:w="28" w:type="dxa"/>
          <w:bottom w:w="28" w:type="dxa"/>
          <w:right w:w="28" w:type="dxa"/>
        </w:tblCellMar>
      </w:tblPr>
      <w:tblGrid>
        <w:gridCol w:w="4756"/>
        <w:gridCol w:w="146"/>
        <w:gridCol w:w="211"/>
        <w:gridCol w:w="481"/>
        <w:gridCol w:w="286"/>
        <w:gridCol w:w="146"/>
        <w:gridCol w:w="211"/>
        <w:gridCol w:w="481"/>
        <w:gridCol w:w="491"/>
      </w:tblGrid>
      <w:tr>
        <w:trPr/>
        <w:tc>
          <w:tcPr>
            <w:tcW w:w="47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7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81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w:t>
              <w:br/>
              <w:t>March 31,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64.6</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45.0</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to exclude gross up for: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47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Pass-through cost for printing and mailing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47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Marketing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(0.3</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59.3</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40.2</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Payment processing services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24.3</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16.1</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Hosting and amortization costs within technology and</w:t>
              <w:br/>
              <w:t>   development expenses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to:</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692"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47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Exclude printing and mailing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47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Offset marketing fees against related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(0.3</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Costs of 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20.5</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Gross Profit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38.8</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27.6</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Gross Margin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60.1</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61.3</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Gross Profit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38.8</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27.6</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7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Gross Margin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65.5</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68.7</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0" w:after="0"/>
        <w:jc w:val="left"/>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29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 </w:t>
      </w:r>
    </w:p>
    <w:tbl>
      <w:tblPr>
        <w:tblW w:w="10068" w:type="dxa"/>
        <w:jc w:val="left"/>
        <w:tblInd w:w="0" w:type="dxa"/>
        <w:tblCellMar>
          <w:top w:w="28" w:type="dxa"/>
          <w:left w:w="28" w:type="dxa"/>
          <w:bottom w:w="28" w:type="dxa"/>
          <w:right w:w="28" w:type="dxa"/>
        </w:tblCellMar>
      </w:tblPr>
      <w:tblGrid>
        <w:gridCol w:w="4276"/>
        <w:gridCol w:w="146"/>
        <w:gridCol w:w="320"/>
        <w:gridCol w:w="731"/>
        <w:gridCol w:w="286"/>
        <w:gridCol w:w="146"/>
        <w:gridCol w:w="452"/>
        <w:gridCol w:w="1033"/>
        <w:gridCol w:w="286"/>
        <w:gridCol w:w="146"/>
        <w:gridCol w:w="464"/>
        <w:gridCol w:w="1291"/>
        <w:gridCol w:w="49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Transaction</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Platform and</w:t>
              <w:br/>
              <w:t>Usage-Based Fee</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w:t>
              <w:br/>
              <w:t>March 31,</w:t>
              <w:br/>
              <w:t>2022</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48.7</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right"/>
              <w:rPr/>
            </w:pPr>
            <w:r>
              <w:rPr/>
              <w:t> </w:t>
            </w:r>
          </w:p>
        </w:tc>
        <w:tc>
          <w:tcPr>
            <w:tcW w:w="45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2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64.6</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to exclude gross up for: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shd w:fill="auto" w:val="clear"/>
            <w:vAlign w:val="center"/>
          </w:tcPr>
          <w:p>
            <w:pPr>
              <w:pStyle w:val="TableContents"/>
              <w:spacing w:lineRule="auto" w:line="252" w:before="0" w:after="0"/>
              <w:ind w:left="0" w:right="0" w:hanging="0"/>
              <w:jc w:val="right"/>
              <w:rPr/>
            </w:pPr>
            <w:r>
              <w:rPr/>
              <w:t> </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5" w:type="dxa"/>
            <w:gridSpan w:val="2"/>
            <w:tcBorders/>
            <w:shd w:fill="auto" w:val="clear"/>
            <w:vAlign w:val="center"/>
          </w:tcPr>
          <w:p>
            <w:pPr>
              <w:pStyle w:val="TableContents"/>
              <w:spacing w:lineRule="auto" w:line="252" w:before="0" w:after="0"/>
              <w:ind w:left="0" w:right="0" w:hanging="0"/>
              <w:jc w:val="right"/>
              <w:rPr/>
            </w:pPr>
            <w:r>
              <w:rPr/>
              <w:t> </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5"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427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Pass-through cost for printing and mailing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pPr>
            <w:r>
              <w:rPr/>
              <w:t> </w:t>
            </w:r>
          </w:p>
        </w:tc>
        <w:tc>
          <w:tcPr>
            <w:tcW w:w="731" w:type="dxa"/>
            <w:tcBorders/>
            <w:shd w:fill="auto" w:val="clear"/>
            <w:vAlign w:val="center"/>
          </w:tcPr>
          <w:p>
            <w:pPr>
              <w:pStyle w:val="TableContents"/>
              <w:spacing w:lineRule="auto" w:line="252" w:before="0" w:after="0"/>
              <w:ind w:left="0" w:right="0" w:hanging="0"/>
              <w:jc w:val="right"/>
              <w:rPr/>
            </w:pPr>
            <w:r>
              <w:rPr/>
              <w:t>—</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4" w:type="dxa"/>
            <w:tcBorders/>
            <w:shd w:fill="auto" w:val="clear"/>
            <w:vAlign w:val="center"/>
          </w:tcPr>
          <w:p>
            <w:pPr>
              <w:pStyle w:val="TableContents"/>
              <w:spacing w:lineRule="auto" w:line="252" w:before="0" w:after="0"/>
              <w:ind w:left="0" w:right="0" w:hanging="0"/>
              <w:jc w:val="left"/>
              <w:rPr/>
            </w:pPr>
            <w:r>
              <w:rPr/>
              <w:t> </w:t>
            </w:r>
          </w:p>
        </w:tc>
        <w:tc>
          <w:tcPr>
            <w:tcW w:w="12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(4.9</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427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Marketing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48.3</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2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59.3</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Percentage of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pPr>
            <w:r>
              <w:rPr/>
              <w:t> </w:t>
            </w:r>
          </w:p>
        </w:tc>
        <w:tc>
          <w:tcPr>
            <w:tcW w:w="73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75.4</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24.6</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4" w:type="dxa"/>
            <w:tcBorders/>
            <w:shd w:fill="auto" w:val="clear"/>
            <w:vAlign w:val="center"/>
          </w:tcPr>
          <w:p>
            <w:pPr>
              <w:pStyle w:val="TableContents"/>
              <w:spacing w:lineRule="auto" w:line="252" w:before="0" w:after="0"/>
              <w:ind w:left="0" w:right="0" w:hanging="0"/>
              <w:jc w:val="left"/>
              <w:rPr/>
            </w:pPr>
            <w:r>
              <w:rPr/>
              <w:t> </w:t>
            </w:r>
          </w:p>
        </w:tc>
        <w:tc>
          <w:tcPr>
            <w:tcW w:w="12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100.0</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Percentage of 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pPr>
            <w:r>
              <w:rPr/>
              <w:t> </w:t>
            </w:r>
          </w:p>
        </w:tc>
        <w:tc>
          <w:tcPr>
            <w:tcW w:w="73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81.5</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18.5</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64" w:type="dxa"/>
            <w:tcBorders/>
            <w:shd w:fill="auto" w:val="clear"/>
            <w:vAlign w:val="center"/>
          </w:tcPr>
          <w:p>
            <w:pPr>
              <w:pStyle w:val="TableContents"/>
              <w:spacing w:lineRule="auto" w:line="252" w:before="0" w:after="0"/>
              <w:ind w:left="0" w:right="0" w:hanging="0"/>
              <w:jc w:val="left"/>
              <w:rPr/>
            </w:pPr>
            <w:r>
              <w:rPr/>
              <w:t> </w:t>
            </w:r>
          </w:p>
        </w:tc>
        <w:tc>
          <w:tcPr>
            <w:tcW w:w="12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100.0</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200" w:after="200"/>
        <w:jc w:val="left"/>
        <w:rPr/>
      </w:pPr>
      <w:r>
        <w:rPr/>
        <w:t> </w:t>
      </w:r>
    </w:p>
    <w:tbl>
      <w:tblPr>
        <w:tblW w:w="10068" w:type="dxa"/>
        <w:jc w:val="left"/>
        <w:tblInd w:w="0" w:type="dxa"/>
        <w:tblCellMar>
          <w:top w:w="28" w:type="dxa"/>
          <w:left w:w="28" w:type="dxa"/>
          <w:bottom w:w="28" w:type="dxa"/>
          <w:right w:w="28" w:type="dxa"/>
        </w:tblCellMar>
      </w:tblPr>
      <w:tblGrid>
        <w:gridCol w:w="4276"/>
        <w:gridCol w:w="146"/>
        <w:gridCol w:w="320"/>
        <w:gridCol w:w="731"/>
        <w:gridCol w:w="286"/>
        <w:gridCol w:w="146"/>
        <w:gridCol w:w="452"/>
        <w:gridCol w:w="1033"/>
        <w:gridCol w:w="286"/>
        <w:gridCol w:w="146"/>
        <w:gridCol w:w="534"/>
        <w:gridCol w:w="1221"/>
        <w:gridCol w:w="491"/>
      </w:tblGrid>
      <w:tr>
        <w:trPr/>
        <w:tc>
          <w:tcPr>
            <w:tcW w:w="42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r>
      <w:tr>
        <w:trPr/>
        <w:tc>
          <w:tcPr>
            <w:tcW w:w="42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Transaction</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8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Platform and</w:t>
              <w:br/>
              <w:t>Usage-Based Fee</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5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w:t>
              <w:br/>
              <w:t>March 31,</w:t>
              <w:br/>
              <w:t>2021</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32.4</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4"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2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45.0</w:t>
            </w:r>
          </w:p>
        </w:tc>
        <w:tc>
          <w:tcPr>
            <w:tcW w:w="491" w:type="dxa"/>
            <w:tcBorders/>
            <w:shd w:fill="auto" w:val="clear"/>
            <w:vAlign w:val="center"/>
          </w:tcPr>
          <w:p>
            <w:pPr>
              <w:pStyle w:val="TableContents"/>
              <w:spacing w:lineRule="auto" w:line="252" w:before="0" w:after="0"/>
              <w:ind w:left="0" w:right="0" w:hanging="0"/>
              <w:jc w:val="left"/>
              <w:rPr/>
            </w:pPr>
            <w:r>
              <w:rPr/>
              <w:t> </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to exclude gross up for:</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051" w:type="dxa"/>
            <w:gridSpan w:val="2"/>
            <w:tcBorders/>
            <w:shd w:fill="auto" w:val="clear"/>
            <w:vAlign w:val="center"/>
          </w:tcPr>
          <w:p>
            <w:pPr>
              <w:pStyle w:val="TableContents"/>
              <w:spacing w:lineRule="auto" w:line="252" w:before="0" w:after="0"/>
              <w:ind w:left="0" w:right="0" w:hanging="0"/>
              <w:jc w:val="right"/>
              <w:rPr/>
            </w:pPr>
            <w:r>
              <w:rPr/>
              <w:t> </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85" w:type="dxa"/>
            <w:gridSpan w:val="2"/>
            <w:tcBorders/>
            <w:shd w:fill="auto" w:val="clear"/>
            <w:vAlign w:val="center"/>
          </w:tcPr>
          <w:p>
            <w:pPr>
              <w:pStyle w:val="TableContents"/>
              <w:spacing w:lineRule="auto" w:line="252" w:before="0" w:after="0"/>
              <w:ind w:left="0" w:right="0" w:hanging="0"/>
              <w:jc w:val="right"/>
              <w:rPr/>
            </w:pPr>
            <w:r>
              <w:rPr/>
              <w:t> </w:t>
            </w:r>
          </w:p>
        </w:tc>
        <w:tc>
          <w:tcPr>
            <w:tcW w:w="286" w:type="dxa"/>
            <w:tcBorders/>
            <w:shd w:fill="auto" w:val="clear"/>
            <w:vAlign w:val="center"/>
          </w:tcPr>
          <w:p>
            <w:pPr>
              <w:pStyle w:val="TableContents"/>
              <w:spacing w:lineRule="auto" w:line="252" w:before="0" w:after="0"/>
              <w:ind w:left="0" w:right="0" w:hanging="0"/>
              <w:jc w:val="righ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755" w:type="dxa"/>
            <w:gridSpan w:val="2"/>
            <w:tcBorders/>
            <w:shd w:fill="auto" w:val="clear"/>
            <w:vAlign w:val="center"/>
          </w:tcPr>
          <w:p>
            <w:pPr>
              <w:pStyle w:val="TableContents"/>
              <w:spacing w:lineRule="auto" w:line="252" w:before="0" w:after="0"/>
              <w:ind w:left="0" w:right="0" w:hanging="0"/>
              <w:jc w:val="right"/>
              <w:rPr/>
            </w:pPr>
            <w:r>
              <w:rPr/>
              <w:t> </w:t>
            </w:r>
          </w:p>
        </w:tc>
        <w:tc>
          <w:tcPr>
            <w:tcW w:w="491" w:type="dxa"/>
            <w:tcBorders/>
            <w:shd w:fill="auto" w:val="clear"/>
            <w:vAlign w:val="center"/>
          </w:tcPr>
          <w:p>
            <w:pPr>
              <w:pStyle w:val="TableContents"/>
              <w:spacing w:lineRule="auto" w:line="252" w:before="0" w:after="0"/>
              <w:ind w:left="0" w:right="0" w:firstLine="280"/>
              <w:jc w:val="right"/>
              <w:rPr/>
            </w:pPr>
            <w:r>
              <w:rPr/>
              <w:t> </w:t>
            </w:r>
          </w:p>
        </w:tc>
      </w:tr>
      <w:tr>
        <w:trPr/>
        <w:tc>
          <w:tcPr>
            <w:tcW w:w="427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Pass-through cost for printing and mailing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pPr>
            <w:r>
              <w:rPr/>
              <w:t> </w:t>
            </w:r>
          </w:p>
        </w:tc>
        <w:tc>
          <w:tcPr>
            <w:tcW w:w="731" w:type="dxa"/>
            <w:tcBorders/>
            <w:shd w:fill="auto" w:val="clear"/>
            <w:vAlign w:val="center"/>
          </w:tcPr>
          <w:p>
            <w:pPr>
              <w:pStyle w:val="TableContents"/>
              <w:spacing w:lineRule="auto" w:line="252" w:before="0" w:after="0"/>
              <w:ind w:left="0" w:right="0" w:hanging="0"/>
              <w:jc w:val="right"/>
              <w:rPr/>
            </w:pPr>
            <w:r>
              <w:rPr/>
              <w:t>—</w:t>
            </w:r>
          </w:p>
        </w:tc>
        <w:tc>
          <w:tcPr>
            <w:tcW w:w="28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4"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w:t>
            </w:r>
          </w:p>
        </w:tc>
        <w:tc>
          <w:tcPr>
            <w:tcW w:w="491" w:type="dxa"/>
            <w:tcBorders/>
            <w:shd w:fill="auto" w:val="cle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427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Marketing fees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(0.3</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03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28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(0.3</w:t>
            </w:r>
          </w:p>
        </w:tc>
        <w:tc>
          <w:tcPr>
            <w:tcW w:w="4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32.1</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03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8.1</w:t>
            </w:r>
          </w:p>
        </w:tc>
        <w:tc>
          <w:tcPr>
            <w:tcW w:w="28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2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40.2</w:t>
            </w:r>
          </w:p>
        </w:tc>
        <w:tc>
          <w:tcPr>
            <w:tcW w:w="4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Percentage of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pPr>
            <w:r>
              <w:rPr/>
              <w:t> </w:t>
            </w:r>
          </w:p>
        </w:tc>
        <w:tc>
          <w:tcPr>
            <w:tcW w:w="73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72.0</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28.0</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4"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2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Percentage of Revenue Less Ancillary Services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0" w:type="dxa"/>
            <w:tcBorders/>
            <w:shd w:fill="auto" w:val="clear"/>
            <w:vAlign w:val="center"/>
          </w:tcPr>
          <w:p>
            <w:pPr>
              <w:pStyle w:val="TableContents"/>
              <w:spacing w:lineRule="auto" w:line="252" w:before="0" w:after="0"/>
              <w:ind w:left="0" w:right="0" w:hanging="0"/>
              <w:jc w:val="left"/>
              <w:rPr/>
            </w:pPr>
            <w:r>
              <w:rPr/>
              <w:t> </w:t>
            </w:r>
          </w:p>
        </w:tc>
        <w:tc>
          <w:tcPr>
            <w:tcW w:w="73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79.9</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52" w:type="dxa"/>
            <w:tcBorders/>
            <w:shd w:fill="auto" w:val="clear"/>
            <w:vAlign w:val="center"/>
          </w:tcPr>
          <w:p>
            <w:pPr>
              <w:pStyle w:val="TableContents"/>
              <w:spacing w:lineRule="auto" w:line="252" w:before="0" w:after="0"/>
              <w:ind w:left="0" w:right="0" w:hanging="0"/>
              <w:jc w:val="left"/>
              <w:rPr/>
            </w:pPr>
            <w:r>
              <w:rPr/>
              <w:t> </w:t>
            </w:r>
          </w:p>
        </w:tc>
        <w:tc>
          <w:tcPr>
            <w:tcW w:w="103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20.1</w:t>
            </w:r>
          </w:p>
        </w:tc>
        <w:tc>
          <w:tcPr>
            <w:tcW w:w="28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534" w:type="dxa"/>
            <w:tcBorders/>
            <w:shd w:fill="auto" w:val="clear"/>
            <w:vAlign w:val="center"/>
          </w:tcPr>
          <w:p>
            <w:pPr>
              <w:pStyle w:val="TableContents"/>
              <w:spacing w:lineRule="auto" w:line="252" w:before="0" w:after="0"/>
              <w:ind w:left="0" w:right="0" w:hanging="0"/>
              <w:jc w:val="left"/>
              <w:rPr/>
            </w:pPr>
            <w:r>
              <w:rPr/>
              <w:t> </w:t>
            </w:r>
          </w:p>
        </w:tc>
        <w:tc>
          <w:tcPr>
            <w:tcW w:w="122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w:t>
            </w:r>
          </w:p>
        </w:tc>
        <w:tc>
          <w:tcPr>
            <w:tcW w:w="49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200" w:after="200"/>
        <w:jc w:val="left"/>
        <w:rPr>
          <w:rFonts w:ascii="Times New Roman" w:hAnsi="Times New Roman"/>
          <w:sz w:val="20"/>
        </w:rPr>
      </w:pPr>
      <w:r>
        <w:rPr>
          <w:rFonts w:ascii="Arial" w:hAnsi="Arial"/>
          <w:b w:val="false"/>
          <w:i/>
          <w:sz w:val="20"/>
        </w:rPr>
        <w:t>EBITDA and Adjusted EBITDA:</w:t>
      </w:r>
      <w:r>
        <w:rPr>
          <w:rFonts w:ascii="Times New Roman" w:hAnsi="Times New Roman"/>
          <w:sz w:val="20"/>
        </w:rPr>
        <w:t xml:space="preserve"> </w:t>
      </w:r>
    </w:p>
    <w:tbl>
      <w:tblPr>
        <w:tblW w:w="7334" w:type="dxa"/>
        <w:jc w:val="left"/>
        <w:tblInd w:w="0" w:type="dxa"/>
        <w:tblCellMar>
          <w:top w:w="28" w:type="dxa"/>
          <w:left w:w="28" w:type="dxa"/>
          <w:bottom w:w="28" w:type="dxa"/>
          <w:right w:w="28" w:type="dxa"/>
        </w:tblCellMar>
      </w:tblPr>
      <w:tblGrid>
        <w:gridCol w:w="5221"/>
        <w:gridCol w:w="146"/>
        <w:gridCol w:w="211"/>
        <w:gridCol w:w="541"/>
        <w:gridCol w:w="166"/>
        <w:gridCol w:w="146"/>
        <w:gridCol w:w="211"/>
        <w:gridCol w:w="481"/>
        <w:gridCol w:w="211"/>
      </w:tblGrid>
      <w:tr>
        <w:trPr/>
        <w:tc>
          <w:tcPr>
            <w:tcW w:w="52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522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75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w:t>
              <w:br/>
              <w:t>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(8.7</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0.6</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Provision for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0.2</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Depreciation and amortization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EBITDA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(5.8</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Stock-based compensation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Change in fair value of contingent consideration</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Change in fair value of preferred stock liability, prior to IPO</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pPr>
            <w:r>
              <w:rPr/>
              <w:t>—</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 xml:space="preserve">Other expense, net </w:t>
            </w:r>
            <w:r>
              <w:rPr>
                <w:rFonts w:ascii="Arial" w:hAnsi="Arial"/>
                <w:b w:val="false"/>
                <w:sz w:val="13"/>
              </w:rPr>
              <w:t>(1)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Indirect taxes related to intercompany activity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481" w:type="dxa"/>
            <w:tcBorders/>
            <w:shd w:fill="auto" w:val="clear"/>
            <w:vAlign w:val="center"/>
          </w:tcPr>
          <w:p>
            <w:pPr>
              <w:pStyle w:val="TableContents"/>
              <w:spacing w:lineRule="auto" w:line="252" w:before="0" w:after="0"/>
              <w:ind w:left="0" w:right="0" w:hanging="0"/>
              <w:jc w:val="right"/>
              <w:rPr/>
            </w:pPr>
            <w:r>
              <w:rPr/>
              <w:t>—</w:t>
            </w:r>
          </w:p>
        </w:tc>
        <w:tc>
          <w:tcPr>
            <w:tcW w:w="211" w:type="dxa"/>
            <w:tcBorders/>
            <w:shd w:fill="auto" w:val="cle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Times New Roman" w:hAnsi="Times New Roman"/>
                <w:sz w:val="20"/>
              </w:rPr>
            </w:pPr>
            <w:r>
              <w:rPr>
                <w:rFonts w:ascii="Arial" w:hAnsi="Arial"/>
                <w:b w:val="false"/>
                <w:sz w:val="20"/>
              </w:rPr>
              <w:t xml:space="preserve">Acquisition related employee retention costs </w:t>
            </w:r>
            <w:r>
              <w:rPr>
                <w:rFonts w:ascii="Arial" w:hAnsi="Arial"/>
                <w:b w:val="false"/>
                <w:sz w:val="13"/>
              </w:rPr>
              <w:t>(2)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0.6</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r>
        <w:trPr/>
        <w:tc>
          <w:tcPr>
            <w:tcW w:w="52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Adjusted EBITDA</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7.0</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pBdr>
          <w:bottom w:val="single" w:sz="6" w:space="1" w:color="000000"/>
        </w:pBdr>
        <w:spacing w:lineRule="atLeast" w:line="141" w:before="0" w:after="40"/>
        <w:jc w:val="left"/>
        <w:rPr/>
      </w:pPr>
      <w:r>
        <w:rPr/>
        <w:t> </w:t>
      </w:r>
    </w:p>
    <w:p>
      <w:pPr>
        <w:pStyle w:val="TextBody"/>
        <w:spacing w:lineRule="auto" w:line="273" w:before="0" w:after="0"/>
        <w:jc w:val="left"/>
        <w:rPr>
          <w:rFonts w:ascii="Arial" w:hAnsi="Arial"/>
          <w:b w:val="false"/>
          <w:sz w:val="16"/>
        </w:rPr>
      </w:pPr>
      <w:r>
        <w:rPr>
          <w:rFonts w:ascii="Arial" w:hAnsi="Arial"/>
          <w:b w:val="false"/>
          <w:sz w:val="16"/>
        </w:rPr>
        <w:t>(1)</w:t>
      </w:r>
    </w:p>
    <w:p>
      <w:pPr>
        <w:pStyle w:val="TextBody"/>
        <w:spacing w:lineRule="auto" w:line="273" w:before="0" w:after="0"/>
        <w:jc w:val="left"/>
        <w:rPr>
          <w:rFonts w:ascii="Arial" w:hAnsi="Arial"/>
          <w:b w:val="false"/>
          <w:sz w:val="16"/>
        </w:rPr>
      </w:pPr>
      <w:r>
        <w:rPr>
          <w:rFonts w:ascii="Arial" w:hAnsi="Arial"/>
          <w:b w:val="false"/>
          <w:sz w:val="16"/>
        </w:rPr>
        <w:t xml:space="preserve">For the three months ended March 31, 2022 and 2021, other expense consisted of losses from the remeasurement of foreign currency transactions into our functional currency of $2.3 million and $0.4 million, respectively. </w:t>
      </w:r>
    </w:p>
    <w:p>
      <w:pPr>
        <w:pStyle w:val="TextBody"/>
        <w:spacing w:lineRule="auto" w:line="273" w:before="80" w:after="0"/>
        <w:jc w:val="left"/>
        <w:rPr>
          <w:rFonts w:ascii="Arial" w:hAnsi="Arial"/>
          <w:b w:val="false"/>
          <w:sz w:val="16"/>
        </w:rPr>
      </w:pPr>
      <w:r>
        <w:rPr>
          <w:rFonts w:ascii="Arial" w:hAnsi="Arial"/>
          <w:b w:val="false"/>
          <w:sz w:val="16"/>
        </w:rPr>
        <w:t>(2)</w:t>
      </w:r>
    </w:p>
    <w:p>
      <w:pPr>
        <w:pStyle w:val="TextBody"/>
        <w:spacing w:lineRule="auto" w:line="273" w:before="80" w:after="283"/>
        <w:jc w:val="left"/>
        <w:rPr>
          <w:rFonts w:ascii="Arial" w:hAnsi="Arial"/>
          <w:b w:val="false"/>
          <w:sz w:val="16"/>
        </w:rPr>
      </w:pPr>
      <w:r>
        <w:rPr>
          <w:rFonts w:ascii="Arial" w:hAnsi="Arial"/>
          <w:b w:val="false"/>
          <w:sz w:val="16"/>
        </w:rPr>
        <w:t xml:space="preserve">Acquisition related employee retention costs consisted of costs incurred to retain and compensate Simplee's and WPM’s employees in connection with integration of the business. </w:t>
      </w:r>
    </w:p>
    <w:p>
      <w:pPr>
        <w:pStyle w:val="TextBody"/>
        <w:spacing w:lineRule="auto" w:line="273" w:before="200" w:after="200"/>
        <w:jc w:val="left"/>
        <w:rPr>
          <w:rFonts w:ascii="Times New Roman" w:hAnsi="Times New Roman"/>
          <w:sz w:val="20"/>
        </w:rPr>
      </w:pPr>
      <w:r>
        <w:rPr>
          <w:rFonts w:ascii="Arial" w:hAnsi="Arial"/>
          <w:b/>
          <w:sz w:val="20"/>
        </w:rPr>
        <w:t>Key Factors Affecting Our Performance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Increased Utilization by Our Clients and Their Customers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sustaining our growth requires continued adoption of our platform by new clients and further adoption of use cases such as payment plans, by our clients’ customers. Our ability to influence our clients to expand their customers’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usage of our platform also depends on our ability to successfully introduce new solutions, such as our solutions to support payments by international education consultants and our B2B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Mix of Business on Our Platform</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revenue is affected by several factors, including the amount of payment volume processed by us on behalf of our clients, the industry in which our clients operate, the currency in which payments are made and received, the method of payment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Investment in Technology and Development and Sales and Marketing</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 the next quarters, including adjusting spending levels as needed in response to changes in the economic environment.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Seasonality</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Our operating results and operating metrics are subject to seasonality and volatility, which could result in fluctuations in our quarterly revenues and operating results or in perceptions of our business 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 We expect our mix to shift to bank transfers throughout the year.</w:t>
      </w:r>
    </w:p>
    <w:p>
      <w:pPr>
        <w:pStyle w:val="TextBody"/>
        <w:spacing w:lineRule="auto" w:line="273" w:before="200" w:after="200"/>
        <w:jc w:val="left"/>
        <w:rPr>
          <w:rFonts w:ascii="Times New Roman" w:hAnsi="Times New Roman"/>
          <w:sz w:val="20"/>
        </w:rPr>
      </w:pPr>
      <w:r>
        <w:rPr>
          <w:rFonts w:ascii="Arial" w:hAnsi="Arial"/>
          <w:b/>
          <w:i/>
          <w:sz w:val="20"/>
        </w:rPr>
        <w:t>Economic Conditions and Resulting Consumer Spending Trends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Changes in macro-level consumer spending for education, healthcare and travel trends, including as a result of COVID-19 pandemic, could affect the amounts of volumes processed on our platform, thus resulting in fluctuations to our revenue streams.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Impact of the COVID-19 Pandemic</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unprecedented and rapid spread of COVID-19 in 2020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quarterly and annual net dollar-based retention rate remained strong. For the year ended December 31, 2021, our annual net dollar-based retention rate was approximately 140%. For the year ended December 31, 2020, despite the impact of the COVID-19 pandemic on our clients and the industries we serve, our annual net dollar-based retention rate was approximately 100%. During the year ended December 31, 2021, we added an additional 300 clients and have observed a recovery in payment volumes and growth in clients. As a result of the payment volume growth, client growth and public company complexities, we have increased hiring. Borders are continuing to open allowing for an increase in international students to attend education clients. We expect this trend to continue throughout the year for our education clients. Additionally, the opening of borders and abatement of COVID-19 restrictions is increasing travel abroad and we expect travel to continue to return to pre-pandemic levels. As variants (most notably Delta and Omicron) or sub-variants of COVID-19 emerge, we will continue to evaluate the nature and extent of these potential impacts to our business, consolidated financial statements, and liquidity.</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31</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On March 27, 2020, the Coronavirus Aid, Relief, and Economic Security Act (CARES Act) was signed into law. The CARES Act did not have a material impact on our consolidated financial statements for the years ended December 31, 2020 and 2021. We continue to monitor any effects that may result from the CARES Act or other government relief programs that are made available.</w:t>
      </w:r>
    </w:p>
    <w:p>
      <w:pPr>
        <w:pStyle w:val="TextBody"/>
        <w:spacing w:lineRule="auto" w:line="273" w:before="200" w:after="200"/>
        <w:jc w:val="left"/>
        <w:rPr>
          <w:rFonts w:ascii="Calibri" w:hAnsi="Calibri"/>
          <w:b/>
          <w:i/>
          <w:sz w:val="22"/>
        </w:rPr>
      </w:pPr>
      <w:r>
        <w:rPr>
          <w:rFonts w:ascii="Calibri" w:hAnsi="Calibri"/>
          <w:b/>
          <w:i/>
          <w:sz w:val="22"/>
        </w:rPr>
        <w:t>Impact of the Conflict between Russia and Ukraine</w:t>
      </w:r>
    </w:p>
    <w:p>
      <w:pPr>
        <w:pStyle w:val="TextBody"/>
        <w:spacing w:lineRule="auto" w:line="273" w:before="200" w:after="200"/>
        <w:jc w:val="left"/>
        <w:rPr>
          <w:rFonts w:ascii="Arial" w:hAnsi="Arial"/>
          <w:b w:val="false"/>
          <w:sz w:val="20"/>
        </w:rPr>
      </w:pPr>
      <w:r>
        <w:rPr>
          <w:rFonts w:ascii="Arial" w:hAnsi="Arial"/>
          <w:b w:val="false"/>
          <w:sz w:val="20"/>
        </w:rPr>
        <w:t>We do not have any operations, including long-lived assets, in Ukraine or Russia, and to our knowledge, our clients do not receive material amounts of payments from payers in these regions. We are actively monitoring the situation in Ukraine and assessing its impact on our business, but to date have not experienced any material impact. However, we have no way to predict the progress or outcome of the conflict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w:t>
      </w:r>
    </w:p>
    <w:p>
      <w:pPr>
        <w:pStyle w:val="TextBody"/>
        <w:spacing w:lineRule="auto" w:line="273" w:before="200" w:after="200"/>
        <w:jc w:val="left"/>
        <w:rPr>
          <w:rFonts w:ascii="Arial" w:hAnsi="Arial"/>
          <w:b w:val="false"/>
          <w:sz w:val="20"/>
        </w:rPr>
      </w:pPr>
      <w:r>
        <w:rPr>
          <w:rFonts w:ascii="Arial" w:hAnsi="Arial"/>
          <w:b w:val="false"/>
          <w:sz w:val="20"/>
        </w:rPr>
        <w:t>Ukraine is a major engineering hub and the conflict may create a global challenge in outsourcing or hiring engineering talent. In addition, we have put in place and continue to actively manage a program to comply with government sanctions imposed on Russian persons and financial institutions. Also, providers of payment and accounts receivable software have frequently been targeted by cyber threats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We continue to invest in systems, software and personnel to protect against these enhanced threats, but any failure to protect against such attacks, could result in unauthorized access to or leakage of, sensitive data, or compromise our ability to provide our solutions in a timely manner, which could harm our ability to conduct business or delay our financial reporting. Such failures could adversely affect our operating results and financial condition.</w:t>
      </w:r>
    </w:p>
    <w:p>
      <w:pPr>
        <w:pStyle w:val="TextBody"/>
        <w:spacing w:lineRule="auto" w:line="273" w:before="200" w:after="200"/>
        <w:jc w:val="left"/>
        <w:rPr>
          <w:rFonts w:ascii="Times New Roman" w:hAnsi="Times New Roman"/>
          <w:sz w:val="20"/>
        </w:rPr>
      </w:pPr>
      <w:r>
        <w:rPr>
          <w:rFonts w:ascii="Arial" w:hAnsi="Arial"/>
          <w:b/>
          <w:i/>
          <w:sz w:val="20"/>
        </w:rPr>
        <w:t>Diversified Mix of Clients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We have a wide range of clients across education, healthcare, travel and B2B. Following the onset of the COVID-19 pandemic, there was a temporary deceleration of payment volumes and revenue from education clients relying on international enrollments due to the uncertainty of borders re-opening. During 2021 and the first quarter of 2022 borders continued to open allowing for an increase in international students to attend education clients. We expect this trend to continue throughout the year for our education clients. Additionally, the opening of borders and abatement of COVID-19 restrictions is increasing travel abroad and we expect travel to continue to return to pre-pandemic levels.</w:t>
      </w:r>
    </w:p>
    <w:p>
      <w:pPr>
        <w:pStyle w:val="TextBody"/>
        <w:spacing w:lineRule="auto" w:line="273" w:before="200" w:after="200"/>
        <w:jc w:val="left"/>
        <w:rPr>
          <w:rFonts w:ascii="Times New Roman" w:hAnsi="Times New Roman"/>
          <w:sz w:val="20"/>
        </w:rPr>
      </w:pPr>
      <w:r>
        <w:rPr>
          <w:rFonts w:ascii="Arial" w:hAnsi="Arial"/>
          <w:b/>
          <w:i/>
          <w:sz w:val="20"/>
        </w:rPr>
        <w:t>Dynamic Changes to Client Communication and Product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 ability to retain and win new clients in the future. We believe that our ability to help increase payment affordability has become more critical to our clients during the COVID-19 pandemic as the lack of affordability drives the need for more financial flexibility.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Business Continuity</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During the spring of 2020, due to initial COVID-19 uncertainty, we reduced our workforce by approximately 12%. From July 2020 through March 31, 2022, our workforce increased by approximately 71% in order to meet the demand of clients and life as a public company. As vaccination rates have increased, our offices have reopened in limited capacity. We have also increased our hiring plan to address key roles with the goal of ensuring continuity and growth.</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32</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sz w:val="20"/>
        </w:rPr>
        <w:t>Components of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Revenue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generate revenue from transactions and platform and usage-based fees as described below.</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Transaction Revenue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 Our revenue mix fluctuates and as more revenue is derived from credit cards our adjusted gross margin goes down.</w:t>
      </w:r>
    </w:p>
    <w:p>
      <w:pPr>
        <w:pStyle w:val="TextBody"/>
        <w:spacing w:lineRule="auto" w:line="273" w:before="200" w:after="200"/>
        <w:jc w:val="left"/>
        <w:rPr>
          <w:rFonts w:ascii="Arial" w:hAnsi="Arial"/>
          <w:b w:val="false"/>
          <w:sz w:val="20"/>
        </w:rPr>
      </w:pPr>
      <w:r>
        <w:rPr>
          <w:rFonts w:ascii="Arial" w:hAnsi="Arial"/>
          <w:b w:val="false"/>
          <w:sz w:val="20"/>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pStyle w:val="TextBody"/>
        <w:spacing w:lineRule="auto" w:line="273" w:before="200" w:after="200"/>
        <w:jc w:val="left"/>
        <w:rPr>
          <w:rFonts w:ascii="Times New Roman" w:hAnsi="Times New Roman"/>
          <w:sz w:val="20"/>
        </w:rPr>
      </w:pPr>
      <w:r>
        <w:rPr>
          <w:rFonts w:ascii="Arial" w:hAnsi="Arial"/>
          <w:b w:val="false"/>
          <w:i/>
          <w:sz w:val="20"/>
        </w:rPr>
        <w:t>Platform and Usage-Based Fee Revenue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pStyle w:val="TextBody"/>
        <w:spacing w:lineRule="auto" w:line="273" w:before="200" w:after="200"/>
        <w:jc w:val="left"/>
        <w:rPr>
          <w:rFonts w:ascii="Times New Roman" w:hAnsi="Times New Roman"/>
          <w:sz w:val="20"/>
        </w:rPr>
      </w:pPr>
      <w:r>
        <w:rPr>
          <w:rFonts w:ascii="Arial" w:hAnsi="Arial"/>
          <w:b/>
          <w:i/>
          <w:sz w:val="20"/>
        </w:rPr>
        <w:t>Payment Processing Services Costs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pStyle w:val="TextBody"/>
        <w:spacing w:lineRule="auto" w:line="273" w:before="200" w:after="200"/>
        <w:jc w:val="left"/>
        <w:rPr>
          <w:rFonts w:ascii="Times New Roman" w:hAnsi="Times New Roman"/>
          <w:sz w:val="20"/>
        </w:rPr>
      </w:pPr>
      <w:r>
        <w:rPr>
          <w:rFonts w:ascii="Arial" w:hAnsi="Arial"/>
          <w:b/>
          <w:i/>
          <w:sz w:val="20"/>
        </w:rPr>
        <w:t>Technology and Development</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Technology and development includes (a) costs incurred in connection with the development of our solution and the improvement of existing solutions, including the amortization of software and website 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pStyle w:val="TextBody"/>
        <w:spacing w:lineRule="auto" w:line="273" w:before="200" w:after="200"/>
        <w:jc w:val="left"/>
        <w:rPr>
          <w:rFonts w:ascii="Arial" w:hAnsi="Arial"/>
          <w:b w:val="false"/>
          <w:sz w:val="20"/>
        </w:rPr>
      </w:pPr>
      <w:r>
        <w:rPr>
          <w:rFonts w:ascii="Arial" w:hAnsi="Arial"/>
          <w:b w:val="false"/>
          <w:sz w:val="20"/>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pStyle w:val="TextBody"/>
        <w:spacing w:lineRule="auto" w:line="273" w:before="200" w:after="200"/>
        <w:jc w:val="left"/>
        <w:rPr>
          <w:rFonts w:ascii="Times New Roman" w:hAnsi="Times New Roman"/>
          <w:sz w:val="20"/>
        </w:rPr>
      </w:pPr>
      <w:r>
        <w:rPr>
          <w:rFonts w:ascii="Arial" w:hAnsi="Arial"/>
          <w:b/>
          <w:i/>
          <w:sz w:val="20"/>
        </w:rPr>
        <w:t>Selling and Marketing</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Selling and marketing expenses consist of personnel-related expenses, including stock-based compensation expense, sales commissions, amortization of acquired client relationship intangible assets, marketing program expenses, travel-related expenses and costs to market and promote our solutions through advertisements, marketing events, partnership arrangements, and direct client acquisition.</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We focus our sales and marketing efforts on generating awareness of our Company, platform, and solutions, creating sales leads, and establishing and promoting our brand. We plan to continue investing in sales and marketing efforts by driving our go-to-market strategies, building our brand awareness, and sponsoring additional marketing events; however, we will adjust our sales and marketing spend level as needed, and this may fluctuate from period to period, in response to changes in the economic environment.</w:t>
      </w:r>
    </w:p>
    <w:p>
      <w:pPr>
        <w:pStyle w:val="TextBody"/>
        <w:spacing w:lineRule="auto" w:line="273" w:before="200" w:after="200"/>
        <w:jc w:val="left"/>
        <w:rPr>
          <w:rFonts w:ascii="Times New Roman" w:hAnsi="Times New Roman"/>
          <w:sz w:val="20"/>
        </w:rPr>
      </w:pPr>
      <w:r>
        <w:rPr>
          <w:rFonts w:ascii="Arial" w:hAnsi="Arial"/>
          <w:b/>
          <w:i/>
          <w:sz w:val="20"/>
        </w:rPr>
        <w:t>General and Administrative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General and administrative expenses consist of personnel-related expenses, including stock-based compensation expense, for finance, risk management, legal and compliance, human resources and IT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pStyle w:val="TextBody"/>
        <w:spacing w:lineRule="auto" w:line="273" w:before="200" w:after="200"/>
        <w:jc w:val="left"/>
        <w:rPr>
          <w:rFonts w:ascii="Times New Roman" w:hAnsi="Times New Roman"/>
          <w:sz w:val="20"/>
        </w:rPr>
      </w:pPr>
      <w:r>
        <w:rPr>
          <w:rFonts w:ascii="Arial" w:hAnsi="Arial"/>
          <w:b/>
          <w:i/>
          <w:sz w:val="20"/>
        </w:rPr>
        <w:t>Interest Expense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Interest expense consists of interest previously incurred on our LSA and interest on a new Revolving Credit Facility. During 2018, we borrowed $25.0 million under the LSA to complete the acquisition of OnPlan Holdings LLC. On April 25, 2020, we entered into a Joinder and Second Amendment to the LSA to refinance the LSA. As part of the refinancing, the lender re-advanced $4.2 million of principal paid on the loan through May 1, 2020. The LSA was interest only until May 2023 and carried annual interest at a rate equal to the greater of (i) 5.25% above the prime rate or (ii) 8.50%. In July 2021, we refinanced the LSA by entering into a $50.0 million Revolving Credit Facility. The Revolving Credit Facility has an adjustable rate of interest based on the type of loan requested, either at an annual rate based on the Alternate Base Rate (ABR), which references the prime rate plus an applicable margin or LIBOR plus an applicable margin. Loans based on ABR bear interest at a rate between ABR plus 0.75% and ABR plus 1.25%, and loans based on LIBOR bear interest at a rate between LIBOR plus 1.75% and LIBOR plus 2.25%, depending on our liquidity.</w:t>
      </w:r>
    </w:p>
    <w:p>
      <w:pPr>
        <w:pStyle w:val="TextBody"/>
        <w:spacing w:lineRule="auto" w:line="273" w:before="200" w:after="200"/>
        <w:jc w:val="left"/>
        <w:rPr>
          <w:rFonts w:ascii="Times New Roman" w:hAnsi="Times New Roman"/>
          <w:sz w:val="20"/>
        </w:rPr>
      </w:pPr>
      <w:r>
        <w:rPr>
          <w:rFonts w:ascii="Arial" w:hAnsi="Arial"/>
          <w:b/>
          <w:i/>
          <w:sz w:val="20"/>
        </w:rPr>
        <w:t>Change in Fair Value of Preferred Stock Warrant Liability</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 connection with our financing arrangements, we issued warrants to purchase convertible preferred stock to a lender. The warrants to purchase preferred stock provided for net share settlement under which the maximum number of shares that could be issued represented the total amount of shares under the warrant agreements. These warrants were classified as liabilities on our consolidated balance sheets as these were free standing instruments that may have required us to transfer an asset upon exercise. The warrant liability associated with these warrants was recorded at fair value on the issuance date of the warrants and was marked to market each reporting period based on changes in the warrants’ fair value calculated using the Black-Scholes model. Following our IPO, all preferred stock warrants were either fully exercised or converted to warrants to purchase common stock and no longer require liability classification. As a result, we no longer recognize the change in fair value of preferred stock warrant liability in our condensed consolidated statements of operations and comprehensive loss.</w:t>
      </w:r>
    </w:p>
    <w:p>
      <w:pPr>
        <w:pStyle w:val="TextBody"/>
        <w:spacing w:lineRule="auto" w:line="273" w:before="200" w:after="200"/>
        <w:jc w:val="left"/>
        <w:rPr>
          <w:rFonts w:ascii="Times New Roman" w:hAnsi="Times New Roman"/>
          <w:sz w:val="20"/>
        </w:rPr>
      </w:pPr>
      <w:r>
        <w:rPr>
          <w:rFonts w:ascii="Arial" w:hAnsi="Arial"/>
          <w:b/>
          <w:i/>
          <w:sz w:val="20"/>
        </w:rPr>
        <w:t>Other Income (Expense), Net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Other income (expense), net consists of interest income and gains and losses from the remeasurement of foreign currency transactions into its functional currency.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Provision for Income Taxes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Provision for income taxes consists primarily of foreign and state income taxes. We have historically generated net operating losses (NOL) carryforwards for U.S. Federal and state tax purposes as we expand the scale of our international business activities. We are currently anticipating generating U.S. taxable income in 2022 primarily due to capitalizing a large portion of our research costs. Any additional changes in the U.S. and foreign taxation of such activities may increase our overall provision for income taxes in the future.</w:t>
      </w:r>
    </w:p>
    <w:p>
      <w:pPr>
        <w:pStyle w:val="TextBody"/>
        <w:spacing w:lineRule="auto" w:line="273" w:before="200" w:after="200"/>
        <w:jc w:val="left"/>
        <w:rPr>
          <w:rFonts w:ascii="Arial" w:hAnsi="Arial"/>
          <w:b w:val="false"/>
          <w:sz w:val="20"/>
        </w:rPr>
      </w:pPr>
      <w:r>
        <w:rPr>
          <w:rFonts w:ascii="Arial" w:hAnsi="Arial"/>
          <w:b w:val="false"/>
          <w:sz w:val="20"/>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34</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sz w:val="20"/>
        </w:rPr>
        <w:t>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Comparison of results for the Three Months Ended March, 31, 2022 and 2021</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following table sets forth our consolidated results of operations for periods presented:</w:t>
      </w:r>
      <w:r>
        <w:rPr>
          <w:rFonts w:ascii="Times New Roman" w:hAnsi="Times New Roman"/>
          <w:sz w:val="20"/>
        </w:rPr>
        <w:t xml:space="preserve"> </w:t>
      </w:r>
    </w:p>
    <w:tbl>
      <w:tblPr>
        <w:tblW w:w="10205" w:type="dxa"/>
        <w:jc w:val="left"/>
        <w:tblInd w:w="0" w:type="dxa"/>
        <w:tblCellMar>
          <w:top w:w="28" w:type="dxa"/>
          <w:left w:w="28" w:type="dxa"/>
          <w:bottom w:w="28" w:type="dxa"/>
          <w:right w:w="28" w:type="dxa"/>
        </w:tblCellMar>
      </w:tblPr>
      <w:tblGrid>
        <w:gridCol w:w="4671"/>
        <w:gridCol w:w="146"/>
        <w:gridCol w:w="302"/>
        <w:gridCol w:w="776"/>
        <w:gridCol w:w="238"/>
        <w:gridCol w:w="209"/>
        <w:gridCol w:w="302"/>
        <w:gridCol w:w="690"/>
        <w:gridCol w:w="166"/>
        <w:gridCol w:w="146"/>
        <w:gridCol w:w="261"/>
        <w:gridCol w:w="595"/>
        <w:gridCol w:w="166"/>
        <w:gridCol w:w="146"/>
        <w:gridCol w:w="168"/>
        <w:gridCol w:w="748"/>
        <w:gridCol w:w="475"/>
      </w:tblGrid>
      <w:tr>
        <w:trPr/>
        <w:tc>
          <w:tcPr>
            <w:tcW w:w="46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r>
      <w:tr>
        <w:trPr/>
        <w:tc>
          <w:tcPr>
            <w:tcW w:w="467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17"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pPr>
            <w:r>
              <w:rPr/>
              <w:t> </w:t>
            </w:r>
          </w:p>
        </w:tc>
        <w:tc>
          <w:tcPr>
            <w:tcW w:w="16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shd w:fill="auto" w:val="clear"/>
            <w:vAlign w:val="center"/>
          </w:tcPr>
          <w:p>
            <w:pPr>
              <w:pStyle w:val="TableContents"/>
              <w:spacing w:lineRule="auto" w:line="252" w:before="0" w:after="0"/>
              <w:ind w:left="0" w:right="0" w:hanging="0"/>
              <w:jc w:val="center"/>
              <w:rPr/>
            </w:pPr>
            <w:r>
              <w:rPr/>
              <w:t> </w:t>
            </w:r>
          </w:p>
        </w:tc>
        <w:tc>
          <w:tcPr>
            <w:tcW w:w="475" w:type="dxa"/>
            <w:tcBorders/>
            <w:shd w:fill="auto" w:val="clear"/>
            <w:vAlign w:val="center"/>
          </w:tcPr>
          <w:p>
            <w:pPr>
              <w:pStyle w:val="TableContents"/>
              <w:spacing w:lineRule="auto" w:line="252" w:before="0" w:after="0"/>
              <w:ind w:left="0" w:right="0" w:hanging="0"/>
              <w:jc w:val="center"/>
              <w:rPr/>
            </w:pPr>
            <w:r>
              <w:rPr/>
              <w:t> </w:t>
            </w:r>
          </w:p>
        </w:tc>
      </w:tr>
      <w:tr>
        <w:trPr/>
        <w:tc>
          <w:tcPr>
            <w:tcW w:w="46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78"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09" w:type="dxa"/>
            <w:tcBorders/>
            <w:shd w:fill="auto" w:val="clear"/>
            <w:vAlign w:val="center"/>
          </w:tcPr>
          <w:p>
            <w:pPr>
              <w:pStyle w:val="TableContents"/>
              <w:spacing w:lineRule="auto" w:line="252"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 Change</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64.6</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43.6</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Payment processing services costs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24.3</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16.1</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50.9</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Technology and development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11.0</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46.7</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Selling and marketing</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17.6</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5.6</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46.7</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General and administrative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18.8</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18.2</w:t>
            </w:r>
          </w:p>
        </w:tc>
        <w:tc>
          <w:tcPr>
            <w:tcW w:w="475"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Total costs and operating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71.7</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51.5</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39.2</w:t>
            </w:r>
          </w:p>
        </w:tc>
        <w:tc>
          <w:tcPr>
            <w:tcW w:w="475"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Loss from operations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(7.1</w:t>
            </w:r>
          </w:p>
        </w:tc>
        <w:tc>
          <w:tcPr>
            <w:tcW w:w="23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9.2</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Interest expense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(0.2</w:t>
            </w:r>
          </w:p>
        </w:tc>
        <w:tc>
          <w:tcPr>
            <w:tcW w:w="23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(0.6</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(66.7</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Change in fair value of preferred stock warrant liability</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pPr>
            <w:r>
              <w:rPr/>
              <w:t>—</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(100.0</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Other expense,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(2.3</w:t>
            </w:r>
          </w:p>
        </w:tc>
        <w:tc>
          <w:tcPr>
            <w:tcW w:w="23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475.0</w:t>
            </w:r>
          </w:p>
        </w:tc>
        <w:tc>
          <w:tcPr>
            <w:tcW w:w="475"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Total other expenses, net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w:t>
            </w:r>
          </w:p>
        </w:tc>
        <w:tc>
          <w:tcPr>
            <w:tcW w:w="23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25.0</w:t>
            </w:r>
          </w:p>
        </w:tc>
        <w:tc>
          <w:tcPr>
            <w:tcW w:w="475"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Loss before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(9.6</w:t>
            </w:r>
          </w:p>
        </w:tc>
        <w:tc>
          <w:tcPr>
            <w:tcW w:w="23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(8.5</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(1.1</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12.9</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Provision for income taxes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0.5</w:t>
            </w:r>
          </w:p>
        </w:tc>
        <w:tc>
          <w:tcPr>
            <w:tcW w:w="238" w:type="dxa"/>
            <w:tcBorders/>
            <w:shd w:fill="auto" w:val="clear"/>
            <w:vAlign w:val="center"/>
          </w:tcPr>
          <w:p>
            <w:pPr>
              <w:pStyle w:val="TableContents"/>
              <w:spacing w:lineRule="auto" w:line="252" w:before="0" w:after="0"/>
              <w:ind w:left="0" w:right="0" w:hanging="0"/>
              <w:jc w:val="left"/>
              <w:rPr/>
            </w:pPr>
            <w:r>
              <w:rPr/>
              <w:t> </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0.2</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0.3</w:t>
            </w:r>
          </w:p>
        </w:tc>
        <w:tc>
          <w:tcPr>
            <w:tcW w:w="16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150.0</w:t>
            </w:r>
          </w:p>
        </w:tc>
        <w:tc>
          <w:tcPr>
            <w:tcW w:w="475" w:type="dxa"/>
            <w:tcBorders/>
            <w:shd w:fill="auto" w:val="clear"/>
            <w:vAlign w:val="center"/>
          </w:tcPr>
          <w:p>
            <w:pPr>
              <w:pStyle w:val="TableContents"/>
              <w:spacing w:lineRule="auto" w:line="252" w:before="0" w:after="0"/>
              <w:ind w:left="0" w:right="0" w:firstLine="14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140" w:right="0" w:hanging="0"/>
              <w:jc w:val="left"/>
              <w:rPr>
                <w:rFonts w:ascii="Arial" w:hAnsi="Arial"/>
                <w:b w:val="false"/>
                <w:sz w:val="20"/>
              </w:rPr>
            </w:pPr>
            <w:r>
              <w:rPr>
                <w:rFonts w:ascii="Arial" w:hAnsi="Arial"/>
                <w:b w:val="false"/>
                <w:sz w:val="20"/>
              </w:rPr>
              <w:t>Net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77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(10.1</w:t>
            </w:r>
          </w:p>
        </w:tc>
        <w:tc>
          <w:tcPr>
            <w:tcW w:w="238"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shd w:fill="auto" w:val="clear"/>
            <w:vAlign w:val="center"/>
          </w:tcPr>
          <w:p>
            <w:pPr>
              <w:pStyle w:val="TableContents"/>
              <w:spacing w:lineRule="auto" w:line="252" w:before="0" w:after="0"/>
              <w:ind w:left="0" w:right="0" w:hanging="0"/>
              <w:jc w:val="left"/>
              <w:rPr/>
            </w:pPr>
            <w:r>
              <w:rPr/>
              <w:t> </w:t>
            </w:r>
          </w:p>
        </w:tc>
        <w:tc>
          <w:tcPr>
            <w:tcW w:w="690"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(8.7</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pPr>
            <w:r>
              <w:rPr/>
              <w:t> </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shd w:fill="auto" w:val="clear"/>
            <w:vAlign w:val="center"/>
          </w:tcPr>
          <w:p>
            <w:pPr>
              <w:pStyle w:val="TableContents"/>
              <w:spacing w:lineRule="auto" w:line="252" w:before="0" w:after="0"/>
              <w:ind w:left="0" w:right="0" w:hanging="0"/>
              <w:jc w:val="left"/>
              <w:rPr/>
            </w:pPr>
            <w:r>
              <w:rPr/>
              <w:t> </w:t>
            </w:r>
          </w:p>
        </w:tc>
        <w:tc>
          <w:tcPr>
            <w:tcW w:w="748"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16.1</w:t>
            </w:r>
          </w:p>
        </w:tc>
        <w:tc>
          <w:tcPr>
            <w:tcW w:w="475"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Foreign currency translation adjustment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(0.1</w:t>
            </w:r>
          </w:p>
        </w:tc>
        <w:tc>
          <w:tcPr>
            <w:tcW w:w="23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0"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0.4</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(0.5</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48"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(125.0</w:t>
            </w:r>
          </w:p>
        </w:tc>
        <w:tc>
          <w:tcPr>
            <w:tcW w:w="47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46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Comprehensive loss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7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(10.2</w:t>
            </w:r>
          </w:p>
        </w:tc>
        <w:tc>
          <w:tcPr>
            <w:tcW w:w="23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209" w:type="dxa"/>
            <w:tcBorders/>
            <w:shd w:fill="auto" w:val="clear"/>
            <w:vAlign w:val="center"/>
          </w:tcPr>
          <w:p>
            <w:pPr>
              <w:pStyle w:val="TableContents"/>
              <w:spacing w:lineRule="auto" w:line="252" w:before="0" w:after="0"/>
              <w:ind w:left="0" w:right="0" w:hanging="0"/>
              <w:jc w:val="left"/>
              <w:rPr/>
            </w:pPr>
            <w:r>
              <w:rPr/>
              <w:t> </w:t>
            </w:r>
          </w:p>
        </w:tc>
        <w:tc>
          <w:tcPr>
            <w:tcW w:w="30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0"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(8.3</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48"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22.9</w:t>
            </w:r>
          </w:p>
        </w:tc>
        <w:tc>
          <w:tcPr>
            <w:tcW w:w="47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200" w:after="200"/>
        <w:jc w:val="left"/>
        <w:rPr>
          <w:rFonts w:ascii="Times New Roman" w:hAnsi="Times New Roman"/>
          <w:sz w:val="20"/>
        </w:rPr>
      </w:pPr>
      <w:r>
        <w:rPr>
          <w:rFonts w:ascii="Arial" w:hAnsi="Arial"/>
          <w:b w:val="false"/>
          <w:i/>
          <w:sz w:val="20"/>
        </w:rPr>
        <w:t>Revenue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Revenue was $64.6 million for the three months ended March 31, 2022, compared to $45.0 million for the three months ended March 31, 2021, an increase of $19.6 million or 43.6%. Revenue is comprised of transaction revenue and platform and usage-based fee revenue as follows:</w:t>
      </w:r>
      <w:r>
        <w:rPr>
          <w:rFonts w:ascii="Times New Roman" w:hAnsi="Times New Roman"/>
          <w:sz w:val="20"/>
        </w:rPr>
        <w:t xml:space="preserve"> </w:t>
      </w:r>
    </w:p>
    <w:tbl>
      <w:tblPr>
        <w:tblW w:w="9144" w:type="dxa"/>
        <w:jc w:val="left"/>
        <w:tblInd w:w="0" w:type="dxa"/>
        <w:tblCellMar>
          <w:top w:w="28" w:type="dxa"/>
          <w:left w:w="28" w:type="dxa"/>
          <w:bottom w:w="28" w:type="dxa"/>
          <w:right w:w="28" w:type="dxa"/>
        </w:tblCellMar>
      </w:tblPr>
      <w:tblGrid>
        <w:gridCol w:w="3481"/>
        <w:gridCol w:w="146"/>
        <w:gridCol w:w="321"/>
        <w:gridCol w:w="732"/>
        <w:gridCol w:w="222"/>
        <w:gridCol w:w="222"/>
        <w:gridCol w:w="321"/>
        <w:gridCol w:w="732"/>
        <w:gridCol w:w="146"/>
        <w:gridCol w:w="146"/>
        <w:gridCol w:w="261"/>
        <w:gridCol w:w="595"/>
        <w:gridCol w:w="146"/>
        <w:gridCol w:w="146"/>
        <w:gridCol w:w="213"/>
        <w:gridCol w:w="703"/>
        <w:gridCol w:w="611"/>
      </w:tblGrid>
      <w:tr>
        <w:trPr/>
        <w:tc>
          <w:tcPr>
            <w:tcW w:w="34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5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3481"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2550"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shd w:fill="auto" w:val="clear"/>
            <w:vAlign w:val="center"/>
          </w:tcPr>
          <w:p>
            <w:pPr>
              <w:pStyle w:val="TableContents"/>
              <w:spacing w:lineRule="auto" w:line="252" w:before="0" w:after="0"/>
              <w:ind w:left="0" w:right="0" w:hanging="0"/>
              <w:jc w:val="center"/>
              <w:rPr/>
            </w:pPr>
            <w:r>
              <w:rPr/>
              <w:t> </w:t>
            </w:r>
          </w:p>
        </w:tc>
        <w:tc>
          <w:tcPr>
            <w:tcW w:w="611" w:type="dxa"/>
            <w:tcBorders/>
            <w:shd w:fill="auto" w:val="clear"/>
            <w:vAlign w:val="center"/>
          </w:tcPr>
          <w:p>
            <w:pPr>
              <w:pStyle w:val="TableContents"/>
              <w:spacing w:lineRule="auto" w:line="252" w:before="0" w:after="0"/>
              <w:ind w:left="0" w:right="0" w:hanging="0"/>
              <w:jc w:val="center"/>
              <w:rPr/>
            </w:pPr>
            <w:r>
              <w:rPr/>
              <w:t> </w:t>
            </w:r>
          </w:p>
        </w:tc>
      </w:tr>
      <w:tr>
        <w:trPr/>
        <w:tc>
          <w:tcPr>
            <w:tcW w:w="348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(dollars 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05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2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222" w:type="dxa"/>
            <w:tcBorders/>
            <w:shd w:fill="auto" w:val="clear"/>
            <w:vAlign w:val="center"/>
          </w:tcPr>
          <w:p>
            <w:pPr>
              <w:pStyle w:val="TableContents"/>
              <w:spacing w:lineRule="auto" w:line="252" w:before="0" w:after="0"/>
              <w:ind w:left="0" w:right="0" w:hanging="0"/>
              <w:jc w:val="center"/>
              <w:rPr/>
            </w:pPr>
            <w:r>
              <w:rPr/>
              <w:t> </w:t>
            </w:r>
          </w:p>
        </w:tc>
        <w:tc>
          <w:tcPr>
            <w:tcW w:w="1053"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 Change</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 Change</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34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Transaction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48.7</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32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2"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32.4</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95"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16.3</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3" w:type="dxa"/>
            <w:tcBorders/>
            <w:shd w:fill="auto" w:val="clear"/>
            <w:vAlign w:val="center"/>
          </w:tcPr>
          <w:p>
            <w:pPr>
              <w:pStyle w:val="TableContents"/>
              <w:spacing w:lineRule="auto" w:line="252" w:before="0" w:after="0"/>
              <w:ind w:left="0" w:right="0" w:hanging="0"/>
              <w:jc w:val="left"/>
              <w:rPr/>
            </w:pPr>
            <w:r>
              <w:rPr/>
              <w:t> </w:t>
            </w:r>
          </w:p>
        </w:tc>
        <w:tc>
          <w:tcPr>
            <w:tcW w:w="703"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50.3</w:t>
            </w:r>
          </w:p>
        </w:tc>
        <w:tc>
          <w:tcPr>
            <w:tcW w:w="6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348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Platform and usage-based fee 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15.9</w:t>
            </w:r>
          </w:p>
        </w:tc>
        <w:tc>
          <w:tcPr>
            <w:tcW w:w="22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12.6</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95"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3.3</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3"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26.2</w:t>
            </w:r>
          </w:p>
        </w:tc>
        <w:tc>
          <w:tcPr>
            <w:tcW w:w="6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rFonts w:ascii="Arial" w:hAnsi="Arial"/>
                <w:b w:val="false"/>
                <w:sz w:val="20"/>
              </w:rPr>
            </w:pPr>
            <w:r>
              <w:rPr>
                <w:rFonts w:ascii="Arial" w:hAnsi="Arial"/>
                <w:b w:val="false"/>
                <w:sz w:val="20"/>
              </w:rPr>
              <w:t>%</w:t>
            </w:r>
          </w:p>
        </w:tc>
      </w:tr>
      <w:tr>
        <w:trPr/>
        <w:tc>
          <w:tcPr>
            <w:tcW w:w="3481"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Revenue</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64.6</w:t>
            </w:r>
          </w:p>
        </w:tc>
        <w:tc>
          <w:tcPr>
            <w:tcW w:w="22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222" w:type="dxa"/>
            <w:tcBorders/>
            <w:shd w:fill="auto" w:val="clear"/>
            <w:vAlign w:val="center"/>
          </w:tcPr>
          <w:p>
            <w:pPr>
              <w:pStyle w:val="TableContents"/>
              <w:spacing w:lineRule="auto" w:line="252" w:before="0" w:after="0"/>
              <w:ind w:left="0" w:right="0" w:hanging="0"/>
              <w:jc w:val="left"/>
              <w:rPr/>
            </w:pPr>
            <w:r>
              <w:rPr/>
              <w:t> </w:t>
            </w:r>
          </w:p>
        </w:tc>
        <w:tc>
          <w:tcPr>
            <w:tcW w:w="32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45.0</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6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95"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19.6</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703"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43.6</w:t>
            </w:r>
          </w:p>
        </w:tc>
        <w:tc>
          <w:tcPr>
            <w:tcW w:w="6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bl>
    <w:p>
      <w:pPr>
        <w:pStyle w:val="TextBody"/>
        <w:spacing w:lineRule="auto" w:line="273" w:before="200" w:after="200"/>
        <w:jc w:val="left"/>
        <w:rPr>
          <w:rFonts w:ascii="Times New Roman" w:hAnsi="Times New Roman"/>
          <w:sz w:val="20"/>
        </w:rPr>
      </w:pPr>
      <w:r>
        <w:rPr>
          <w:rFonts w:ascii="Arial" w:hAnsi="Arial"/>
          <w:b w:val="false"/>
          <w:sz w:val="20"/>
        </w:rPr>
        <w:t>Transaction revenue was $48.7 million for the three months ended March 31, 2022, compared to $32.4 million for the three months ended March 31, 2021, an increase of $16.3 million or 50.3%. The increase in transaction revenue was primarily driven by growth in transaction payment volumes, from both our existing clients and new clients added during the three months ended March 31, 2022. We experienced strong growth in payment volume across all regions and verticals during the period. Total payment volume increased 46.0% during the three months ended March 31, 2022 to $4.2 billion. Our marketing services revenue increased as a result of our payment partners using more of our marketing services in the three months ended March 31, 2022 compared to the three months ended March 31, 2021.</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Platform and usage-based fee revenue was $15.9 million for the three months ended March 31, 2022, compared to $12.6 million for the three months ended March 31, 2021, an increase of $3.3 million or 26.2%. The increase in platform and usage-based fee revenue was driven primarily by the WPM acquisition, which accounted for a $1.7 million increase over the same period in 2021. The remainder of the increase was attributable to increased usage by our clients and new clients signed during the three months ended March 31, 2022.</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Payment Processing Services Costs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Payment processing services costs were $24.3 million for the three months ended March 31, 2022, compared to $16.1 million for the three months ended March 31, 2021, an increase of $8.2 million or 50.9%. The increase in payment processing services costs is correlated with the increase in total payment volume of 46.0% over the same period.</w:t>
      </w:r>
    </w:p>
    <w:p>
      <w:pPr>
        <w:pStyle w:val="TextBody"/>
        <w:spacing w:lineRule="auto" w:line="273" w:before="200" w:after="200"/>
        <w:jc w:val="left"/>
        <w:rPr>
          <w:rFonts w:ascii="Times New Roman" w:hAnsi="Times New Roman"/>
          <w:sz w:val="20"/>
        </w:rPr>
      </w:pPr>
      <w:r>
        <w:rPr>
          <w:rFonts w:ascii="Arial" w:hAnsi="Arial"/>
          <w:b w:val="false"/>
          <w:i/>
          <w:sz w:val="20"/>
        </w:rPr>
        <w:t>Technology and Development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Technology and development expenses were $11.0 million for the three months ended March 31, 2022, compared to $7.5 million for the three months ended March 31, 2021, an increase of $3.5 million or 46.7%. The increase in technology and development cost was primarily driven by an increase in personnel costs, amortization expense, software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35</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and hosting expenses and travel related expenses, which was partially offset by a decrease in stock-based compensation expense. Personnel costs were $6.7 million for the three months ended March 31, 2022, compared to $3.8 million for the three months ended March 31, 2021, an increase of $2.9 million or 76.3%. The increase in personnel costs was primarily driven by an increase in headcount within our technology and development teams. Amortization of intangible assets was $1.5 million for the three months ended March 31, 2022, compared to $1.1 million for the three months ended March 31, 2021, an increase of $0.4 million or 36.4%. The increase in amortization expense was the result of the acquisition of Simplee. Software and hosting expenses were $1.1 million for the three months ended March 31, 2022, compared to $0.9 million for the three months ended March 31, 2021, an increase of $0.2 million or 22.2%. The increase in software and hosting expenses was primarily related to increased hosting fees based on payment volumes growth and additional software needs based on headcount growth. Travel expenses were $0.1 for the three months ended March 31, 2022, compared to $0 for the three months ended March 31, 2021, an increase of $0.1 million. The increase in travel expenses was due to the lifting of COVID-19 related travel restrictions. Stock-based compensation expense was $0.9 million for the three months ended March 31, 2022, compared to $1.1 million for the three months ended March 31, 2021, a decrease of $0.2 million or 18.2%. The decrease in stock-based compensation was due to a secondary sale that involved stockholders who were also our employees in the first quarter of 2021 and no such sale occurring in the first quarter of 2022.</w:t>
      </w:r>
    </w:p>
    <w:p>
      <w:pPr>
        <w:pStyle w:val="TextBody"/>
        <w:spacing w:lineRule="auto" w:line="273" w:before="200" w:after="200"/>
        <w:jc w:val="left"/>
        <w:rPr>
          <w:rFonts w:ascii="Arial" w:hAnsi="Arial"/>
          <w:b w:val="false"/>
          <w:i/>
          <w:sz w:val="20"/>
        </w:rPr>
      </w:pPr>
      <w:r>
        <w:rPr>
          <w:rFonts w:ascii="Arial" w:hAnsi="Arial"/>
          <w:b w:val="false"/>
          <w:i/>
          <w:sz w:val="20"/>
        </w:rPr>
        <w:t>Selling and Marketing</w:t>
      </w:r>
    </w:p>
    <w:p>
      <w:pPr>
        <w:pStyle w:val="TextBody"/>
        <w:spacing w:lineRule="auto" w:line="273" w:before="200" w:after="200"/>
        <w:jc w:val="left"/>
        <w:rPr>
          <w:rFonts w:ascii="Arial" w:hAnsi="Arial"/>
          <w:b w:val="false"/>
          <w:sz w:val="20"/>
        </w:rPr>
      </w:pPr>
      <w:r>
        <w:rPr>
          <w:rFonts w:ascii="Arial" w:hAnsi="Arial"/>
          <w:b w:val="false"/>
          <w:sz w:val="20"/>
        </w:rPr>
        <w:t>Selling and marketing expenses were $17.6 million for the three months ended March 31, 2022, compared to $12.0 million for the three months ended March 31, 2021, an increase of $5.6 million or 46.7%. The increase in selling and marketing expenses was primarily driven by an increase in personnel costs, marketing costs, travel related expenses, professional fees, and amortization expenses, which was partially offset by a decrease in stock-based compensation. Personnel costs were $10.6 million for the three months ended March 31, 2022, compared to $6.4 million for the three months ended March 31, 2021, an increase of $4.2 million or 65.6%. The increase in personnel costs was primarily driven by an increase in headcount within our selling and marketing teams and commissions earned on sales during the period. Marketing costs were $1.5 million for the three months ended March 31, 2022, compared to $0.6 million for the three months ended March 31, 2021, an increase of $0.9 million or 150.0%. The increase in marketing costs was due to increased marketing initiatives and hosted events, including marketing activities associated with WPM. Travel expenses were $0.5 for the three months ended March 31, 2022, compared to $0 for the three months ended March 31, 2021, an increase of $0.5 million. The increase in travel expenses was due to the lifting of COVID-19 related travel restrictions. Professional fees were $1.3 million for the three months ended March 31, 2022, compared to $0.9 million for the three months ended March 31, 2021, an increase of $0.4 million or 44.4%. The increase in professional fees was due to increases in third party commissions and consulting fees. Amortization of intangibles was $1.0 million for the three months ended March 31, 2022, compared to $0.6 million for the three months ended March 31, 2021, an increase of $0.4 million or 66.7%. The increase in amortization expense was due to acquired customer relationships related to the WPM acquisition. Stock-based compensation was $1.2 million for the three months ended March 31, 2022, compared to $2.6 million for the three months ended March 31, 2021, a decrease of $1.4 million or 53.8%. The decrease in stock-based compensation was due to a secondary sale that involved stockholders who were also our employees in the first quarter of 2021 and no such sale occurring in the first quarter of 2022.</w:t>
      </w:r>
    </w:p>
    <w:p>
      <w:pPr>
        <w:pStyle w:val="TextBody"/>
        <w:spacing w:lineRule="auto" w:line="273" w:before="200" w:after="200"/>
        <w:jc w:val="left"/>
        <w:rPr>
          <w:rFonts w:ascii="Times New Roman" w:hAnsi="Times New Roman"/>
          <w:sz w:val="20"/>
        </w:rPr>
      </w:pPr>
      <w:r>
        <w:rPr>
          <w:rFonts w:ascii="Arial" w:hAnsi="Arial"/>
          <w:b w:val="false"/>
          <w:i/>
          <w:sz w:val="20"/>
        </w:rPr>
        <w:t>General and Administrative Expenses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General and administrative expenses were $18.8 million for the three months ended March 31, 2022, compared to $15.9 million for the three months ended March 31, 2021, an increase of $2.9 million or 18.2%. The increase in general and administrative expenses was primarily driven by an increase in personnel costs, professional fees, general and administrative, software and hosting expenses, other costs, and travel related expenses, which was partially offset by a decrease in stock-based compensation and acquisition related expenses. Personnel costs were $7.4 million for the three months ended March 31, 2022, compared to $5.1 million for the three months ended March 31, 2021, an increase of $2.3 million or 45.1%. The increase in personnel costs was primarily due to increased headcount. Professional fees were $2.8 million for the three months ended March 31, 2022, compared to $1.3 million for the three months ended March 31, 2021, an increase of $1.5 million or 115.4%. The increase in professional fees was due to increased legal and audit fees as a result of becoming a public company. General and administrative costs were $1.5 million for the three months ended March 31, 2022, compared to $0.3 million for the three months ended March 31, 2021, an increase of $1.2 million. The increase in general and administrative costs was primarily due to increased insurance costs as a public company. Software and hosting expenses were $1.3 million for the three months ended March 31, 2022, compared to $0.8 million for the three months ended March 31, 2021, an increase of $0.5 million or 62.5%. The increase in software and hosting expenses was primarily related to increased hosting fees based on payment volumes growth and additional software needs based on headcount growth. Other costs were $0.7 million for the three months ended March 31, 2022, compared to $0.2 million for the three months ended March 31, 2021, an increase of $0.5 million. The increase in other costs was primarily due to indirect taxes recorded during the period and increased hedging fees related to increase in total payment volume. Travel related expenses were $0.3 million for the three months ended March 31, 2022, compared to $0 for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three months ended March 31, 2021, an increase of $0.3 million. The increase in travel expenses was due to the lifting of COVID-19 related travel restrictions. Stock-based compensation was $3.1 million for the three months ended March 31, 2022, compared to $6.6 million for the three months ended March 31, 2021, a decrease of $3.5 million or 53.0%. The decrease in stock-based compensation was due to a secondary sale that involved stockholders who were also our employees in the first quarter of 2021 and no such sale occurring in the first quarter of 2022.</w:t>
      </w:r>
    </w:p>
    <w:p>
      <w:pPr>
        <w:pStyle w:val="TextBody"/>
        <w:spacing w:lineRule="auto" w:line="273" w:before="200" w:after="200"/>
        <w:jc w:val="left"/>
        <w:rPr>
          <w:rFonts w:ascii="Times New Roman" w:hAnsi="Times New Roman"/>
          <w:sz w:val="20"/>
        </w:rPr>
      </w:pPr>
      <w:r>
        <w:rPr>
          <w:rFonts w:ascii="Arial" w:hAnsi="Arial"/>
          <w:b w:val="false"/>
          <w:i/>
          <w:sz w:val="20"/>
        </w:rPr>
        <w:t>Interest Expense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Interest expense was $0.2 million for the three months ended March 31, 2022, compared to $0.6 million for the three months ended March 31, 2021, a decrease of $ 0.4 million or 66.7%. During July 2021, we entered into a Revolving Credit Facility with three banks for a total commitment of $50.0 million. We drew $25.9 million on the Revolving Credit Facility and used the proceeds to early prepay our existing LSA of $25.0 million, which resulted in a new interest rate per year.</w:t>
      </w:r>
    </w:p>
    <w:p>
      <w:pPr>
        <w:pStyle w:val="TextBody"/>
        <w:spacing w:lineRule="auto" w:line="273" w:before="200" w:after="200"/>
        <w:jc w:val="left"/>
        <w:rPr>
          <w:rFonts w:ascii="Times New Roman" w:hAnsi="Times New Roman"/>
          <w:sz w:val="20"/>
        </w:rPr>
      </w:pPr>
      <w:r>
        <w:rPr>
          <w:rFonts w:ascii="Arial" w:hAnsi="Arial"/>
          <w:b w:val="false"/>
          <w:i/>
          <w:sz w:val="20"/>
        </w:rPr>
        <w:t>Change in Fair Value of Preferred Stock Warrant Liability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fair value of preferred stock warrant liability was $0 for the three months ended March 31, 2022, compared to $1.0 million for the three months ended March 31, 2021, a decrease of $1.0 million or 100.0%. Upon the completion of our IPO, all preferred stock warrants were either fully exercised or converted to warrants to purchase common stock. As a result, we no longer recognize the change in fair value of preferred stock warrant liability in our condensed consolidated statements of operations and comprehensive loss.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Other Expense, net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Other expense, net, was $2.3 million for the three months ended March 31, 2022, compared to $0.4 million for the three months ended March 31, 2021, an increase of $1.9 million. The increase was primarily the result of changes in the British pound sterling exchange rate against the U.S. Dollar, our financial reporting currency.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Provision for Income Taxes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 provision for income taxes was $0.5 million during the three months ended March 31, 2022, compared to a provision for income taxes of $0.2 million during the three months ended March 31, 2021, an increase of $0.3 million or 150.0%. The income tax provision for the three months ended March 31, 2022 was primarily attributable to profits generated in our foreign subsidiaries. The income tax expense for the three months ended March 31, 2021 was primarily attributable to foreign taxes. Our effective tax rate was (5.1)% for the three months ended March 31, 2022 compared to (2.4)% for the three months ended March 31, 2021.</w:t>
      </w:r>
    </w:p>
    <w:p>
      <w:pPr>
        <w:pStyle w:val="TextBody"/>
        <w:spacing w:lineRule="auto" w:line="273" w:before="200" w:after="200"/>
        <w:jc w:val="left"/>
        <w:rPr>
          <w:rFonts w:ascii="Arial" w:hAnsi="Arial"/>
          <w:b w:val="false"/>
          <w:i/>
          <w:sz w:val="20"/>
        </w:rPr>
      </w:pPr>
      <w:r>
        <w:rPr>
          <w:rFonts w:ascii="Arial" w:hAnsi="Arial"/>
          <w:b w:val="false"/>
          <w:i/>
          <w:sz w:val="20"/>
        </w:rPr>
        <w:t>Liquidity and Capital Resources</w:t>
      </w:r>
    </w:p>
    <w:p>
      <w:pPr>
        <w:pStyle w:val="TextBody"/>
        <w:spacing w:lineRule="auto" w:line="273" w:before="200" w:after="200"/>
        <w:jc w:val="left"/>
        <w:rPr>
          <w:rFonts w:ascii="Arial" w:hAnsi="Arial"/>
          <w:b w:val="false"/>
          <w:sz w:val="20"/>
        </w:rPr>
      </w:pPr>
      <w:r>
        <w:rPr>
          <w:rFonts w:ascii="Arial" w:hAnsi="Arial"/>
          <w:b w:val="false"/>
          <w:sz w:val="20"/>
        </w:rPr>
        <w:t>Since inception, we have financed operations primarily through proceeds received from sales of equity securities, credit facilities and payments received from our clients as further detailed below.</w:t>
      </w:r>
    </w:p>
    <w:p>
      <w:pPr>
        <w:pStyle w:val="TextBody"/>
        <w:spacing w:lineRule="auto" w:line="273" w:before="200" w:after="200"/>
        <w:jc w:val="left"/>
        <w:rPr>
          <w:rFonts w:ascii="Times New Roman" w:hAnsi="Times New Roman"/>
          <w:sz w:val="20"/>
        </w:rPr>
      </w:pPr>
      <w:r>
        <w:rPr>
          <w:rFonts w:ascii="Arial" w:hAnsi="Arial"/>
          <w:b w:val="false"/>
          <w:sz w:val="20"/>
        </w:rPr>
        <w:t>In May 2021, we completed our IPO which resulted in aggregate net proceeds of $263.8 million, after underwriting discounts of $19.4 million and issuance costs of $4.9 million. As of March 31, 2022, our principal source of liquidity is cash, cash equivalents and restricted cash of $369.7 million.</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We believe that our existing cash will be sufficient to support our expected working capital needs and material cash requirements for at least the next 12 months. Our future capital requirements will depend on many factors, including our revenue growth rate, the timing and the amount of cash received from clients, the expansion of sales and marketing activities, the timing and extent of spending to support development efforts, the price at which we are able to purchase public cloud capacity, expenses associated with our international expansion, the introduction of platform enhancements, and the continuing market adoption of our platform. In the future, we may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results of operations, and financial condition.</w:t>
      </w:r>
    </w:p>
    <w:p>
      <w:pPr>
        <w:pStyle w:val="TextBody"/>
        <w:spacing w:lineRule="auto" w:line="273" w:before="200" w:after="200"/>
        <w:jc w:val="left"/>
        <w:rPr>
          <w:rFonts w:ascii="Times New Roman" w:hAnsi="Times New Roman"/>
          <w:sz w:val="20"/>
        </w:rPr>
      </w:pPr>
      <w:r>
        <w:rPr>
          <w:rFonts w:ascii="Arial" w:hAnsi="Arial"/>
          <w:b w:val="false"/>
          <w:i/>
          <w:sz w:val="20"/>
        </w:rPr>
        <w:t>Contractual Obligations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Contractual obligations consist of outstanding indebtedness under the Revolving Credit Facility and operating leases that relate to real estate for our primary facilities.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37</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The following table summarizes our contractual obligations as of March 31, 2022:</w:t>
      </w:r>
    </w:p>
    <w:tbl>
      <w:tblPr>
        <w:tblW w:w="8497" w:type="dxa"/>
        <w:jc w:val="left"/>
        <w:tblInd w:w="0" w:type="dxa"/>
        <w:tblCellMar>
          <w:top w:w="28" w:type="dxa"/>
          <w:left w:w="28" w:type="dxa"/>
          <w:bottom w:w="28" w:type="dxa"/>
          <w:right w:w="28" w:type="dxa"/>
        </w:tblCellMar>
      </w:tblPr>
      <w:tblGrid>
        <w:gridCol w:w="2476"/>
        <w:gridCol w:w="146"/>
        <w:gridCol w:w="211"/>
        <w:gridCol w:w="691"/>
        <w:gridCol w:w="146"/>
        <w:gridCol w:w="146"/>
        <w:gridCol w:w="246"/>
        <w:gridCol w:w="684"/>
        <w:gridCol w:w="146"/>
        <w:gridCol w:w="146"/>
        <w:gridCol w:w="211"/>
        <w:gridCol w:w="691"/>
        <w:gridCol w:w="146"/>
        <w:gridCol w:w="146"/>
        <w:gridCol w:w="211"/>
        <w:gridCol w:w="346"/>
        <w:gridCol w:w="146"/>
        <w:gridCol w:w="146"/>
        <w:gridCol w:w="279"/>
        <w:gridCol w:w="666"/>
        <w:gridCol w:w="47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404" w:type="dxa"/>
            <w:gridSpan w:val="18"/>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Payments Due by Year</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(in thousands)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Less 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0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1 to 3</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557"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4 to 5</w:t>
              <w:br/>
              <w:t>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945"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More Than</w:t>
              <w:br/>
              <w:t>5 Years</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Operating lease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3,500</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84"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1,337</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2,132</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346"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shd w:fill="auto" w:val="clear"/>
            <w:vAlign w:val="center"/>
          </w:tcPr>
          <w:p>
            <w:pPr>
              <w:pStyle w:val="TableContents"/>
              <w:spacing w:lineRule="auto" w:line="252" w:before="0" w:after="0"/>
              <w:ind w:left="0" w:right="0" w:hanging="0"/>
              <w:jc w:val="left"/>
              <w:rPr/>
            </w:pPr>
            <w:r>
              <w:rPr/>
              <w:t> </w:t>
            </w:r>
          </w:p>
        </w:tc>
        <w:tc>
          <w:tcPr>
            <w:tcW w:w="666" w:type="dxa"/>
            <w:tcBorders/>
            <w:shd w:fill="auto" w:val="clear"/>
            <w:vAlign w:val="center"/>
          </w:tcPr>
          <w:p>
            <w:pPr>
              <w:pStyle w:val="TableContents"/>
              <w:spacing w:lineRule="auto" w:line="252" w:before="0" w:after="0"/>
              <w:ind w:left="0" w:right="0" w:hanging="0"/>
              <w:jc w:val="right"/>
              <w:rPr/>
            </w:pPr>
            <w:r>
              <w:rPr/>
              <w:t>—</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247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Debt obligations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25,939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84"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25,939</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247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Total</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29,439</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84"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1,337</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28,071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31</w:t>
            </w:r>
          </w:p>
        </w:tc>
        <w:tc>
          <w:tcPr>
            <w:tcW w:w="14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79"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6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pPr>
            <w:r>
              <w:rPr/>
              <w:t>—</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Arial" w:hAnsi="Arial"/>
          <w:b w:val="false"/>
          <w:sz w:val="20"/>
        </w:rPr>
      </w:pPr>
      <w:r>
        <w:rPr>
          <w:rFonts w:ascii="Arial" w:hAnsi="Arial"/>
          <w:b w:val="false"/>
          <w:sz w:val="20"/>
        </w:rPr>
        <w:t>The following table sets forth summary cash flow information for the periods presented:</w:t>
      </w:r>
    </w:p>
    <w:tbl>
      <w:tblPr>
        <w:tblW w:w="8689" w:type="dxa"/>
        <w:jc w:val="left"/>
        <w:tblInd w:w="0" w:type="dxa"/>
        <w:tblCellMar>
          <w:top w:w="28" w:type="dxa"/>
          <w:left w:w="28" w:type="dxa"/>
          <w:bottom w:w="28" w:type="dxa"/>
          <w:right w:w="28" w:type="dxa"/>
        </w:tblCellMar>
      </w:tblPr>
      <w:tblGrid>
        <w:gridCol w:w="6256"/>
        <w:gridCol w:w="146"/>
        <w:gridCol w:w="211"/>
        <w:gridCol w:w="541"/>
        <w:gridCol w:w="166"/>
        <w:gridCol w:w="146"/>
        <w:gridCol w:w="211"/>
        <w:gridCol w:w="541"/>
        <w:gridCol w:w="471"/>
      </w:tblGrid>
      <w:tr>
        <w:trPr/>
        <w:tc>
          <w:tcPr>
            <w:tcW w:w="6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r>
      <w:tr>
        <w:trPr/>
        <w:tc>
          <w:tcPr>
            <w:tcW w:w="6256" w:type="dxa"/>
            <w:tcBorders/>
            <w:shd w:fill="auto" w:val="cle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1816" w:type="dxa"/>
            <w:gridSpan w:val="6"/>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Three Months Ended</w:t>
              <w:br/>
              <w:t>March 31,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25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sz w:val="16"/>
              </w:rPr>
            </w:pPr>
            <w:r>
              <w:rPr>
                <w:rFonts w:ascii="Arial" w:hAnsi="Arial"/>
                <w:b/>
                <w:sz w:val="16"/>
              </w:rPr>
              <w:t>(in millions)</w:t>
            </w:r>
          </w:p>
        </w:tc>
        <w:tc>
          <w:tcPr>
            <w:tcW w:w="14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c>
          <w:tcPr>
            <w:tcW w:w="146" w:type="dxa"/>
            <w:tcBorders/>
            <w:shd w:fill="auto" w:val="clear"/>
            <w:vAlign w:val="center"/>
          </w:tcPr>
          <w:p>
            <w:pPr>
              <w:pStyle w:val="TableContents"/>
              <w:spacing w:lineRule="auto" w:line="252" w:before="0" w:after="0"/>
              <w:ind w:left="0" w:right="0" w:hanging="0"/>
              <w:jc w:val="center"/>
              <w:rPr/>
            </w:pPr>
            <w:r>
              <w:rPr/>
              <w:t> </w:t>
            </w:r>
          </w:p>
        </w:tc>
        <w:tc>
          <w:tcPr>
            <w:tcW w:w="752" w:type="dxa"/>
            <w:gridSpan w:val="2"/>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2021</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pPr>
            <w:r>
              <w:rPr/>
              <w:t> </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used in operating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(14.8</w:t>
            </w:r>
          </w:p>
        </w:tc>
        <w:tc>
          <w:tcPr>
            <w:tcW w:w="4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used in investing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(1.3</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(1.5</w:t>
            </w:r>
          </w:p>
        </w:tc>
        <w:tc>
          <w:tcPr>
            <w:tcW w:w="47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Net cash (used in) provided by financing activities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(3.0</w:t>
            </w:r>
          </w:p>
        </w:tc>
        <w:tc>
          <w:tcPr>
            <w:tcW w:w="16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shd w:fill="auto" w:val="clear"/>
            <w:vAlign w:val="center"/>
          </w:tcPr>
          <w:p>
            <w:pPr>
              <w:pStyle w:val="TableContents"/>
              <w:spacing w:lineRule="auto" w:line="252" w:before="0" w:after="0"/>
              <w:ind w:left="0" w:right="0" w:hanging="0"/>
              <w:jc w:val="left"/>
              <w:rPr/>
            </w:pPr>
            <w:r>
              <w:rPr/>
              <w:t> </w:t>
            </w:r>
          </w:p>
        </w:tc>
        <w:tc>
          <w:tcPr>
            <w:tcW w:w="541" w:type="dxa"/>
            <w:tcBorders/>
            <w:shd w:fill="auto" w:val="cle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58.2</w:t>
            </w:r>
          </w:p>
        </w:tc>
        <w:tc>
          <w:tcPr>
            <w:tcW w:w="471" w:type="dxa"/>
            <w:tcBorders/>
            <w:shd w:fill="auto" w:val="clear"/>
            <w:vAlign w:val="center"/>
          </w:tcPr>
          <w:p>
            <w:pPr>
              <w:pStyle w:val="TableContents"/>
              <w:spacing w:lineRule="auto" w:line="252" w:before="0" w:after="0"/>
              <w:ind w:left="0" w:right="0" w:hanging="0"/>
              <w:jc w:val="left"/>
              <w:rPr/>
            </w:pPr>
            <w:r>
              <w:rPr/>
              <w:t> </w:t>
            </w:r>
          </w:p>
        </w:tc>
      </w:tr>
      <w:tr>
        <w:trPr/>
        <w:tc>
          <w:tcPr>
            <w:tcW w:w="625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Effect of exchange rate changes on cash and cash equivalents</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1.7</w:t>
            </w:r>
          </w:p>
        </w:tc>
        <w:tc>
          <w:tcPr>
            <w:tcW w:w="166"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54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0.3</w:t>
            </w:r>
          </w:p>
        </w:tc>
        <w:tc>
          <w:tcPr>
            <w:tcW w:w="471" w:type="dxa"/>
            <w:tcBorders>
              <w:bottom w:val="single" w:sz="4" w:space="0" w:color="000000"/>
            </w:tcBorders>
            <w:shd w:fill="auto" w:val="clear"/>
            <w:tcMar>
              <w:top w:w="0" w:type="dxa"/>
              <w:left w:w="0" w:type="dxa"/>
              <w:right w:w="0" w:type="dxa"/>
            </w:tcMar>
            <w:vAlign w:val="center"/>
          </w:tcPr>
          <w:p>
            <w:pPr>
              <w:pStyle w:val="TableContents"/>
              <w:spacing w:lineRule="auto" w:line="252" w:before="0" w:after="0"/>
              <w:ind w:left="0" w:right="0" w:firstLine="280"/>
              <w:jc w:val="left"/>
              <w:rPr/>
            </w:pPr>
            <w:r>
              <w:rPr/>
              <w:t> </w:t>
            </w:r>
          </w:p>
        </w:tc>
      </w:tr>
      <w:tr>
        <w:trPr/>
        <w:tc>
          <w:tcPr>
            <w:tcW w:w="6256" w:type="dxa"/>
            <w:tcBorders/>
            <w:shd w:fill="auto" w:val="clear"/>
            <w:vAlign w:val="center"/>
          </w:tcPr>
          <w:p>
            <w:pPr>
              <w:pStyle w:val="TableContents"/>
              <w:spacing w:lineRule="auto" w:line="252" w:before="0" w:after="0"/>
              <w:ind w:left="280" w:right="0" w:hanging="0"/>
              <w:jc w:val="left"/>
              <w:rPr>
                <w:rFonts w:ascii="Arial" w:hAnsi="Arial"/>
                <w:b w:val="false"/>
                <w:sz w:val="20"/>
              </w:rPr>
            </w:pPr>
            <w:r>
              <w:rPr>
                <w:rFonts w:ascii="Arial" w:hAnsi="Arial"/>
                <w:b w:val="false"/>
                <w:sz w:val="20"/>
              </w:rPr>
              <w:t>Net (decrease) increase in cash, cash equivalents and restricted cash.</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(19.6</w:t>
            </w:r>
          </w:p>
        </w:tc>
        <w:tc>
          <w:tcPr>
            <w:tcW w:w="166"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w:t>
            </w:r>
          </w:p>
        </w:tc>
        <w:tc>
          <w:tcPr>
            <w:tcW w:w="54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right"/>
              <w:rPr>
                <w:rFonts w:ascii="Arial" w:hAnsi="Arial"/>
                <w:b w:val="false"/>
                <w:sz w:val="20"/>
              </w:rPr>
            </w:pPr>
            <w:r>
              <w:rPr>
                <w:rFonts w:ascii="Arial" w:hAnsi="Arial"/>
                <w:b w:val="false"/>
                <w:sz w:val="20"/>
              </w:rPr>
              <w:t>42.2</w:t>
            </w:r>
          </w:p>
        </w:tc>
        <w:tc>
          <w:tcPr>
            <w:tcW w:w="471" w:type="dxa"/>
            <w:tcBorders>
              <w:bottom w:val="double" w:sz="6"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r>
    </w:tbl>
    <w:p>
      <w:pPr>
        <w:pStyle w:val="TextBody"/>
        <w:spacing w:lineRule="auto" w:line="273" w:before="200" w:after="200"/>
        <w:jc w:val="left"/>
        <w:rPr>
          <w:rFonts w:ascii="Times New Roman" w:hAnsi="Times New Roman"/>
          <w:sz w:val="20"/>
        </w:rPr>
      </w:pPr>
      <w:r>
        <w:rPr>
          <w:rFonts w:ascii="Arial" w:hAnsi="Arial"/>
          <w:b w:val="false"/>
          <w:i/>
          <w:sz w:val="20"/>
        </w:rPr>
        <w:t>Operating Activities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Net cash</w:t>
      </w:r>
      <w:r>
        <w:rPr>
          <w:rFonts w:ascii="Times New Roman" w:hAnsi="Times New Roman"/>
          <w:sz w:val="20"/>
        </w:rPr>
        <w:t xml:space="preserve"> </w:t>
      </w:r>
      <w:r>
        <w:rPr>
          <w:rFonts w:ascii="Arial" w:hAnsi="Arial"/>
          <w:b w:val="false"/>
          <w:sz w:val="20"/>
        </w:rPr>
        <w:t>used in operating activities consists of net loss adjusted for certain non-cash items and changes in other assets and liabilities.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During the three months ended March 31, 2022, cash used in operating activities of $17.0 million was primarily the result of net loss of $10.1 million adjusted for non-cash expenses of $8.4 million, which primarily include stock-based compensation expenses of $5.5 million, depreciation and amortization of $2.8 million, non-cash interest expense of $0.1 million and amortization of deferred contract costs of $0.1 million, offset by $15.2 million related to changes in our operating assets and liabilities.</w:t>
      </w:r>
    </w:p>
    <w:p>
      <w:pPr>
        <w:pStyle w:val="TextBody"/>
        <w:spacing w:lineRule="auto" w:line="273" w:before="200" w:after="200"/>
        <w:jc w:val="left"/>
        <w:rPr>
          <w:rFonts w:ascii="Arial" w:hAnsi="Arial"/>
          <w:b w:val="false"/>
          <w:sz w:val="20"/>
        </w:rPr>
      </w:pPr>
      <w:r>
        <w:rPr>
          <w:rFonts w:ascii="Arial" w:hAnsi="Arial"/>
          <w:b w:val="false"/>
          <w:sz w:val="20"/>
        </w:rPr>
        <w:t>During the three months ended March 31, 2021, cash used in operating activities of $14.8 million was primarily the result of net loss of $8.7 million adjusted for non-cash expenses of $13.8 million, which primarily include stock-based compensation expenses of $10.4 million, depreciation and amortization of $2.1 million, and the change in fair value of preferred stock warrant liability of $1.0 million, offset by $19.9 million related to changes in our operating assets and liabilities.</w:t>
      </w:r>
    </w:p>
    <w:p>
      <w:pPr>
        <w:pStyle w:val="TextBody"/>
        <w:spacing w:lineRule="auto" w:line="273" w:before="200" w:after="200"/>
        <w:jc w:val="left"/>
        <w:rPr>
          <w:rFonts w:ascii="Times New Roman" w:hAnsi="Times New Roman"/>
          <w:sz w:val="20"/>
        </w:rPr>
      </w:pPr>
      <w:r>
        <w:rPr>
          <w:rFonts w:ascii="Arial" w:hAnsi="Arial"/>
          <w:b w:val="false"/>
          <w:i/>
          <w:sz w:val="20"/>
        </w:rPr>
        <w:t>Investing Activities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During the three months ended March 31, 2022, cash used in investing activities of $1.3 million was the result of the capitalization of internally developed software.</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2021, cash used in investing activities of $1.5 million was primarily the result of the capitalization of internally-developed software costs.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i/>
          <w:sz w:val="20"/>
        </w:rPr>
        <w:t>Financing Activities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2022, cash used in financing activities of $3.0 million was the result of payments for contingent consideration of $3.3 million related to our acquisition of Simplee, payments of tax withholdings for net settled option exercises of $0.8 million, offset by $1.1 million proceeds from the exercise of stock options, net of payments of tax withholdings.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three months ended March 31, 2021, cash provided by financing activities of $58.2 million was the result of our sale of preferred stock for aggregate proceeds of $59.7 million and proceeds from the exercise of stock options of $2.4 million, partially offset by payments for contingent consideration of $3.8 million related to our acquisition of Simplee and $0.2 million related to offering costs associated with our IPO.</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of March 31, 2022, we had $25.9 million of outstanding indebtedness under the Revolving Credit Facility. The proceeds of the Revolving Credit Facility were used to pay off the existing loan of $25.0 million. The Revolving Credit Facility consists of ABR loans or Eurodollar Borrowings, at our option. ABR loans bear interest at the ABR plus the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We have access to an additional $24.1 million of additional funds under the Revolving Credit Facility to draw in the future.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of March 31, 2021, we had $25.0 million of outstanding indebtedness under the LSA. The LSA was interest only until May 2023 and bore annual interest at a rate equal to the greater of (i) 5.25% above the prime rate of (ii) 8.50%. Refer to</w:t>
      </w:r>
      <w:r>
        <w:rPr>
          <w:rFonts w:ascii="Times New Roman" w:hAnsi="Times New Roman"/>
          <w:sz w:val="20"/>
        </w:rPr>
        <w:t xml:space="preserve"> </w:t>
      </w:r>
      <w:r>
        <w:rPr>
          <w:rFonts w:ascii="Arial" w:hAnsi="Arial"/>
          <w:b w:val="false"/>
          <w:i/>
          <w:sz w:val="20"/>
        </w:rPr>
        <w:t xml:space="preserve">Note 10 - Debt </w:t>
      </w:r>
      <w:r>
        <w:rPr>
          <w:rFonts w:ascii="Arial" w:hAnsi="Arial"/>
          <w:b w:val="false"/>
          <w:sz w:val="20"/>
        </w:rPr>
        <w:t>for additional details related to the LSA.</w:t>
      </w:r>
    </w:p>
    <w:p>
      <w:pPr>
        <w:pStyle w:val="TextBody"/>
        <w:spacing w:lineRule="auto" w:line="273" w:before="200" w:after="200"/>
        <w:jc w:val="left"/>
        <w:rPr>
          <w:rFonts w:ascii="Arial" w:hAnsi="Arial"/>
          <w:b/>
          <w:sz w:val="20"/>
        </w:rPr>
      </w:pPr>
      <w:r>
        <w:rPr>
          <w:rFonts w:ascii="Arial" w:hAnsi="Arial"/>
          <w:b/>
          <w:sz w:val="20"/>
        </w:rPr>
        <w:t>Critical Accounting Policies</w:t>
      </w:r>
    </w:p>
    <w:p>
      <w:pPr>
        <w:pStyle w:val="TextBody"/>
        <w:spacing w:lineRule="auto" w:line="273" w:before="200" w:after="200"/>
        <w:jc w:val="left"/>
        <w:rPr>
          <w:rFonts w:ascii="Times New Roman" w:hAnsi="Times New Roman"/>
          <w:sz w:val="20"/>
        </w:rPr>
      </w:pPr>
      <w:r>
        <w:rPr>
          <w:rFonts w:ascii="Arial" w:hAnsi="Arial"/>
          <w:b w:val="false"/>
          <w:sz w:val="20"/>
        </w:rPr>
        <w:t>Our condensed consolidated financial statements and the related notes thereto included elsewhere in this Quarterly Report on Form 10-Q are prepared in accordance with GAAP. The preparation of our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critical accounting policies and estimates</w:t>
      </w:r>
      <w:r>
        <w:rPr>
          <w:rFonts w:ascii="Times New Roman" w:hAnsi="Times New Roman"/>
          <w:sz w:val="20"/>
        </w:rPr>
        <w:t xml:space="preserve"> </w:t>
      </w:r>
      <w:r>
        <w:rPr>
          <w:rFonts w:ascii="Arial" w:hAnsi="Arial"/>
          <w:b w:val="false"/>
          <w:sz w:val="20"/>
        </w:rPr>
        <w:t xml:space="preserve">are described in the </w:t>
      </w:r>
      <w:r>
        <w:rPr>
          <w:rFonts w:ascii="Arial" w:hAnsi="Arial"/>
          <w:b w:val="false"/>
          <w:i/>
          <w:sz w:val="20"/>
        </w:rPr>
        <w:t>Management’s Discussion and Analysis of Financial Condition and Results of Operations</w:t>
      </w:r>
      <w:r>
        <w:rPr>
          <w:rFonts w:ascii="Times New Roman" w:hAnsi="Times New Roman"/>
          <w:sz w:val="20"/>
        </w:rPr>
        <w:t xml:space="preserve"> </w:t>
      </w:r>
      <w:r>
        <w:rPr>
          <w:rFonts w:ascii="Arial" w:hAnsi="Arial"/>
          <w:b w:val="false"/>
          <w:sz w:val="20"/>
        </w:rPr>
        <w:t>section of our Annual Report on Form 10-K for the fiscal year ended December 31, 2021.</w:t>
      </w:r>
      <w:r>
        <w:rPr>
          <w:rFonts w:ascii="Times New Roman" w:hAnsi="Times New Roman"/>
          <w:sz w:val="20"/>
        </w:rPr>
        <w:t xml:space="preserve"> </w:t>
      </w:r>
      <w:r>
        <w:rPr>
          <w:rFonts w:ascii="Arial" w:hAnsi="Arial"/>
          <w:b w:val="false"/>
          <w:sz w:val="20"/>
        </w:rPr>
        <w:t xml:space="preserve">Effective January 1, 2022, we changed our accounting policy for leases resulting from the adoption of ASC 842, </w:t>
      </w:r>
      <w:r>
        <w:rPr>
          <w:rFonts w:ascii="Arial" w:hAnsi="Arial"/>
          <w:b w:val="false"/>
          <w:i/>
          <w:sz w:val="20"/>
        </w:rPr>
        <w:t>Leases</w:t>
      </w:r>
      <w:r>
        <w:rPr>
          <w:rFonts w:ascii="Times New Roman" w:hAnsi="Times New Roman"/>
          <w:sz w:val="20"/>
        </w:rPr>
        <w:t xml:space="preserve"> </w:t>
      </w:r>
      <w:r>
        <w:rPr>
          <w:rFonts w:ascii="Arial" w:hAnsi="Arial"/>
          <w:b w:val="false"/>
          <w:sz w:val="20"/>
        </w:rPr>
        <w:t>and subsequent related ASUs. There were no other material changes to policies during the three months ended March 31, 2022.</w:t>
      </w:r>
    </w:p>
    <w:p>
      <w:pPr>
        <w:pStyle w:val="TextBody"/>
        <w:spacing w:lineRule="auto" w:line="273" w:before="200" w:after="200"/>
        <w:jc w:val="left"/>
        <w:rPr>
          <w:rFonts w:ascii="Arial" w:hAnsi="Arial"/>
          <w:b/>
          <w:i/>
          <w:sz w:val="20"/>
        </w:rPr>
      </w:pPr>
      <w:r>
        <w:rPr>
          <w:rFonts w:ascii="Arial" w:hAnsi="Arial"/>
          <w:b/>
          <w:i/>
          <w:sz w:val="20"/>
        </w:rPr>
        <w:t>Leases</w:t>
      </w:r>
    </w:p>
    <w:p>
      <w:pPr>
        <w:pStyle w:val="TextBody"/>
        <w:spacing w:lineRule="auto" w:line="273" w:before="200" w:after="200"/>
        <w:jc w:val="left"/>
        <w:rPr>
          <w:rFonts w:ascii="Times New Roman" w:hAnsi="Times New Roman"/>
          <w:sz w:val="20"/>
        </w:rPr>
      </w:pPr>
      <w:r>
        <w:rPr>
          <w:rFonts w:ascii="Arial" w:hAnsi="Arial"/>
          <w:b w:val="false"/>
          <w:sz w:val="20"/>
        </w:rPr>
        <w:t xml:space="preserve">On January 1, 2022, we adopted ASU 2016-02, </w:t>
      </w:r>
      <w:r>
        <w:rPr>
          <w:rFonts w:ascii="Arial" w:hAnsi="Arial"/>
          <w:b w:val="false"/>
          <w:i/>
          <w:sz w:val="20"/>
        </w:rPr>
        <w:t xml:space="preserve">Leases (Topic 842) </w:t>
      </w:r>
      <w:r>
        <w:rPr>
          <w:rFonts w:ascii="Arial" w:hAnsi="Arial"/>
          <w:b w:val="false"/>
          <w:sz w:val="20"/>
        </w:rPr>
        <w:t xml:space="preserve">and subsequent related ASUs using January 1, 2022 as the date of initial application. The new lease standard sets out the principles for the recognition, measurement, presentation and disclosure of leases for both parties to a contract (i.e., lessees and lessors). We elected the modified retrospective transition option which allows for application of Topic 842 at the adoption date. Therefore, comparative prior period financial information was not adjusted and will continue to be reported under the previous accounting guidance of ASC 840, </w:t>
      </w:r>
      <w:r>
        <w:rPr>
          <w:rFonts w:ascii="Arial" w:hAnsi="Arial"/>
          <w:b w:val="false"/>
          <w:i/>
          <w:sz w:val="20"/>
        </w:rPr>
        <w:t>Leases</w:t>
      </w:r>
      <w:r>
        <w:rPr>
          <w:rFonts w:ascii="Arial" w:hAnsi="Arial"/>
          <w:b w:val="false"/>
          <w:sz w:val="20"/>
        </w:rPr>
        <w:t>. No cumulative-effect adjustment to the opening accumulated deficit balance as of January 1, 2022 was necessary as a result of adopting the new standard. We elected the “package of practical expedients” permitted under the transition guidance which allowed us to not to reassess (i) whether any expired or existing contracts are, or contain, leases, (ii) the lease classification for any expired or existing leases and (iii) initial direct costs for any existing leases. We elected the practical expedient not to separate lease and non-lease components. We also elected the short-term lease recognition exemption and will not recognize ROU assets or lease liabilities for leases with a term less than 12 months. As a result of the adoption, we recognized ROU assets of $3.0 million in Other assets and a corresponding lease liability of $3.6 million in Other liabilities as of January 1, 2022. The ROU assets were adjusted per Topic 842 transition guidance for the existing deferred rent balance.</w:t>
      </w:r>
      <w:r>
        <w:rPr>
          <w:rFonts w:ascii="Times New Roman" w:hAnsi="Times New Roman"/>
          <w:sz w:val="20"/>
        </w:rPr>
        <w:t xml:space="preserve"> </w:t>
      </w:r>
      <w:r>
        <w:rPr>
          <w:rFonts w:ascii="Arial" w:hAnsi="Arial"/>
          <w:b w:val="false"/>
          <w:sz w:val="20"/>
        </w:rPr>
        <w:t>Refer to</w:t>
      </w:r>
      <w:r>
        <w:rPr>
          <w:rFonts w:ascii="Times New Roman" w:hAnsi="Times New Roman"/>
          <w:sz w:val="20"/>
        </w:rPr>
        <w:t xml:space="preserve"> </w:t>
      </w:r>
      <w:r>
        <w:rPr>
          <w:rFonts w:ascii="Arial" w:hAnsi="Arial"/>
          <w:b w:val="false"/>
          <w:i/>
          <w:sz w:val="20"/>
        </w:rPr>
        <w:t xml:space="preserve">Note 1 </w:t>
      </w:r>
      <w:r>
        <w:rPr>
          <w:rFonts w:ascii="Arial" w:hAnsi="Arial"/>
          <w:b w:val="false"/>
          <w:sz w:val="20"/>
        </w:rPr>
        <w:t xml:space="preserve">- </w:t>
      </w:r>
      <w:r>
        <w:rPr>
          <w:rFonts w:ascii="Arial" w:hAnsi="Arial"/>
          <w:b w:val="false"/>
          <w:i/>
          <w:sz w:val="20"/>
        </w:rPr>
        <w:t>Business Overview and Summary of Significant Accounting Policies</w:t>
      </w:r>
      <w:r>
        <w:rPr>
          <w:rFonts w:ascii="Times New Roman" w:hAnsi="Times New Roman"/>
          <w:sz w:val="20"/>
        </w:rPr>
        <w:t xml:space="preserve"> </w:t>
      </w:r>
      <w:r>
        <w:rPr>
          <w:rFonts w:ascii="Arial" w:hAnsi="Arial"/>
          <w:b w:val="false"/>
          <w:sz w:val="20"/>
        </w:rPr>
        <w:t>to our unaudited condensed consolidated financial statements appearing elsewhere in this Quarterly Report on Form 10-Q for details on accounting for leases after the adoption of ASC 842.</w:t>
      </w:r>
    </w:p>
    <w:p>
      <w:pPr>
        <w:pStyle w:val="TextBody"/>
        <w:spacing w:lineRule="auto" w:line="273" w:before="200" w:after="200"/>
        <w:jc w:val="left"/>
        <w:rPr>
          <w:rFonts w:ascii="Arial" w:hAnsi="Arial"/>
          <w:b/>
          <w:sz w:val="20"/>
        </w:rPr>
      </w:pPr>
      <w:r>
        <w:rPr>
          <w:rFonts w:ascii="Arial" w:hAnsi="Arial"/>
          <w:b/>
          <w:sz w:val="20"/>
        </w:rPr>
        <w:t>Emerging Growth Company Status</w:t>
      </w:r>
    </w:p>
    <w:p>
      <w:pPr>
        <w:pStyle w:val="TextBody"/>
        <w:spacing w:lineRule="auto" w:line="273" w:before="200" w:after="200"/>
        <w:jc w:val="left"/>
        <w:rPr>
          <w:rFonts w:ascii="Times New Roman" w:hAnsi="Times New Roman"/>
          <w:sz w:val="20"/>
        </w:rPr>
      </w:pPr>
      <w:r>
        <w:rPr>
          <w:rFonts w:ascii="Arial" w:hAnsi="Arial"/>
          <w:b w:val="false"/>
          <w:sz w:val="20"/>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39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We will cease to be an emerging growth company on the date that is the earliest of (i) the last day of the fiscal year in which we have total annual gross revenues of $1.07 billion or more, (ii) December 31, 2026, (iii) the date on which we have issued more than $1.0 billion in nonconvertible debt during the previous three years or (iv) the date on which we are deemed to be a large accelerated filer under the rules of the SEC.</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 - Risks Related to Ownership of Our Common Stock - We are an emerging growth company,” and we cannot be certain if the reduced disclosure requirements applicable to emerging growth companies will make our common stock less attractive to investors.</w:t>
      </w:r>
    </w:p>
    <w:p>
      <w:pPr>
        <w:pStyle w:val="TextBody"/>
        <w:spacing w:lineRule="auto" w:line="273" w:before="200" w:after="200"/>
        <w:jc w:val="left"/>
        <w:rPr>
          <w:rFonts w:ascii="Arial" w:hAnsi="Arial"/>
          <w:b/>
          <w:sz w:val="20"/>
        </w:rPr>
      </w:pPr>
      <w:r>
        <w:rPr>
          <w:rFonts w:ascii="Arial" w:hAnsi="Arial"/>
          <w:b/>
          <w:sz w:val="20"/>
        </w:rPr>
        <w:t>Recent Accounting Pronouncements</w:t>
      </w:r>
    </w:p>
    <w:p>
      <w:pPr>
        <w:pStyle w:val="TextBody"/>
        <w:spacing w:lineRule="auto" w:line="273" w:before="200" w:after="200"/>
        <w:jc w:val="left"/>
        <w:rPr>
          <w:rFonts w:ascii="Times New Roman" w:hAnsi="Times New Roman"/>
          <w:sz w:val="20"/>
        </w:rPr>
      </w:pPr>
      <w:r>
        <w:rPr>
          <w:rFonts w:ascii="Arial" w:hAnsi="Arial"/>
          <w:b w:val="false"/>
          <w:sz w:val="20"/>
        </w:rPr>
        <w:t xml:space="preserve">We have reviewed all recently issued standards and have determined that, other than as disclosed in </w:t>
      </w:r>
      <w:r>
        <w:rPr>
          <w:rFonts w:ascii="Arial" w:hAnsi="Arial"/>
          <w:b w:val="false"/>
          <w:i/>
          <w:sz w:val="20"/>
        </w:rPr>
        <w:t xml:space="preserve">Note 1 </w:t>
      </w:r>
      <w:r>
        <w:rPr>
          <w:rFonts w:ascii="Arial" w:hAnsi="Arial"/>
          <w:b w:val="false"/>
          <w:sz w:val="20"/>
        </w:rPr>
        <w:t xml:space="preserve">- </w:t>
      </w:r>
      <w:r>
        <w:rPr>
          <w:rFonts w:ascii="Arial" w:hAnsi="Arial"/>
          <w:b w:val="false"/>
          <w:i/>
          <w:sz w:val="20"/>
        </w:rPr>
        <w:t>Business Overview and Summary of Significant Accounting Policies</w:t>
      </w:r>
      <w:r>
        <w:rPr>
          <w:rFonts w:ascii="Times New Roman" w:hAnsi="Times New Roman"/>
          <w:sz w:val="20"/>
        </w:rPr>
        <w:t xml:space="preserve"> </w:t>
      </w:r>
      <w:r>
        <w:rPr>
          <w:rFonts w:ascii="Arial" w:hAnsi="Arial"/>
          <w:b w:val="false"/>
          <w:sz w:val="20"/>
        </w:rPr>
        <w:t>to our unaudited condensed consolidated financial statements appearing elsewhere in this Quarterly Report on Form 10-Q, such standards are not expected to have a material impact on our consolidated financial statements or do not otherwise apply to our operations.</w:t>
      </w:r>
    </w:p>
    <w:p>
      <w:pPr>
        <w:pStyle w:val="TextBody"/>
        <w:spacing w:lineRule="auto" w:line="273" w:before="360" w:after="200"/>
        <w:jc w:val="left"/>
        <w:rPr>
          <w:rFonts w:ascii="Arial" w:hAnsi="Arial"/>
          <w:b/>
          <w:sz w:val="20"/>
        </w:rPr>
      </w:pPr>
      <w:bookmarkStart w:id="15" w:name="item_3_quantitative"/>
      <w:bookmarkEnd w:id="15"/>
      <w:r>
        <w:rPr>
          <w:rFonts w:ascii="Arial" w:hAnsi="Arial"/>
          <w:b/>
          <w:sz w:val="20"/>
        </w:rPr>
        <w:t>Item 3. Quantitative and Qualitative Disclosures About Market Risk</w:t>
      </w:r>
    </w:p>
    <w:p>
      <w:pPr>
        <w:pStyle w:val="TextBody"/>
        <w:spacing w:lineRule="auto" w:line="273" w:before="200" w:after="200"/>
        <w:jc w:val="left"/>
        <w:rPr>
          <w:rFonts w:ascii="Times New Roman" w:hAnsi="Times New Roman"/>
          <w:sz w:val="20"/>
        </w:rPr>
      </w:pPr>
      <w:r>
        <w:rPr>
          <w:rFonts w:ascii="Arial" w:hAnsi="Arial"/>
          <w:b w:val="false"/>
          <w:sz w:val="20"/>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Interest Rate Risk</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Our Revolving Credit Facility consists of ABR loans or Eurodollar Borrowings, at our option. ABR loans bear interest at the ABR plus applicable rate. Eurodollar Borrowings bear interest at the Adjusted LIBO Rate plus the applicable rate. The ABR rate is based on the greatest of (a) the Prime Rate (b) the Federal Funds Effective Rate plus 1/2 of 1% and (c) the Adjusted LIBO Rate for a one-month Interest Period plus 1%. The adjusted LIBO rate is based on (a) the LIBO Rate multiplied by (b) the Statutory Reserve Rate. The applicable rate is based upon our liquidity as of the most recent consolidated financial information and ranges from 0.75% to 2.25%. The Revolving Credit Facility incurs a commitment fee ranging from 0.25% to 0.35% based upon our liquidity as of the most recent consolidated financial information assessed on the average undrawn portion of the available commitment. As of March 31, 2022, $25.9 million was outstanding under our Revolving Credit Facility. An immediate 10% increase or decrease in interest rates would not have a material effect on our financial position, results of operations or cash flows.</w:t>
      </w:r>
    </w:p>
    <w:p>
      <w:pPr>
        <w:pStyle w:val="TextBody"/>
        <w:spacing w:lineRule="auto" w:line="273" w:before="200" w:after="200"/>
        <w:jc w:val="left"/>
        <w:rPr>
          <w:rFonts w:ascii="Times New Roman" w:hAnsi="Times New Roman"/>
          <w:sz w:val="20"/>
        </w:rPr>
      </w:pPr>
      <w:r>
        <w:rPr>
          <w:rFonts w:ascii="Arial" w:hAnsi="Arial"/>
          <w:b w:val="false"/>
          <w:sz w:val="20"/>
        </w:rPr>
        <w:t>Prior to our Revolving Credit Facility, we incurred borrowings under the LSA which accrued interest at a floating per annum rate equal to the greater of (i) 5.25% above the prime rate; or (ii) 8.50%. As of March 31, 2021, $24.4 million was outstanding under the LSA.</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Foreign Currency Exchange Risk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 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w:t>
      </w:r>
      <w:r>
        <w:rPr>
          <w:rFonts w:ascii="Times New Roman" w:hAnsi="Times New Roman"/>
          <w:sz w:val="20"/>
        </w:rPr>
        <w:t xml:space="preserve"> </w:t>
      </w:r>
      <w:r>
        <w:rPr>
          <w:rFonts w:ascii="Arial" w:hAnsi="Arial"/>
          <w:b w:val="false"/>
          <w:sz w:val="20"/>
        </w:rPr>
        <w:t>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Inflation Risk</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We do not believe that inflation had a material effect on our cash flows and results of operations during the three months ended March 31, 2022. If our costs were to become subject to significant inflationary pressures, we may not be able to fully offset such higher costs through increase in prices of our product offerings.</w:t>
      </w:r>
    </w:p>
    <w:p>
      <w:pPr>
        <w:pStyle w:val="TextBody"/>
        <w:spacing w:lineRule="auto" w:line="273" w:before="360" w:after="0"/>
        <w:jc w:val="left"/>
        <w:rPr>
          <w:rFonts w:ascii="Arial" w:hAnsi="Arial"/>
          <w:b/>
          <w:sz w:val="20"/>
        </w:rPr>
      </w:pPr>
      <w:bookmarkStart w:id="16" w:name="item_4"/>
      <w:bookmarkEnd w:id="16"/>
      <w:r>
        <w:rPr>
          <w:rFonts w:ascii="Arial" w:hAnsi="Arial"/>
          <w:b/>
          <w:sz w:val="20"/>
        </w:rPr>
        <w:t>Item 4. Controls and Procedures</w:t>
      </w:r>
    </w:p>
    <w:p>
      <w:pPr>
        <w:pStyle w:val="TextBody"/>
        <w:spacing w:lineRule="auto" w:line="273" w:before="200" w:after="200"/>
        <w:jc w:val="left"/>
        <w:rPr>
          <w:rFonts w:ascii="Times New Roman" w:hAnsi="Times New Roman"/>
          <w:sz w:val="20"/>
        </w:rPr>
      </w:pPr>
      <w:r>
        <w:rPr>
          <w:rFonts w:ascii="Arial" w:hAnsi="Arial"/>
          <w:b/>
          <w:sz w:val="20"/>
        </w:rPr>
        <w:t>Evaluation of Disclosure Controls and Procedures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Our management, with the participation of our Chief Executive Officer and Chief Financial Officer, has evaluated the effectiveness of our disclosure controls and procedures as of March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Based on such evaluation, our Chief Executive Officer and Chief Financial Officer concluded that, as of March 31, 2022, our disclosure controls and procedures were effective at the reasonable assurance level.</w:t>
      </w:r>
    </w:p>
    <w:p>
      <w:pPr>
        <w:pStyle w:val="TextBody"/>
        <w:spacing w:lineRule="auto" w:line="273" w:before="200" w:after="200"/>
        <w:jc w:val="left"/>
        <w:rPr>
          <w:rFonts w:ascii="Times New Roman" w:hAnsi="Times New Roman"/>
          <w:sz w:val="20"/>
        </w:rPr>
      </w:pPr>
      <w:r>
        <w:rPr>
          <w:rFonts w:ascii="Arial" w:hAnsi="Arial"/>
          <w:b/>
          <w:sz w:val="20"/>
        </w:rPr>
        <w:t>Changes in Internal Control over Financial Reporting</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There were no changes in our internal control over financial reporting identified in connection with the evaluation required by Rule 13a- 15(d) and 15d-15(d) of the Exchange Act that occurred during the quarter ended March 31, 2022 that have materially affected, or are reasonably likely to materially affect, our internal control over financial reporting.</w:t>
      </w:r>
    </w:p>
    <w:p>
      <w:pPr>
        <w:pStyle w:val="TextBody"/>
        <w:spacing w:lineRule="auto" w:line="273" w:before="200" w:after="200"/>
        <w:jc w:val="left"/>
        <w:rPr>
          <w:rFonts w:ascii="Times New Roman" w:hAnsi="Times New Roman"/>
          <w:sz w:val="20"/>
        </w:rPr>
      </w:pPr>
      <w:r>
        <w:rPr>
          <w:rFonts w:ascii="Arial" w:hAnsi="Arial"/>
          <w:b/>
          <w:sz w:val="20"/>
        </w:rPr>
        <w:t>Inherent Limitations on Effectiveness of Controls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41</w:t>
      </w:r>
    </w:p>
    <w:p>
      <w:pPr>
        <w:pStyle w:val="HorizontalLine"/>
        <w:rPr/>
      </w:pPr>
      <w:r>
        <w:rPr/>
      </w:r>
    </w:p>
    <w:p>
      <w:pPr>
        <w:pStyle w:val="TextBody"/>
        <w:spacing w:lineRule="auto" w:line="273" w:before="0" w:after="0"/>
        <w:jc w:val="left"/>
        <w:rPr/>
      </w:pPr>
      <w:r>
        <w:rPr/>
        <w:t> </w:t>
      </w:r>
    </w:p>
    <w:p>
      <w:pPr>
        <w:pStyle w:val="TextBody"/>
        <w:spacing w:lineRule="auto" w:line="273" w:before="360" w:after="200"/>
        <w:jc w:val="left"/>
        <w:rPr>
          <w:rFonts w:ascii="Arial" w:hAnsi="Arial"/>
          <w:b/>
          <w:sz w:val="20"/>
        </w:rPr>
      </w:pPr>
      <w:bookmarkStart w:id="17" w:name="other_info"/>
      <w:bookmarkEnd w:id="17"/>
      <w:r>
        <w:rPr>
          <w:rFonts w:ascii="Arial" w:hAnsi="Arial"/>
          <w:b/>
          <w:sz w:val="20"/>
        </w:rPr>
        <w:t>PART II - OTHER INFORMATION</w:t>
      </w:r>
    </w:p>
    <w:p>
      <w:pPr>
        <w:pStyle w:val="TextBody"/>
        <w:spacing w:lineRule="auto" w:line="273" w:before="200" w:after="200"/>
        <w:jc w:val="left"/>
        <w:rPr>
          <w:rFonts w:ascii="Arial" w:hAnsi="Arial"/>
          <w:b/>
          <w:sz w:val="20"/>
        </w:rPr>
      </w:pPr>
      <w:bookmarkStart w:id="18" w:name="item_1"/>
      <w:bookmarkEnd w:id="18"/>
      <w:r>
        <w:rPr>
          <w:rFonts w:ascii="Arial" w:hAnsi="Arial"/>
          <w:b/>
          <w:sz w:val="20"/>
        </w:rPr>
        <w:t>Item 1. Legal Proceedings</w:t>
      </w:r>
    </w:p>
    <w:p>
      <w:pPr>
        <w:pStyle w:val="TextBody"/>
        <w:spacing w:lineRule="auto" w:line="273" w:before="200" w:after="200"/>
        <w:jc w:val="left"/>
        <w:rPr>
          <w:rFonts w:ascii="Arial" w:hAnsi="Arial"/>
          <w:b w:val="false"/>
          <w:sz w:val="20"/>
        </w:rPr>
      </w:pPr>
      <w:r>
        <w:rPr>
          <w:rFonts w:ascii="Arial" w:hAnsi="Arial"/>
          <w:b w:val="false"/>
          <w:sz w:val="20"/>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condensed consolidated financial statements. The results of any future litigation cannot be predicted with certainty, and regardless of the outcome, litigation can have an adverse impact on us because of defense and settlement costs, diversion of management resources, and other factors.</w:t>
      </w:r>
    </w:p>
    <w:p>
      <w:pPr>
        <w:pStyle w:val="TextBody"/>
        <w:spacing w:lineRule="auto" w:line="273" w:before="200" w:after="200"/>
        <w:jc w:val="left"/>
        <w:rPr>
          <w:rFonts w:ascii="Times New Roman" w:hAnsi="Times New Roman"/>
          <w:sz w:val="20"/>
        </w:rPr>
      </w:pPr>
      <w:bookmarkStart w:id="19" w:name="item_1a"/>
      <w:bookmarkEnd w:id="19"/>
      <w:r>
        <w:rPr>
          <w:rFonts w:ascii="Arial" w:hAnsi="Arial"/>
          <w:b/>
          <w:sz w:val="20"/>
        </w:rPr>
        <w:t>It</w:t>
      </w:r>
      <w:bookmarkStart w:id="20" w:name="item_1a_risk_factors_1"/>
      <w:bookmarkEnd w:id="20"/>
      <w:r>
        <w:rPr>
          <w:rFonts w:ascii="Arial" w:hAnsi="Arial"/>
          <w:b/>
          <w:sz w:val="20"/>
        </w:rPr>
        <w:t>em 1A. Risk Factors</w:t>
      </w:r>
    </w:p>
    <w:p>
      <w:pPr>
        <w:pStyle w:val="TextBody"/>
        <w:spacing w:lineRule="auto" w:line="273" w:before="200" w:after="200"/>
        <w:jc w:val="left"/>
        <w:rPr>
          <w:rFonts w:ascii="Times New Roman" w:hAnsi="Times New Roman"/>
          <w:sz w:val="20"/>
        </w:rPr>
      </w:pPr>
      <w:r>
        <w:rPr>
          <w:rFonts w:ascii="Arial" w:hAnsi="Arial"/>
          <w:b w:val="false"/>
          <w:i/>
          <w:sz w:val="20"/>
        </w:rPr>
        <w:t>Investing in our common stock involves a high degree of risk. Before deciding whether to invest in shares of our common stock, you should consider carefully the risks and uncertainties described below, together with all of the other information in this Quarterly Report on Form 10-Q, including “Management’s Discussion and Analysis of Financial Condition and Results of Operations” and our consolidated financial statements and the accompanying notes included elsewhere in this Quarterly Report on Form 10-Q.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Risk Factors Summary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business operations are subject to numerous risks and uncertainties, including those outside of our control, which could cause our actual results to be harmed, including risks regarding the following:</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Risks Related to Our Business and Industry</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have a history of operating losses and may not achieve or sustain profitability in the future.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have a short operating history at our current scale in a rapidly evolving industry.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may be unable to retain our current clients, attract new clients, and increase the number of our clients’ customers that use our solutions or sell additional functionality to our clients.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We may be adversely affected by the COVID-19 global pandemic and related responsive actions.</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Efforts to attract new clients may be unsuccessful.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We may be unable to expand our direct and channel sales capabilities, grow our marketing reach and increase sales productivity.</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expect our revenue mix to vary over time, which could affect our gross margin and results of operations.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business could be adversely affected if our clients and their customers are not satisfied with the timing or quality of implementation services provided by us or our partners.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financial and operating results are subject to seasonality and cyclicality.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Certain of our key performance indicators are subject to inherent challenges in measurement.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business depends, in large part, on our proprietary network of global, regional, and local banking partners and our relationships with other third parties.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estimates of market opportunity and our ability to capture a meaningful share of this payment volume may prove to be inaccurate.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42</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education business may be adversely affected by decreases in enrollment or tuition, or increased operating expenses for our clients.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healthcare industry is rapidly evolving.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travel business may be sensitive to events affecting the travel industry in general.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may be unable to enter or expand into new verticals, including our relatively new B2B payment vertical.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There could be consolidation in the payment processing or enablement industry. </w:t>
      </w:r>
    </w:p>
    <w:p>
      <w:pPr>
        <w:pStyle w:val="TextBody"/>
        <w:spacing w:lineRule="auto" w:line="273" w:before="200" w:after="200"/>
        <w:jc w:val="left"/>
        <w:rPr>
          <w:rFonts w:ascii="Times New Roman" w:hAnsi="Times New Roman"/>
          <w:sz w:val="20"/>
        </w:rPr>
      </w:pPr>
      <w:r>
        <w:rPr>
          <w:rFonts w:ascii="Arial" w:hAnsi="Arial"/>
          <w:b/>
          <w:i/>
          <w:sz w:val="20"/>
        </w:rPr>
        <w:t>Risks Related to Our Operations</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may not be able to scale our business quickly enough to meet our growing client base.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enable the transfer of large sums of funds to our clients daily and are subject to the risk of errors.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may be unable to maintain or expand our ability to offer a variety of local and international payments.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Improper or unauthorized use of, disclosure of, or access to personal or sensitive data could harm our reputation.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are exposed to fluctuations in foreign currency exchange rates.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may fail to adapt and respond effectively to rapidly changing technology, evolving industry standards, changing regulations, and changing business needs, requirements, or preferences.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Changes to payment card networks fees or rules could harm our business. </w:t>
      </w:r>
    </w:p>
    <w:p>
      <w:pPr>
        <w:pStyle w:val="TextBody"/>
        <w:spacing w:lineRule="auto" w:line="273" w:before="200" w:after="200"/>
        <w:jc w:val="left"/>
        <w:rPr>
          <w:rFonts w:ascii="Times New Roman" w:hAnsi="Times New Roman"/>
          <w:sz w:val="20"/>
        </w:rPr>
      </w:pPr>
      <w:r>
        <w:rPr>
          <w:rFonts w:ascii="Arial" w:hAnsi="Arial"/>
          <w:b/>
          <w:i/>
          <w:sz w:val="20"/>
        </w:rPr>
        <w:t>Risks Related to Our Legal, Regulatory and Compliance Landscape</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Payments and other financial services-related regulations and oversight are material to our business.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are subject to governmental laws and requirements regarding economic and trade sanctions, anti-money laundering (AML), countering the financing of terrorism (CFT) and those applicable to a money service business (MSB).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are subject to governmental regulation and other legal obligations, particularly those related to privacy, data protection, information security, anti-corruption, anti-bribery, and similar laws. </w:t>
      </w:r>
    </w:p>
    <w:p>
      <w:pPr>
        <w:pStyle w:val="TextBody"/>
        <w:spacing w:lineRule="auto" w:line="273" w:before="200" w:after="200"/>
        <w:jc w:val="left"/>
        <w:rPr>
          <w:rFonts w:ascii="Times New Roman" w:hAnsi="Times New Roman"/>
          <w:sz w:val="20"/>
        </w:rPr>
      </w:pPr>
      <w:r>
        <w:rPr>
          <w:rFonts w:ascii="Arial" w:hAnsi="Arial"/>
          <w:b/>
          <w:i/>
          <w:sz w:val="20"/>
        </w:rPr>
        <w:t>Risks Related to Being a Public Company</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may fail to develop and maintain proper effective internal control over financial reporting.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Estimates relating to our critical accounting policies may prove to be incorrect.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will continue to incur increased costs as a public company. </w:t>
      </w:r>
    </w:p>
    <w:p>
      <w:pPr>
        <w:pStyle w:val="TextBody"/>
        <w:spacing w:lineRule="auto" w:line="273" w:before="200" w:after="200"/>
        <w:jc w:val="left"/>
        <w:rPr>
          <w:rFonts w:ascii="Times New Roman" w:hAnsi="Times New Roman"/>
          <w:sz w:val="20"/>
        </w:rPr>
      </w:pPr>
      <w:r>
        <w:rPr>
          <w:rFonts w:ascii="Arial" w:hAnsi="Arial"/>
          <w:b/>
          <w:i/>
          <w:sz w:val="20"/>
        </w:rPr>
        <w:t>Risks Related to Ownership of Our Common Stock</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Raising additional capital may cause dilution to our existing stockholders, restrict our operations, or require us to relinquish rights to our intellectual property on unfavorable terms.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Securities and industry analysts may not publish or publish inaccurate or unfavorable research about our business. </w:t>
      </w:r>
    </w:p>
    <w:p>
      <w:pPr>
        <w:pStyle w:val="TextBody"/>
        <w:spacing w:lineRule="auto" w:line="273" w:before="200" w:after="200"/>
        <w:jc w:val="left"/>
        <w:rPr>
          <w:rFonts w:ascii="Times New Roman" w:hAnsi="Times New Roman"/>
          <w:sz w:val="20"/>
        </w:rPr>
      </w:pPr>
      <w:r>
        <w:rPr>
          <w:rFonts w:ascii="Arial" w:hAnsi="Arial"/>
          <w:b/>
          <w:sz w:val="20"/>
        </w:rPr>
        <w:t>Risks Related to Our Business and Industry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have a history of operating losses and may not achieve or sustain profitability in the future.</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We were incorporated in 2009 and have experienced net losses from our operations since inception. We generated net losses of $28.1 million and $11.1 million the years ended December 31, 2021 and 2020, respectively, and $10.1</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million during the three months ended March 31, 2022. In addition, as of March 31, 2022, we had an accumulated deficit of $136.0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volume of payments processed.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we expect to continue to expend substantial management time, financial and other resources on:</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sales, marketing, relationship management and client support, including an expansion of our sales organization, and new client support and payer retention initiatives;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technology infrastructure, including systems architecture, scalability, availability, performance, and security;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technology development, including investments in our technology development team and the development of new solutions and new functionality;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expanding into more international markets;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attracting new clients and increasing the number of our clients’ customers that use our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acquisitions or strategic investments;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regulatory compliance and risk management;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general administration, including increased insurance, legal and accounting expenses associated with being a public company. </w:t>
      </w:r>
    </w:p>
    <w:p>
      <w:pPr>
        <w:pStyle w:val="TextBody"/>
        <w:spacing w:lineRule="auto" w:line="273" w:before="200" w:after="200"/>
        <w:jc w:val="left"/>
        <w:rPr>
          <w:rFonts w:ascii="Times New Roman" w:hAnsi="Times New Roman"/>
          <w:sz w:val="20"/>
        </w:rPr>
      </w:pPr>
      <w:r>
        <w:rPr>
          <w:rFonts w:ascii="Arial" w:hAnsi="Arial"/>
          <w:b w:val="false"/>
          <w:sz w:val="20"/>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have a short operating history at our current scale in a rapidly evolving industry and, as a result, our past results may not be indicative of future operating performance.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future success will depend in large part upon our ability to, among other things:</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cost-effectively acquire new clients and retain existing clients;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44</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withstand the impacts of the COVID-19 pandemic;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increase our market share;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avoid pricing pressure on our solutions which would compress our margins;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effectively market our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enhance our existing solutions and develop new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increase awareness of our brand and maintain our reputation;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ability to offer seamless experience for our clients and their customers, including all user facing attributes ranging from the user interface to client and customer support;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anticipate and respond to macroeconomic changes;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expand our solutions and geographic reach, including with respect to B2B and travel payments;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anticipate and effectively respond to changing trends and the preferences of clients and their customers;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compete effectively;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avoid interruptions in our business from IT downtime, cybersecurity breaches, or labor stoppages;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effectively manage our growth;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hire, integrate, and retain talented people at all levels of our organization;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maintain the quality of our technology infrastructure;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retain our existing proprietary global network of banking and other payment partners and add new banking and other payment partners to scale our business;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retain our existing technology partners that allow us to provide alternative payment methods and add new technology partners to scale our business. </w:t>
      </w:r>
    </w:p>
    <w:p>
      <w:pPr>
        <w:pStyle w:val="TextBody"/>
        <w:spacing w:lineRule="auto" w:line="273" w:before="200" w:after="200"/>
        <w:jc w:val="left"/>
        <w:rPr>
          <w:rFonts w:ascii="Times New Roman" w:hAnsi="Times New Roman"/>
          <w:sz w:val="20"/>
        </w:rPr>
      </w:pPr>
      <w:r>
        <w:rPr>
          <w:rFonts w:ascii="Arial" w:hAnsi="Arial"/>
          <w:b w:val="false"/>
          <w:sz w:val="20"/>
        </w:rPr>
        <w:t>If we fail to address the risks and difficulties that we face, including those associated with the challenges listed above as well as those described elsewhere in this section titled “Risk Factors”, our business and operating results will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are unable to retain our current clients, attract new clients and increase the number of our clients’ customers that use our solutions or sell additional functionality to our clients, our revenue growth and operating results will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the market for our solutions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the market for our solutions matures,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operating margins. In particular, it has become more common in the education sector for competitors to offer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45</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revenue.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our solutions, and the pricing of additional functionality. If our efforts to sell additional functionality to our clients are not successful, our business and growth prospects would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such implementation, but we would also have lost the opportunity to leverage those resources to build a relationship with other clients over that same period of time.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may experience quarterly fluctuations in our operating results, as well as our key metrics, due to a number of factors which make our future results difficult to predict and could cause our operating results to fall below expectations or our guidance.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operating results have varied in the past and are expected to continue to do so in the future. In addition to other risk factors listed in this section titled “Risk Factors”, factors that may affect our quarterly operating results, business and financial condition include the following: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demand for our solutions and the number, volume and timing of payments processed;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timing of tuition payments;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market acceptance of our current and future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revenue mix in a particular quarter;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mix of payment methods and currencies utilized by our clients’ customers in a particular quarter;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 slowdown in spending on IT and software by our current and/or prospective clients;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sales cycles and performance of our direct and indirect sales force;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budgeting and implementation cycles of our current or potential clients;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foreign currency exchange rate fluctuations;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management, performance and expansion of our domestic and international operations;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rate of renewals of contracts with our clients;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changes in the competitive dynamics of our markets;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ability to control and predict costs, including our operating expenses;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clients delaying purchasing decisions, including in anticipation of new products or product enhancements by us or our competitors;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seasonality of our business;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failure to successfully manage or integrate any acquisitions, including our acquisition of Simplee and recent acquisition of WPM;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outcome or publicity surrounding any pending or threatened lawsuits;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general economic and political conditions in our domestic and international markets, including inflation and fluctuations in supply chains;</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unexpected events, including those resulting from climate change or geopolitical events;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continuing effects of the COVID-19 pandemic and the responses thereto. </w:t>
      </w:r>
    </w:p>
    <w:p>
      <w:pPr>
        <w:pStyle w:val="TextBody"/>
        <w:spacing w:lineRule="auto" w:line="273" w:before="200" w:after="200"/>
        <w:jc w:val="left"/>
        <w:rPr>
          <w:rFonts w:ascii="Times New Roman" w:hAnsi="Times New Roman"/>
          <w:sz w:val="20"/>
        </w:rPr>
      </w:pPr>
      <w:r>
        <w:rPr>
          <w:rFonts w:ascii="Arial" w:hAnsi="Arial"/>
          <w:b w:val="false"/>
          <w:sz w:val="20"/>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global impacts of the COVID-19 pandemic and related government actions taken to reduce the spread of the virus, including the variants of the virus, have significantly increased economic uncertainty and reduced economic activity. The pandemic has resulted in authorities implementing numerous measures to try to contain the virus, such as travel bans and restrictions, quarantines, shelter-in-place or total lock-down orders and business limitations and shutdowns that began in the second quarter of fiscal year 2020.</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the spread of COVID-19 has caused us to modify our business practices, including restricting employee travel, implementing office closures, having our employees, who we call FlyMates, work remotely and canceling physical participation in meetings, events and conferences. We may take further actions in response to the continuing effects of the global pandemic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During the year ended December 31, 2020, we experienced periods of reduced payment volume in some of the industries we serve, including travel and education. Cross-border payment volumes were heavily impacted by the decline in travel as a result of the COVID-19 pandemic. During the year ended December 31, 2021, we observed a recovery in payment volumes in the industries we serve, including travel and education. The introduction of COVID-19 vaccines allowed for reopening of many higher education institutions to foreign students, and borders began to open for travel. The emergence of variants (most notably Delta and Omicron) and sub-variants has periodically slowed the reopening, and we will monitor new strains of COVID-19 as they are discovered. International cross-border transaction revenue represents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third party disruptions, including potential outages at network providers and other suppliers;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supply chain impacts, including shortages of goods, raw materials or delays in shipment;</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pandemic; and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47</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additional regulatory requirements, including, for example, government initiatives or requests to reduce or eliminate payment fees or other costs. </w:t>
      </w:r>
    </w:p>
    <w:p>
      <w:pPr>
        <w:pStyle w:val="TextBody"/>
        <w:spacing w:lineRule="auto" w:line="273" w:before="200" w:after="200"/>
        <w:jc w:val="left"/>
        <w:rPr>
          <w:rFonts w:ascii="Times New Roman" w:hAnsi="Times New Roman"/>
          <w:sz w:val="20"/>
        </w:rPr>
      </w:pPr>
      <w:r>
        <w:rPr>
          <w:rFonts w:ascii="Arial" w:hAnsi="Arial"/>
          <w:b w:val="false"/>
          <w:sz w:val="20"/>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while in effect, may have slowed our growth. Although we began increasing our operating expenses since such time, the impact from the COVID-19 pandemic on our business, results of operations and financial condition in the longer term remains difficult to predict.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offices are currently open for optional use by FlyMates, in some instances at limited capacity, as allowed under national, state and local orders. While we have implemented what we believe to be a comprehensive protocol to ensure the safety and wellbeing of employees returning to the office, including as required health screenings, physical changes to our floor layout,</w:t>
      </w:r>
      <w:r>
        <w:rPr>
          <w:rFonts w:ascii="Times New Roman" w:hAnsi="Times New Roman"/>
          <w:sz w:val="20"/>
        </w:rPr>
        <w:t xml:space="preserve"> </w:t>
      </w:r>
      <w:r>
        <w:rPr>
          <w:rFonts w:ascii="Arial" w:hAnsi="Arial"/>
          <w:b w:val="false"/>
          <w:sz w:val="20"/>
        </w:rPr>
        <w:t>periodic testing and required proper personal protection equipment, these protocols may not be sufficient to mitigate the risks posed by the virus or otherwise be satisfactory to government authorities.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 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such chargeback risk to our client, if the client has gone out of business, we may be unable to collect on the chargeback and will bear the economic loss, which will negatively impact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a result, we may continue to experience materially adverse impacts to our business as a result of the global economic impact of the COVID-19 pandemic, including lower domestic and cross border spending trends, the availability of credit, adverse impacts on our liquidity, and any recessionary conditions that persist, and exacerbate many of the other known risks described in this section titled “Risk Factors”.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our efforts to attract new clients and increase the number of our clients’ customers that use our solutions are unsuccessful, our revenue growth and operating results will be adversely affected.</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pStyle w:val="TextBody"/>
        <w:spacing w:lineRule="auto" w:line="273" w:before="200" w:after="200"/>
        <w:jc w:val="left"/>
        <w:rPr>
          <w:rFonts w:ascii="Times New Roman" w:hAnsi="Times New Roman"/>
          <w:sz w:val="20"/>
        </w:rPr>
      </w:pPr>
      <w:r>
        <w:rPr>
          <w:rFonts w:ascii="Arial" w:hAnsi="Arial"/>
          <w:b/>
          <w:i/>
          <w:sz w:val="20"/>
        </w:rPr>
        <w:t>If we are unable to expand our direct and channel sales capabilities, grow our marketing reach and increase sales productivity, we may not be able to generate increased revenues.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productivity levels, or if our sales, channel strategy and marketing programs and advertising are not effective, we may not be able to expand our business and grow our revenue, which may harm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expect our revenue mix to vary over time, which could affect our gross margin and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business could be adversely affected if our clients or their customers are not satisfied with the timing or quality of implementation services provided by us or our partners.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us,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financial and operating results are subject to seasonality and cyclicality.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financial and operating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spring semester, or the entire academic year, respectively. We expect this seasonality of education tuition processing to continue and expect it to impact the amount of processing fees that we earn and the level of expenses we incur to generate tuition payment volume and process the higher volume activity in a particular fiscal quarter. During the COVID-19 pandemic, we initially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However, with the increase in availability of vaccines, educational institutions have, for the most part, returned to their normal billing cycles and payment due dates. Many higher education institutions are mandating full vaccination to promote normal operations and allowing students from abroad to return to their facilities. Similarly, subsectors of our travel client portfolio will experience increased seasonality as many of our travel clients depend upon advance planning for vacation or holiday travel, which has been hampered by the ongoing COVID-19 pandemic and related governmental and regulatory responses.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Certain of our key performance indicators are subject to inherent challenges in measurement, and real or perceived inaccuracies in such metrics may harm our reputation and negatively affect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49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i/>
          <w:sz w:val="20"/>
        </w:rPr>
        <w:t>Our business depends, in large part, on our proprietary network of global, regional and local banking partners.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AML policies and know-your customer (KYC)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growth depends in part on the success of our relationships with other (non-banking) third parties.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have established relationships with a number of other companies, including financial institutions, processors, other financial services suppliers, channel sales partners, providers of electronic health records (EHR) services, implementation partners, technology and cloud-based hosting providers, and others. In order to grow our business, we will need to continue to establish and maintain relationships with these types of third parties, and 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our strategic relationships are successful, we cannot assure you that these relationships will result in increased client usage of our solutions or increased revenues.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markets in which we participate are competitive, and if we do not compete effectively, our operating results could be harmed.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or common language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i/>
          <w:sz w:val="20"/>
        </w:rPr>
        <w:t>Our estimates of market opportunity and our ability to capture a meaningful share of this payment volume may prove to be inaccurate, and even if the market in which we compete achieves the forecasted growth, our business could fail to grow at similar rates, if at all.</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Our market opportunity estimates,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our business could fail to grow at similar rates, if at all. Our growth is subject to many factors, including our success in implementing our business strategy, which is subject to many risks and uncertainties.</w:t>
      </w:r>
    </w:p>
    <w:p>
      <w:pPr>
        <w:pStyle w:val="TextBody"/>
        <w:spacing w:lineRule="auto" w:line="273" w:before="200" w:after="200"/>
        <w:jc w:val="left"/>
        <w:rPr>
          <w:rFonts w:ascii="Times New Roman" w:hAnsi="Times New Roman"/>
          <w:sz w:val="20"/>
        </w:rPr>
      </w:pPr>
      <w:r>
        <w:rPr>
          <w:rFonts w:ascii="Arial" w:hAnsi="Arial"/>
          <w:b/>
          <w:i/>
          <w:sz w:val="20"/>
        </w:rPr>
        <w:t>Our clients in the education sector may be adversely affected by decreases in enrollment, pressure on tuition costs, or increased operating expenses, which may reduce demand for our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Reduced enrollment in higher education due to lack of funding, increases to cost of attendance or other inflationary pressure. Significant reductions in student funding, through grants or loans, may reduce enrollments and decrease the payment volume we process. Potential students may also be deterred by increases in the cost of attendance.</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Government supported institutions may experience losses or reduction in public funding. Many of our clients rely considerably upon public funding or support, which may not always be available due to budget constraints.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Changing perceptions about in-person classes. Students may reject the opportunity to attend courses in person, when online or virtual classes are offered as an option, due to growing familiarity and perceived convenience of remote learning, the ongoing COVID-19 pandemic or a lower price point for online classes.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clients’ rankings, reputation and marketing efforts strongly affect enrollments, none of which we control. If we fail to maintain or add clients with strong, stable reputations and rankings, they will fail to achieve consistent enrollments.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General economic conditions. Any contraction in the economy could be expected to reduce enrollment in higher education, whether by reducing funding, reducing corporate allowances for continuing education, general reductions in employment or savings or other factors. </w:t>
      </w:r>
    </w:p>
    <w:p>
      <w:pPr>
        <w:pStyle w:val="TextBody"/>
        <w:spacing w:lineRule="auto" w:line="273" w:before="200" w:after="200"/>
        <w:jc w:val="left"/>
        <w:rPr>
          <w:rFonts w:ascii="Times New Roman" w:hAnsi="Times New Roman"/>
          <w:sz w:val="20"/>
        </w:rPr>
      </w:pPr>
      <w:r>
        <w:rPr>
          <w:rFonts w:ascii="Arial" w:hAnsi="Arial"/>
          <w:b w:val="false"/>
          <w:sz w:val="20"/>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51</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evolving nature of the healthcare and technology industries and the substantial resources 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success depends on providing high-quality payment solutions that healthcare clients use to improve their financial and operational performance, allowing them to collect payments and enhance their revenue lifecycle management objectives.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Finally, our competitors, including major EHR providers,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EHR space and business focused on revenue lifecycle management are critical to leverage if we are to add to our healthcare customer portfolio. Many of these companies may offer products and services similar to ours and may have greater name recognition, longer operating histories, stronger and more dependent client relationships, larger marketing budgets, and greater resources than us. If successful, their development efforts could render our solutions less desirable, resulting in the loss of our existing clients or a reduction in the fees we generate from our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business serving clients in the travel sector may be sensitive to events affecting the travel industry in general.</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Events like regional or larger scale conflicts, war or other military conflict,</w:t>
      </w:r>
      <w:r>
        <w:rPr>
          <w:rFonts w:ascii="Times New Roman" w:hAnsi="Times New Roman"/>
          <w:sz w:val="20"/>
        </w:rPr>
        <w:t xml:space="preserve"> </w:t>
      </w:r>
      <w:r>
        <w:rPr>
          <w:rFonts w:ascii="Arial" w:hAnsi="Arial"/>
          <w:b w:val="false"/>
          <w:sz w:val="20"/>
        </w:rPr>
        <w:t>including an escalation of the conflict between Russia and Ukraine,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In addition, the travel industry can be negatively impacted by adverse economic conditions in the United States and globally, including economic slowdown and inflation. We are not in a position to evaluate the net effect</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52</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the U.K.’s withdrawal from the E.U. (Brexit), including uncertainty, delays or practical difficulties in the implementation of Brexit, could continue to lead to economic uncertainty, sluggish growth or economic retraction,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With respect to the COVID-19 pandemic specifically, our 2020 financial results related to serving our existing travel clients and growing our client base in the travel sector were negatively impacted. During the year ended December 31, 2021, we witnessed recoveries in our financial results and growth in revenue and payment volumes in our travel payment vertical. While improvements have been noted, we are still experiencing impacts to our travel clients. We expect the continued effects of the COVID-19 pandemic, including the emergence and spread of variants or sub-variants of COVID-19, will continue to negatively impact our business into 2022,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are unable to enter or expand new client verticals, including our relatively new B2B payment vertical, or if our solutions for any new vertical fail to achieve market acceptance, our operating results could be adversely affected and we may be required to reconsider our growth strategy.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growth strategy is influenced, in part, on our ability to expand into new client verticals, including our relatively new B2B payment vertical. The B2B payment vertical represents a relatively new market for us, and we have limited prior experience with the key enterprise resource planning (ERP) platforms that are critical to the B2B payment vertical. Accordingly, our lack of experience in the B2B payment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Banking and other payment services partners may be more reluctant to support B2B payment flows, and countries with currency controls are less likely to permit payments of a B2B nature. The payment volume and resulting revenue from our B2B payment vertical represents, and is expected for the foreseeable future to represent, less than 10% 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Consolidation in the payment processing or enablement industry could have a material adverse effect on our business, financial condition and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r>
        <w:rPr>
          <w:rFonts w:ascii="Times New Roman" w:hAnsi="Times New Roman"/>
          <w:sz w:val="20"/>
        </w:rPr>
        <w:t xml:space="preserve"> </w:t>
      </w:r>
    </w:p>
    <w:p>
      <w:pPr>
        <w:pStyle w:val="TextBody"/>
        <w:spacing w:lineRule="auto" w:line="273" w:before="200" w:after="0"/>
        <w:jc w:val="left"/>
        <w:rPr>
          <w:rFonts w:ascii="Arial" w:hAnsi="Arial"/>
          <w:b/>
          <w:i/>
          <w:sz w:val="20"/>
        </w:rPr>
      </w:pPr>
      <w:r>
        <w:rPr>
          <w:rFonts w:ascii="Arial" w:hAnsi="Arial"/>
          <w:b/>
          <w:i/>
          <w:sz w:val="20"/>
        </w:rPr>
        <w:t>We may be adversely affected by global economic and political instability.</w:t>
      </w:r>
    </w:p>
    <w:p>
      <w:pPr>
        <w:pStyle w:val="TextBody"/>
        <w:spacing w:lineRule="auto" w:line="273" w:before="200" w:after="200"/>
        <w:jc w:val="left"/>
        <w:rPr>
          <w:rFonts w:ascii="Arial" w:hAnsi="Arial"/>
          <w:b w:val="false"/>
          <w:sz w:val="20"/>
        </w:rPr>
      </w:pPr>
      <w:r>
        <w:rPr>
          <w:rFonts w:ascii="Arial" w:hAnsi="Arial"/>
          <w:b w:val="false"/>
          <w:sz w:val="20"/>
        </w:rPr>
        <w:t>As we seek to continue to expand our business, our overall performance will depend in part on worldwide economic and geopolitical conditions. Economies domestically and internationally have been affected from time to time by falling demand for a variety of goods and services, restricted credit, poor liquidity, reduced corporate profitability, employment pressures in services sectors, volatility in credit, equity and foreign exchange markets, bankruptcies and outbreaks of COVID-19, as well as war, terrorist activity, political unrest, civil strife and other geopolitical uncertainty, and the resulting impact on business continuity and travel, supply chain disruptions, inflation, security issues, and overall uncertainty with respect to the economy, including with respect to tariff and trade issues.</w:t>
      </w:r>
    </w:p>
    <w:p>
      <w:pPr>
        <w:pStyle w:val="TextBody"/>
        <w:spacing w:lineRule="auto" w:line="273" w:before="200" w:after="200"/>
        <w:jc w:val="left"/>
        <w:rPr>
          <w:rFonts w:ascii="Arial" w:hAnsi="Arial"/>
          <w:b w:val="false"/>
          <w:sz w:val="20"/>
        </w:rPr>
      </w:pPr>
      <w:r>
        <w:rPr>
          <w:rFonts w:ascii="Arial" w:hAnsi="Arial"/>
          <w:b w:val="false"/>
          <w:sz w:val="20"/>
        </w:rPr>
        <w:t>For example, on February 24, 2022, Russian military forces invaded Ukraine, and sustained conflict and disruption in the region is likely.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an increase in cyberattacks and espionage.</w:t>
      </w:r>
    </w:p>
    <w:p>
      <w:pPr>
        <w:pStyle w:val="TextBody"/>
        <w:spacing w:lineRule="auto" w:line="273" w:before="200" w:after="200"/>
        <w:jc w:val="left"/>
        <w:rPr>
          <w:rFonts w:ascii="Arial" w:hAnsi="Arial"/>
          <w:b w:val="false"/>
          <w:sz w:val="20"/>
        </w:rPr>
      </w:pPr>
      <w:r>
        <w:rPr>
          <w:rFonts w:ascii="Arial" w:hAnsi="Arial"/>
          <w:b w:val="false"/>
          <w:sz w:val="20"/>
        </w:rPr>
        <w:t>We are actively monitoring the situation in Ukraine and assessing its impact on our business, but to date have not experienced any material impact.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a substantial impact on the global economy and our business for an unknown period of time. As the adverse effects of this conflict continue to develop and potentially spread, both in Europe and through the rest of the world, our customers, and customer behavior, may be negatively impacted, which could negatively affect sales and sales cycles and overall demand for our solutions. Further or prolonged impacts on the global economy could also cause businesses to curtail business expenses, which could hinder our ability to attract new clients or result in a decrease in payment volume. It is not possible to predict the ultimate broader consequences of this conflict and any of the abovementioned factors could have a material adverse effect on our business, financial condition and results of operations, particularly to the extent the conflict escalates to involve additional countries, further economic sanctions and wider military conflict. Any such disruptions could also magnify the impact of other risks described in this Quarterly Report on Form 10-Q.</w:t>
      </w:r>
    </w:p>
    <w:p>
      <w:pPr>
        <w:pStyle w:val="TextBody"/>
        <w:spacing w:lineRule="auto" w:line="273" w:before="200" w:after="200"/>
        <w:jc w:val="left"/>
        <w:rPr>
          <w:rFonts w:ascii="Arial" w:hAnsi="Arial"/>
          <w:b w:val="false"/>
          <w:sz w:val="20"/>
        </w:rPr>
      </w:pPr>
      <w:r>
        <w:rPr>
          <w:rFonts w:ascii="Arial" w:hAnsi="Arial"/>
          <w:b w:val="false"/>
          <w:sz w:val="20"/>
        </w:rPr>
        <w:t>In addition, political instability or adverse political developments and new or continued economic deterioration, including as a result of the withdrawal by many global central banks of stimulus measures deployed during the peak of the COVID-19 pandemic, in any of the countries in which we operate could harm our business, results of operations and financial condition.</w:t>
      </w:r>
    </w:p>
    <w:p>
      <w:pPr>
        <w:pStyle w:val="TextBody"/>
        <w:spacing w:lineRule="auto" w:line="273" w:before="200" w:after="200"/>
        <w:jc w:val="left"/>
        <w:rPr>
          <w:rFonts w:ascii="Times New Roman" w:hAnsi="Times New Roman"/>
          <w:sz w:val="20"/>
        </w:rPr>
      </w:pPr>
      <w:r>
        <w:rPr>
          <w:rFonts w:ascii="Arial" w:hAnsi="Arial"/>
          <w:b/>
          <w:sz w:val="20"/>
        </w:rPr>
        <w:t>Risks Related to Our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may not be able to scale our business quickly enough to meet our growing client base, and if we are not able to grow efficiently, our operating results could be harmed.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usage of our solutions grows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54</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internal business systems, including client support, our 24x7 multilingual support to clients’ customers and risk and compliance operations, to serve our growing client base.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enable the transfer of large sums of funds to our clients daily, and are subject to the risk of errors, which could result in financial losses, damage to our reputation, or loss of trust in our brand, which would harm our business and financial results.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For the year ended December 31, 2021, we processed over $13.2 billion in payments on our solutions, compared to approximately $7.5 billion for the year ended December 31, 2020. For the three months ended March 31, 2022, we processed approximately $4.2 billion in payments on our solutions.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loss of clients or a reduction in use of our solutions by our clients’ customers;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lost or delayed market acceptance and acquisition of new clients;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legal claims against us;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regulatory enforcement action; or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diversion of our resources, including through increased service expenses or financial concessions, and increased insurance costs. </w:t>
      </w:r>
    </w:p>
    <w:p>
      <w:pPr>
        <w:pStyle w:val="TextBody"/>
        <w:spacing w:lineRule="auto" w:line="273" w:before="200" w:after="200"/>
        <w:jc w:val="left"/>
        <w:rPr>
          <w:rFonts w:ascii="Times New Roman" w:hAnsi="Times New Roman"/>
          <w:sz w:val="20"/>
        </w:rPr>
      </w:pPr>
      <w:r>
        <w:rPr>
          <w:rFonts w:ascii="Arial" w:hAnsi="Arial"/>
          <w:b w:val="false"/>
          <w:sz w:val="20"/>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 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55</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utilize a number of payment providers to clear and settle transactions for our clients, including payments providers such as China UnionPay Co. Ltd. and Adyen N.V.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the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w:t>
      </w:r>
      <w:r>
        <w:rPr>
          <w:rFonts w:ascii="Times New Roman" w:hAnsi="Times New Roman"/>
          <w:sz w:val="20"/>
        </w:rPr>
        <w:t xml:space="preserve"> </w:t>
      </w:r>
      <w:r>
        <w:rPr>
          <w:rFonts w:ascii="Arial" w:hAnsi="Arial"/>
          <w:b w:val="false"/>
          <w:sz w:val="20"/>
        </w:rPr>
        <w:t>Payment Card Industry Data Security Standard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pStyle w:val="TextBody"/>
        <w:spacing w:lineRule="auto" w:line="273" w:before="200" w:after="200"/>
        <w:jc w:val="left"/>
        <w:rPr>
          <w:rFonts w:ascii="Times New Roman" w:hAnsi="Times New Roman"/>
          <w:sz w:val="20"/>
        </w:rPr>
      </w:pPr>
      <w:r>
        <w:rPr>
          <w:rFonts w:ascii="Arial" w:hAnsi="Arial"/>
          <w:b w:val="false"/>
          <w:sz w:val="20"/>
        </w:rPr>
        <w:t>Similarly, there are existing regulatory regimes designed to protect the privacy of categories of personal or otherwise sensitive data. Relevant U.S. federal privacy laws include the Family Educational Rights and Privacy Act</w:t>
      </w:r>
      <w:r>
        <w:rPr>
          <w:rFonts w:ascii="Times New Roman" w:hAnsi="Times New Roman"/>
          <w:sz w:val="20"/>
        </w:rPr>
        <w:t xml:space="preserve"> </w:t>
      </w:r>
      <w:r>
        <w:rPr>
          <w:rFonts w:ascii="Arial" w:hAnsi="Arial"/>
          <w:b w:val="false"/>
          <w:sz w:val="20"/>
        </w:rPr>
        <w:t>(FERPA), the</w:t>
      </w:r>
      <w:r>
        <w:rPr>
          <w:rFonts w:ascii="Times New Roman" w:hAnsi="Times New Roman"/>
          <w:sz w:val="20"/>
        </w:rPr>
        <w:t xml:space="preserve"> </w:t>
      </w:r>
      <w:r>
        <w:rPr>
          <w:rFonts w:ascii="Arial" w:hAnsi="Arial"/>
          <w:b w:val="false"/>
          <w:sz w:val="20"/>
        </w:rPr>
        <w:t>Gramm-Leach-Bliley Act (GLBA), and Health Insurance Portability and Accountability Act</w:t>
      </w:r>
      <w:r>
        <w:rPr>
          <w:rFonts w:ascii="Times New Roman" w:hAnsi="Times New Roman"/>
          <w:sz w:val="20"/>
        </w:rPr>
        <w:t xml:space="preserve"> </w:t>
      </w:r>
      <w:r>
        <w:rPr>
          <w:rFonts w:ascii="Arial" w:hAnsi="Arial"/>
          <w:b w:val="false"/>
          <w:sz w:val="20"/>
        </w:rPr>
        <w:t>(HIPAA).</w:t>
      </w:r>
      <w:r>
        <w:rPr>
          <w:rFonts w:ascii="Times New Roman" w:hAnsi="Times New Roman"/>
          <w:sz w:val="20"/>
        </w:rPr>
        <w:t xml:space="preserve"> </w:t>
      </w:r>
      <w:r>
        <w:rPr>
          <w:rFonts w:ascii="Arial" w:hAnsi="Arial"/>
          <w:b w:val="false"/>
          <w:sz w:val="20"/>
        </w:rPr>
        <w:t>We also are subject to stringent contractual obligations relating to the handling of such data, including obligations that are more restrictive than legally required. For example, under HIPAA, the information we collect during the payment experience may include protected health Information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our regulators and those of our clients. Any unauthorized disclosure of PHI or other data we are obligated to protect by regulation or contract could result in significant fines, sanctions, or requirements to take corrective action that could materially adversely affect our reputation and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and due to the war in the Ukraine and continued political uncertainty involving Russia and Ukraine and potentially other regions of Europe, there is an increased likelihood that escalation of tensions could result in cyber-attacks that could either directly or indirectly impact our operations. Because of this, we face additional cybersecurity challenges, including threats to our own IT infrastructure or those of our clients, our customers’ clients, 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pStyle w:val="TextBody"/>
        <w:spacing w:lineRule="auto" w:line="273" w:before="200" w:after="200"/>
        <w:jc w:val="left"/>
        <w:rPr>
          <w:rFonts w:ascii="Times New Roman" w:hAnsi="Times New Roman"/>
          <w:sz w:val="20"/>
        </w:rPr>
      </w:pPr>
      <w:r>
        <w:rPr>
          <w:rFonts w:ascii="Arial" w:hAnsi="Arial"/>
          <w:b w:val="false"/>
          <w:sz w:val="20"/>
        </w:rPr>
        <w:t>Additionally, it is also possible that unauthorized access to sensitive customer and business data may be obtained through inadequate use of security controls by our customers, suppliers or other vendors. While we are still not currently aware of any impact that the SolarWinds supply chain attack had on our business, this is a relatively recent event, and the scope of the attack is still undetermined. Therefore, there is residual risk that we could experience a security breach arising from the SolarWinds supply chain attack.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57</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 or regulatory investigations, class action litigation, and costs associated with remediation, such as fraud monitoring and forensics. Any actual or perceived security breach at a company providing services to us or our clients could have similar effects.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risk management efforts may not be effective to prevent fraudulent activities by our customers, employees or other third parties, which could expose us to material financial losses and liability and otherwise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software provides payment facilitation solutions for a large number of our clients and their customers. We are responsible for performing</w:t>
      </w:r>
      <w:r>
        <w:rPr>
          <w:rFonts w:ascii="Times New Roman" w:hAnsi="Times New Roman"/>
          <w:sz w:val="20"/>
        </w:rPr>
        <w:t xml:space="preserve"> </w:t>
      </w:r>
      <w:r>
        <w:rPr>
          <w:rFonts w:ascii="Arial" w:hAnsi="Arial"/>
          <w:b w:val="false"/>
          <w:sz w:val="20"/>
        </w:rPr>
        <w:t>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and purported customers, our employees and payment partners or third parties.</w:t>
      </w:r>
    </w:p>
    <w:p>
      <w:pPr>
        <w:pStyle w:val="TextBody"/>
        <w:spacing w:lineRule="auto" w:line="273" w:before="200" w:after="200"/>
        <w:jc w:val="left"/>
        <w:rPr>
          <w:rFonts w:ascii="Arial" w:hAnsi="Arial"/>
          <w:b w:val="false"/>
          <w:sz w:val="20"/>
        </w:rPr>
      </w:pPr>
      <w:r>
        <w:rPr>
          <w:rFonts w:ascii="Arial" w:hAnsi="Arial"/>
          <w:b w:val="false"/>
          <w:sz w:val="20"/>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our clients' customers use our solutions, and we serve clients in industries that are at higher risk for fraudulent activity, our exposure to material risk losses from a single client, or from a small number of clients, will increase. In addition, our clients or their customers may suffer losses from acts of financial fraud by third parties posing as us through account takeover, credential harvesting, use of stolen identities and various other techniques, which could harm our reputation, consume significant time of our compliance, security and client relations teams to investigate and remediate, or prompt us to reimburse our clients for such losses in order to maintain client business relationships.</w:t>
      </w:r>
    </w:p>
    <w:p>
      <w:pPr>
        <w:pStyle w:val="TextBody"/>
        <w:spacing w:lineRule="auto" w:line="273" w:before="200" w:after="200"/>
        <w:jc w:val="left"/>
        <w:rPr>
          <w:rFonts w:ascii="Times New Roman" w:hAnsi="Times New Roman"/>
          <w:sz w:val="20"/>
        </w:rPr>
      </w:pPr>
      <w:r>
        <w:rPr>
          <w:rFonts w:ascii="Arial" w:hAnsi="Arial"/>
          <w:b w:val="false"/>
          <w:sz w:val="20"/>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i/>
          <w:sz w:val="20"/>
        </w:rPr>
        <w:t>We are exposed to fluctuations in foreign currency exchange rates that could materially and adversely affect our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 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including the recent depreciation of the Russian ruble, could result in the dollar equivalent of our expenses being higher which may not be offset by additional revenue earned in the local currency. This could have a negative impact on our reported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clients or clients' customer dissatisfaction and adversely affect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Changes to payment card networks fees or rules could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are required to comply with MasterCard, American Express, and Visa payment card network operating rules and the rules of other regional card (such as China UnionPay or</w:t>
      </w:r>
      <w:r>
        <w:rPr>
          <w:rFonts w:ascii="Times New Roman" w:hAnsi="Times New Roman"/>
          <w:sz w:val="20"/>
        </w:rPr>
        <w:t xml:space="preserve"> </w:t>
      </w:r>
      <w:r>
        <w:rPr>
          <w:rFonts w:ascii="Arial" w:hAnsi="Arial"/>
          <w:b w:val="false"/>
          <w:sz w:val="20"/>
        </w:rPr>
        <w:t>Japan Credit Bureau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59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solutions integrate with ERP systems, such as Ellucian Company, L.P. in education, Epic Systems Corporation in healthcare, Rezdy Pty Ltd in travel and Oracle Corporation in B2B payments.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If any of the third party software providers change the features of their application programming interfaces</w:t>
      </w:r>
      <w:r>
        <w:rPr>
          <w:rFonts w:ascii="Times New Roman" w:hAnsi="Times New Roman"/>
          <w:sz w:val="20"/>
        </w:rPr>
        <w:t xml:space="preserve"> </w:t>
      </w:r>
      <w:r>
        <w:rPr>
          <w:rFonts w:ascii="Arial" w:hAnsi="Arial"/>
          <w:b w:val="false"/>
          <w:sz w:val="20"/>
        </w:rPr>
        <w:t>(APIs),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fail to maintain and enhance our brand, our ability to expand our client base will be impaired and our business, operating results, and financial condition may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believe that further developing, maintaining and enhancing our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lose key members of our management team or are unable to attract and retain executives and employees we need to support our operations and growth, our business may be harmed.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are publicly tradable subject to Rule 144 limitations, which may reduce the incentive for each of these key employees to remain at our Company.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failure to attract and retain additional qualified personnel could prevent us from executing our business strategy and growth plans.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To execute our business strategy, we must attract and retain highly qualified personnel. Competition for executive officers, software developers, compliance and risk management personnel and other key employees in our industry and locations is intense and increasing, especially in the U.S., where wage inflation has been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cannot maintain our company culture as we grow, our success and our business may be harmed.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culture, our business and competitive position may be adversely affected.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sales cycles may be long and vary.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devote significant resources to establish relationships with new clients and deepen relationships with existing clients. The sales cycles of our solutions tend to vary depending on the client industry sector which may make forecasting more complex and uncertain.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Although more customers and partners have started gradually to relax restrictions imposed in response to the ongoing COVID-19 pandemic, many enterprises continue to restrict travel, limit availability of in person meetings and maintain other restrictions that could make the sales process more lengthy and difficult. In addition, sales and sale cycles may be based in part or entirely on factors, or perceived factors, not directly related to the features of our solutions, including, among others, a client or prospective client’s projection of business growth, uncertainty about economic conditions (including as a result of the ongoing COVID-19 outbreak, increased inflationary conditions and the escalation of hostilities between Russia and Ukraine), capital budgets, anticipated cost savings from the implementation of our solution, potential preference for internally-developed software solutions, perceptions about our business and solutions, more favorable terms offered by potential competitors, and previous technology investments.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Additionally,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61</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Decisions on timing of deployments may also be impacted by cost and availability of personnel. Any difficulties or delays in the initial implementation could cause clients to reject our solutions or lead to the delay or non-receipt of future orders, in which case our business, operating results and financial condition would be harmed.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typically incur significant upfront costs in our client relationships, and if we are unable to develop or grow these relationships over time, we are unlikely to recover these costs and our operating results may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devote significant resources to establish relationships with new clients and deepen relationships with existing clients. Our sales cycle for our solutions can be variable, typically ranging from three to nine months from initial contact to contract execution.</w:t>
      </w:r>
      <w:r>
        <w:rPr>
          <w:rFonts w:ascii="Times New Roman" w:hAnsi="Times New Roman"/>
          <w:sz w:val="20"/>
        </w:rPr>
        <w:t xml:space="preserve"> </w:t>
      </w:r>
      <w:r>
        <w:rPr>
          <w:rFonts w:ascii="Arial" w:hAnsi="Arial"/>
          <w:b w:val="false"/>
          <w:sz w:val="20"/>
        </w:rPr>
        <w:t>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fail to offer high-quality client support, or if our support is more expensive than anticipated, our business and reputation could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as we continue to grow our operations and continue to expand to new jurisdictions, we need to be able to provide efficient client service that meets our clients’ needs globally at scale. In geographies where we sell through our channel partners, if we are unable to provide a high quality client experience tailored to the language and culture of the applicable jurisdiction, our business operations and reputation may suffer.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may require additional capital to support the growth of our business, and this capital might not be available on acceptable terms, if at all.</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62</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future issuances of debt or equity securities. As a result, our stockholders bear the risk of future issuances of debt or equity securities reducing the value of our common stock and diluting their interests.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business could be harmed as a result of the risks associated with our acquisitions.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Any acquisitions we undertake or have recently completed, including the acquisition of WPM in December 2021 and Simplee in February 2020, will likely be accompanied by business risks which may include, among other things:</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effect of the acquisition on our financial and strategic position and reputation;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failure of an acquisition to result in expected benefits, which may include benefits relating to enhanced revenues, technology, human resources, costs savings, operating efficiencies, goodwill and other synergies;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difficulty, cost and management effort required to integrate the acquired businesses, including costs and delays in implementing common systems and procedures and costs and delays caused by communication difficulties;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assumption of certain known or unknown liabilities of the acquired business, including litigation-related liabilities;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reduction of our cash available for operations and other uses, the increase in amortization expense related to identifiable assets acquired, potentially dilutive issuances of equity securities or the incurrence of debt;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 lack of experience in new markets, new business culture, products or technologies or an initial dependence on unfamiliar distribution partners;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possibility that we will pay more than the value we derive from the acquisition;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impairment of relationships with our clients, clients' customers, partners or suppliers or those of the acquired business;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potential loss of key employees of the acquired business. </w:t>
      </w:r>
    </w:p>
    <w:p>
      <w:pPr>
        <w:pStyle w:val="TextBody"/>
        <w:spacing w:lineRule="auto" w:line="273" w:before="200" w:after="200"/>
        <w:jc w:val="left"/>
        <w:rPr>
          <w:rFonts w:ascii="Times New Roman" w:hAnsi="Times New Roman"/>
          <w:sz w:val="20"/>
        </w:rPr>
      </w:pPr>
      <w:r>
        <w:rPr>
          <w:rFonts w:ascii="Arial" w:hAnsi="Arial"/>
          <w:b w:val="false"/>
          <w:sz w:val="20"/>
        </w:rPr>
        <w:t>These factors could harm our business, results of operations or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Systems failures and resulting interruptions in the availability of our solutions could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war or other military conflict, including an escalation of the conflict between Russia and Ukraine,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business continuity, resiliency and disaster recovery plans, and more rigorous testing of such plans, which may be costly and time-consuming to implement, and may divert our resources from other business priorities.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war or other military conflict, including an escalation of the conflict between Russia and Ukraine,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64</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sz w:val="20"/>
        </w:rPr>
        <w:t>Risks Related to Our Legal, Regulatory and Compliance Landscape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business is subject to risks inherent in conducting business globally, including cross-border payments and domestic payments in the United States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and the recent escalation of the conflict between Russia and Ukraine,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foreign currency exchange rate volatility;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adverse economic conditions in the United States and globally, including economic slowdown, inflation, and the disruption, volatility and tightening of credit and capital markets;</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risks related to government regulation or required compliance with local laws;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local licensing and reporting obligations or the imposition of currency controls which make it impossible or increasingly difficult for our clients to collect payments from international customers;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local regulatory and legal obligations related to privacy, data protection, data localization, and user protections;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need to localize our solutions, including offering clients and their customers the ability to transact business in the local currency and adapting our solutions to local preferences, in markets in which we may have limited or no experience;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trade barriers and changes in trade regulations;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the impact of government sanctions on our ability to offer services in a region, such as the sanctions recently announced by the U.S. and other countries against Russia;</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difficulties in developing, staffing, and managing a large number of varying foreign operations as a result of distance, language, and cultural differences;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stringent local labor laws and regulations;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limitations on the repatriation of cash, including imposition or increase of withholding and other taxes on remittances and other payments by foreign subsidiaries;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political or social unrest, war or other military conflict, including an escalation of the conflict between Russia and Ukraine, economic instability, repression, or human rights issues;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natural disasters, global pandemics such as COVID-19 or other public health emergencies, acts of war, and terrorism;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compliance with U.S. laws and foreign laws prohibiting corrupt payments to government officials, such as the Foreign Corrupt Practices Act (FCPA) and the U.K. Bribery Act, and other local anti-corruption laws;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compliance with U.S. and foreign laws designed to combat money laundering and the financing of terrorist activities;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65</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retaliatory tariffs and restrictions limiting free movement of currency and an unfavorable trade environment, including as a result of political conditions and changes in the laws in the United States and elsewhere and as described in more detail below;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antitrust and competition regulations;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or levels of enforcement;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national or regional differences in macroeconomic growth rates;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increased difficulties in collecting accounts receivable. </w:t>
      </w:r>
    </w:p>
    <w:p>
      <w:pPr>
        <w:pStyle w:val="TextBody"/>
        <w:spacing w:lineRule="auto" w:line="273" w:before="200" w:after="200"/>
        <w:jc w:val="left"/>
        <w:rPr>
          <w:rFonts w:ascii="Times New Roman" w:hAnsi="Times New Roman"/>
          <w:sz w:val="20"/>
        </w:rPr>
      </w:pPr>
      <w:r>
        <w:rPr>
          <w:rFonts w:ascii="Arial" w:hAnsi="Arial"/>
          <w:b w:val="false"/>
          <w:sz w:val="20"/>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 substantial amount of payments from China. The Chinese government imposes controls on the convertibility of the Renminbi,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Payments and other financial services-related regulations and oversight are material to our business. Our failure to comply could materially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local, state, and federal laws, rules, regulations, licensing schemes, and industry standards in the United States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AML and CFT, escheatment, international sanctions regimes, and compliance with the PCI DSS. These laws, rules, regulations, licensing schemes, and standards are enforced by multiple authorities and governing bodies in the United States, including the Department of the Treasury, the Federal Deposit Insurance Corporation, the SEC, Consumer Financial Protection Bureau (CFPB),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Certain of our subsidiaries are registered with the U.S. Department of the Treasury’s Financial Crimes Enforcement Network (FinCEN). Our subsidiary Flywire Global Corp. has obtained licenses to operate as a money transmitter (or the statutory equivalent) in 41 U.S. jurisdictions,</w:t>
      </w:r>
      <w:r>
        <w:rPr>
          <w:rFonts w:ascii="Times New Roman" w:hAnsi="Times New Roman"/>
          <w:sz w:val="20"/>
        </w:rPr>
        <w:t xml:space="preserve"> </w:t>
      </w:r>
      <w:r>
        <w:rPr>
          <w:rFonts w:ascii="Arial" w:hAnsi="Arial"/>
          <w:b w:val="false"/>
          <w:sz w:val="20"/>
        </w:rPr>
        <w:t>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client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 involved in maintaining and renewing our licenses, certifications, and approvals, and we could be subject to fines or other enforcement action if we are found to violate disclosure, reporting, AML, CFT, capitalization, corporate governance, or other requirements of such licenses.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MSB with FinCEN.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adoption of new money transmitter or MSB statutes in jurisdictions or changes in regulators’ interpretation of existing state and federal money transmitter or MSB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regulatory environment in which we operate is subject to constant change, and new regulations could make aspects of our business as currently conducted no longer possible.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U.K. approved an exit from the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 payment institution from the Bank of Lithuania in September 2019 and subsequently obtained the right to passport our solutions to other EEA member states.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Government agencies may impose new or additional rules on money transmission, including regulations that:</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prohibit, restrict, and/or impose taxes or fees on money transmission transactions in, to or from certain countries or with certain governments, individuals, and entities;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impose additional client identification and client due diligence requirements;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67</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impose additional reporting or recordkeeping requirements, or require enhanced transaction monitoring;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limit the types of entities capable of providing money transmission services, or impose additional licensing or registration requirements;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impose minimum capital or other financial requirements;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limit or restrict the revenue that may be generated from money transmission, including revenue from the transaction value associated with the payment method used by our clients’ customers and platform-related fees for access to our solutions and invoice and payment plan fees;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require enhanced disclosures to our money transmission clients or their customers;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require the principal amount of money transmission transactions originated in a country to be invested in that country or held in trust until paid;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limit the number or principal amount of money transmission transactions that may be sent to or from a jurisdiction, whether by an individual or in the aggregate;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restrict or limit our ability to process transactions using centralized databases, for example, by requiring that transactions be processed using a database maintained in a particular country or region. </w:t>
      </w:r>
    </w:p>
    <w:p>
      <w:pPr>
        <w:pStyle w:val="TextBody"/>
        <w:spacing w:lineRule="auto" w:line="273" w:before="200" w:after="200"/>
        <w:jc w:val="left"/>
        <w:rPr>
          <w:rFonts w:ascii="Times New Roman" w:hAnsi="Times New Roman"/>
          <w:sz w:val="20"/>
        </w:rPr>
      </w:pPr>
      <w:r>
        <w:rPr>
          <w:rFonts w:ascii="Arial" w:hAnsi="Arial"/>
          <w:b/>
          <w:i/>
          <w:sz w:val="20"/>
        </w:rPr>
        <w:t>We are subject to governmental laws and requirements regarding economic and trade sanctions, AML and CFT that could impair our ability to compete in international markets or subject us to criminal or civil liability if we violate them.</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are currently required to comply with U.S. economic and trade sanctions administered by the U.S. Department of the Treasury’s Office of Foreign Assets Controls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AML and CFT</w:t>
      </w:r>
      <w:r>
        <w:rPr>
          <w:rFonts w:ascii="Times New Roman" w:hAnsi="Times New Roman"/>
          <w:sz w:val="20"/>
        </w:rPr>
        <w:t xml:space="preserve"> </w:t>
      </w:r>
      <w:r>
        <w:rPr>
          <w:rFonts w:ascii="Arial" w:hAnsi="Arial"/>
          <w:b w:val="false"/>
          <w:sz w:val="20"/>
        </w:rPr>
        <w:t>laws and regulations around the world that prohibit, among other things, our involvement in transferring the proceeds of criminal or terrorist activities. In the United States, most of our solutions are subject to AML laws and regulations, including the BSA, and similar laws and regulations. The BSA, among other things, requires MSBs to develop and implement risk-based AML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AML programs, and we could likewise be subject to significant fines, penalties, inquiries, audits, investigations, enforcement actions, and criminal and civil liability if our AML program is found to be insufficient by a regulator.</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business operations in other parts of the world such as the U.K., Lithuania, Australia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AML and CFT</w:t>
      </w:r>
      <w:r>
        <w:rPr>
          <w:rFonts w:ascii="Times New Roman" w:hAnsi="Times New Roman"/>
          <w:sz w:val="20"/>
        </w:rPr>
        <w:t xml:space="preserve"> </w:t>
      </w:r>
      <w:r>
        <w:rPr>
          <w:rFonts w:ascii="Arial" w:hAnsi="Arial"/>
          <w:b w:val="false"/>
          <w:sz w:val="20"/>
        </w:rPr>
        <w:t>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 Furthermore, government sanctions imposed with respect to Russia's invasion of Ukraine in February and March 2022 are impacting our ability to offer our services in the region, and additional sanctions could be imposed in the future. Further instability or tension in Russia, Ukraine, and the surrounding region could also cause us to adjust our operating model, which would increase our costs of operations.</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i/>
          <w:sz w:val="20"/>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FERPA, HIPAA,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Protection Act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Virginia became the second state after California to enact a broad privacy law with the passage of the Virginia Consumer Data Protection Act (CDPA) on March 2, 2021. The CDPA contains several new requirements for covered companies that may add operational challenges, including a greater emphasis on transparency, broader affirmative consent or opt-in requirements to process sensitive personal data, broader opt-out rights and data protection assessment requirements for certain sales of personal data as well as targeted advertising and profiling, and an appeal process for denials of consumer rights requests. The law will take effect January 1, 2023, the same day as the CPRA. Colorado became the third state with the passage of the Colorado Privacy Act (CPA) on July 8, 2021. Like the CDPA, the CPA provides consumers the right to opt out of processing for sales of personal data, targeted advertising, and profiling, provides the right to appeal a business’ denial to take action, among other new consumer rights, requires data protection assessments for certain processing activities, and, unlike the CDPA, grants the Attorney General rulemaking powers. The law will take effect on July 1, 2023. Unlike in California, neither law provides for a private right of action. We anticipate that more states may enact legislation similar to the CCPA, which provides consumers with new privacy rights and increases the privacy and security obligations of entities handling certain personal information of such consumers. For example, the Utah state legislature passed the Utah Consumer Privacy Act in March 2022. The Utah legislation most closely mirrors Virginia’s CDPA, and if signed the law will go into effect on December 31, 2023.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69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Many of the foreign jurisdictions where we or our clients operate or conduct business, including the E.U., have laws and regulations dealing with the collection, use, storage, and disclosure and other handling (collectively, processing) of personal information, which in some cases are more restrictive than those in the U.S.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we have multiple offices in Europe and serves clients and their customers throughout the E.U., where the General Data Protection Regulation (GDPR) went into effect in 2018. The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Recent legal developments have created compliance uncertainty regarding some transfers of personal information from the U.K. and EEA to locations where we or our clients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 ruled in its “</w:t>
      </w:r>
      <w:r>
        <w:rPr>
          <w:rFonts w:ascii="Arial" w:hAnsi="Arial"/>
          <w:b w:val="false"/>
          <w:i/>
          <w:sz w:val="20"/>
        </w:rPr>
        <w:t>Schrems II</w:t>
      </w:r>
      <w:r>
        <w:rPr>
          <w:rFonts w:ascii="Times New Roman" w:hAnsi="Times New Roman"/>
          <w:sz w:val="20"/>
        </w:rPr>
        <w:t xml:space="preserve">” </w:t>
      </w:r>
      <w:r>
        <w:rPr>
          <w:rFonts w:ascii="Arial" w:hAnsi="Arial"/>
          <w:b w:val="false"/>
          <w:sz w:val="20"/>
        </w:rPr>
        <w:t xml:space="preserve">decision (C-311/18), that the Privacy Shield, a transfer mechanism used by thousands of companies to transfer data between those jurisdictions and United States (and also used by us),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clients continue to use alternative transfer strategies, including the European Commission’s Standard Contractual Clauses (SCCs), while the authorities interpret the </w:t>
      </w:r>
      <w:r>
        <w:rPr>
          <w:rFonts w:ascii="Arial" w:hAnsi="Arial"/>
          <w:b w:val="false"/>
          <w:i/>
          <w:sz w:val="20"/>
        </w:rPr>
        <w:t>Schrems II</w:t>
      </w:r>
      <w:r>
        <w:rPr>
          <w:rFonts w:ascii="Times New Roman" w:hAnsi="Times New Roman"/>
          <w:sz w:val="20"/>
        </w:rPr>
        <w:t xml:space="preserve"> </w:t>
      </w:r>
      <w:r>
        <w:rPr>
          <w:rFonts w:ascii="Arial" w:hAnsi="Arial"/>
          <w:b w:val="false"/>
          <w:sz w:val="20"/>
        </w:rPr>
        <w:t xml:space="preserve">decision and the validity of alternative data transfer mechanisms. The SCCs, though previously approved by the European Commission, have faced challenges in European courts (including being called into question in the </w:t>
      </w:r>
      <w:r>
        <w:rPr>
          <w:rFonts w:ascii="Arial" w:hAnsi="Arial"/>
          <w:b w:val="false"/>
          <w:i/>
          <w:sz w:val="20"/>
        </w:rPr>
        <w:t>Schrems II</w:t>
      </w:r>
      <w:r>
        <w:rPr>
          <w:rFonts w:ascii="Times New Roman" w:hAnsi="Times New Roman"/>
          <w:sz w:val="20"/>
        </w:rPr>
        <w:t xml:space="preserve"> </w:t>
      </w:r>
      <w:r>
        <w:rPr>
          <w:rFonts w:ascii="Arial" w:hAnsi="Arial"/>
          <w:b w:val="false"/>
          <w:sz w:val="20"/>
        </w:rPr>
        <w:t xml:space="preserve">decision), and may be further challenged, suspended or invalidated for transfers to some or all countries. For example, guidance regarding </w:t>
      </w:r>
      <w:r>
        <w:rPr>
          <w:rFonts w:ascii="Arial" w:hAnsi="Arial"/>
          <w:b w:val="false"/>
          <w:i/>
          <w:sz w:val="20"/>
        </w:rPr>
        <w:t>Schrems II</w:t>
      </w:r>
      <w:r>
        <w:rPr>
          <w:rFonts w:ascii="Times New Roman" w:hAnsi="Times New Roman"/>
          <w:sz w:val="20"/>
        </w:rPr>
        <w:t xml:space="preserve"> </w:t>
      </w:r>
      <w:r>
        <w:rPr>
          <w:rFonts w:ascii="Arial" w:hAnsi="Arial"/>
          <w:b w:val="false"/>
          <w:sz w:val="20"/>
        </w:rPr>
        <w:t>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clients and clients' customer facing solutions, or may otherwise affect or restrict our sales and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On June 4, 2021, the European Commission released the final Implementing Decision on SCCs (New SCCs) for the transfer of personal data from the E.U. to “third countries” such as the US. The New SCCs will repeal and replace the existing SCCs (dating from 2001, 2004 and 2010) and address the entry into force of the GDPR) and the July 2020 decision of the CJEU in Schrems II, which invalidated the E.U.-U.S. Privacy Shield. The New SCCs broadly follow the draft implementing decision on standard contractual clauses (Draft SCCs) issued by the European Commission on November 12, 2020, but there are some material differences. The Draft SCCs’ significant and extensive new requirements for data importers that act as controllers (for example, obligations to give notice to data subjects and to notify personal data breaches to EU authorities) remain, but have been aligned more closely with the GDPR requirements. While the New SCCs are not immediately in force, compliance with them will be required for new transfer agreements entered into from late September 2021. SCCs currently in effect must be replaced with the New SCCs by late December 2022.</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E.U. data protection authorities have the power to impose administrative fines for violations of the GDPR of up to a maximum of €20 million or 4% of a corporate family’s total worldwide global turnover for the preceding fiscal year, whichever is higher. Such penalties are in addition to any civil litigation claims by clients, data subjects or other third parties. We believe that the solutions that we currently offer subject us to the GDPR and other laws and regulations relating to privacy, data protection, and information security, and these may be modified or subject to new or different interpretations in the future. We will need to take steps to address compliance obligations in this rapidly evolving legal environment, but we cannot assure you that we will be able to implement changes in a timely manner or without significant disruption to our business, or that such steps will be effective, and we may face the risk of liability and loss of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w:t>
      </w:r>
      <w:r>
        <w:rPr>
          <w:rFonts w:ascii="Times New Roman" w:hAnsi="Times New Roman"/>
          <w:sz w:val="20"/>
        </w:rPr>
        <w:t xml:space="preserve"> </w:t>
      </w:r>
      <w:r>
        <w:rPr>
          <w:rFonts w:ascii="Arial" w:hAnsi="Arial"/>
          <w:b w:val="false"/>
          <w:sz w:val="20"/>
        </w:rPr>
        <w:t>£17.5 million or 4% of worldwide revenue, whichever is higher.</w:t>
      </w:r>
      <w:r>
        <w:rPr>
          <w:rFonts w:ascii="Times New Roman" w:hAnsi="Times New Roman"/>
          <w:sz w:val="20"/>
        </w:rPr>
        <w:t xml:space="preserve"> </w:t>
      </w:r>
      <w:r>
        <w:rPr>
          <w:rFonts w:ascii="Arial" w:hAnsi="Arial"/>
          <w:b w:val="false"/>
          <w:sz w:val="20"/>
        </w:rPr>
        <w:t>Like the GDPR, the U.K. GDPR restricts personal data transfers outside the U.K. to countries not regarded by the U.K. as providing adequate protection (this means that personal data transfers from the U.K. to the EEA remain free flowing).</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On June 28, 2021, the European Commission adopted an adequacy decision under the GDPR, thereby recognizing that the U.K.’s data protection system continues to provide the same protections with respect to personal data as when it was an EU member state, and enabling the continued exchange of personal data between the E.U. and the U.K. The adequacy decision facilitates the implementation of the E.U.-U.K. Trade Cooperation Agreement, which foresaw the need for bilateral data flow and continued cooperation. The adequacy decision does, however, include a ‘sunset clause’, limiting its duration to four years, at which point the European Commission will need to once again review the safeguards in place in the U.K.’s post-Brexit legal system and decide if the adequacy decision may be renewed.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 Asia, there has been an increase in both regulation and enforcement of privacy laws. The Act on Protection of Personal Information originally enacted in June 2020 by the Japanese government, was amended and will come into effect on April 1, 2022 (Amended APPI). Since the passage of the Amended APPI, a number of implementing regulations and supporting documents have been released, addressing the requirements for transferring personal data outside Japan, notifying security breaches and creating pseudonymous information exempt from certain obligations under the Amended APPI. We have taken steps to address compliance obligations that apply to us under the Amended APPI, but cannot assure you that such steps will be effective, and we may face the risk of increased costs, liability and loss of business.</w:t>
      </w:r>
    </w:p>
    <w:p>
      <w:pPr>
        <w:pStyle w:val="TextBody"/>
        <w:spacing w:lineRule="auto" w:line="273" w:before="200" w:after="200"/>
        <w:jc w:val="left"/>
        <w:rPr>
          <w:rFonts w:ascii="Times New Roman" w:hAnsi="Times New Roman"/>
          <w:sz w:val="20"/>
        </w:rPr>
      </w:pPr>
      <w:r>
        <w:rPr>
          <w:rFonts w:ascii="Arial" w:hAnsi="Arial"/>
          <w:b w:val="false"/>
          <w:sz w:val="20"/>
        </w:rPr>
        <w:t>The People’s Republic of China (home to the most online users in the world), is one of the latest countries to pass a new omnibus privacy law. China passed its new Data Security Law (DSL) in June 2021 and its new Personal Information Protection Law (PIPL) in August 2021. The DSL applies to a wide range of data processing activities including, but not limited to, processing personal information. With extraterritorial scope and severe fines and penalties, these laws are set to impose an increasingly complex and comprehensive legal framework for processing personal information when doing business in China.</w:t>
      </w:r>
      <w:r>
        <w:rPr>
          <w:rFonts w:ascii="Times New Roman" w:hAnsi="Times New Roman"/>
          <w:sz w:val="20"/>
        </w:rPr>
        <w:t xml:space="preserve"> </w:t>
      </w:r>
      <w:r>
        <w:rPr>
          <w:rFonts w:ascii="Arial" w:hAnsi="Arial"/>
          <w:b w:val="false"/>
          <w:sz w:val="20"/>
        </w:rPr>
        <w:t>The PIPL is enforced and administered by the Cyberspace Administration of China and relevant state and local government departments. The law draws from the GDPR, with heavy penalties up to the greater of 5% of the previous year’s revenue (possibly global) or $7.7 million.</w:t>
      </w:r>
    </w:p>
    <w:p>
      <w:pPr>
        <w:pStyle w:val="TextBody"/>
        <w:spacing w:lineRule="auto" w:line="273" w:before="200" w:after="200"/>
        <w:jc w:val="left"/>
        <w:rPr>
          <w:rFonts w:ascii="Arial" w:hAnsi="Arial"/>
          <w:b w:val="false"/>
          <w:sz w:val="20"/>
        </w:rPr>
      </w:pPr>
      <w:r>
        <w:rPr>
          <w:rFonts w:ascii="Arial" w:hAnsi="Arial"/>
          <w:b w:val="false"/>
          <w:sz w:val="20"/>
        </w:rPr>
        <w:t>We have taken steps to address compliance obligations that apply to us under the Amended APPI, the DSL and PIPL but cannot assure you that such steps will be effective, and we may face the risk of increased costs, liability and loss of business.</w:t>
      </w:r>
    </w:p>
    <w:p>
      <w:pPr>
        <w:pStyle w:val="TextBody"/>
        <w:spacing w:lineRule="auto" w:line="273" w:before="200" w:after="200"/>
        <w:jc w:val="left"/>
        <w:rPr>
          <w:rFonts w:ascii="Times New Roman" w:hAnsi="Times New Roman"/>
          <w:sz w:val="20"/>
        </w:rPr>
      </w:pPr>
      <w:r>
        <w:rPr>
          <w:rFonts w:ascii="Arial" w:hAnsi="Arial"/>
          <w:b w:val="false"/>
          <w:sz w:val="20"/>
        </w:rPr>
        <w:t>In addition to government regulation, privacy advocates and industry groups may propose new and different self-regulatory standards that, if adopted, may apply to us, or which clients or clients'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71</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are subject to anti-corruption, anti-bribery, and similar laws, and non-compliance with such laws can subject us to criminal or civil liability and harm our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In February 2022, following Russia’s invasion of Ukraine, the United States and other countries announced sanctions against Russia. The sanctions announced by the United States and other countries against Russia to date include restrictions on selling or importing goods, services or technology in or from affected regions, travel bans and asset freezes impacting connected individuals and political, military, business and financial organizations in Russia, severing Russia’s largest bank from the U.S. financial system, barring some Russian enterprises from raising money in the U.S. market and blocking the access of Russian banks to financial markets. The United States and other countries could impose wider sanctions and take other actions should the conflict further escalate. While it is difficult to anticipate the impact the sanctions announced to date may have on us, any further sanctions imposed or actions taken by the United States or other countries, and any retaliatory measures by Russia in response, could increase our costs, reduce our sales and earnings or otherwise have an adverse effect on our operations.</w:t>
      </w:r>
    </w:p>
    <w:p>
      <w:pPr>
        <w:pStyle w:val="TextBody"/>
        <w:spacing w:lineRule="auto" w:line="273" w:before="200" w:after="200"/>
        <w:jc w:val="left"/>
        <w:rPr>
          <w:rFonts w:ascii="Times New Roman" w:hAnsi="Times New Roman"/>
          <w:sz w:val="20"/>
        </w:rPr>
      </w:pPr>
      <w:r>
        <w:rPr>
          <w:rFonts w:ascii="Arial" w:hAnsi="Arial"/>
          <w:b/>
          <w:i/>
          <w:sz w:val="20"/>
        </w:rPr>
        <w:t>New or revised tax regulations, unfavorable resolution of tax contingencies or changes to enacted tax rates could adversely affect our tax expense.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72</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w:t>
      </w:r>
      <w:r>
        <w:rPr>
          <w:rFonts w:ascii="Times New Roman" w:hAnsi="Times New Roman"/>
          <w:sz w:val="20"/>
        </w:rPr>
        <w:t xml:space="preserve"> </w:t>
      </w:r>
      <w:r>
        <w:rPr>
          <w:rFonts w:ascii="Arial" w:hAnsi="Arial"/>
          <w:b w:val="false"/>
          <w:i/>
          <w:sz w:val="20"/>
        </w:rPr>
        <w:t>South Dakota v. Wayfair, Inc. et al</w:t>
      </w:r>
      <w:r>
        <w:rPr>
          <w:rFonts w:ascii="Times New Roman" w:hAnsi="Times New Roman"/>
          <w:sz w:val="20"/>
        </w:rPr>
        <w:t xml:space="preserve"> </w:t>
      </w:r>
      <w:r>
        <w:rPr>
          <w:rFonts w:ascii="Arial" w:hAnsi="Arial"/>
          <w:b w:val="false"/>
          <w:sz w:val="20"/>
        </w:rPr>
        <w:t>(Wayfair)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r>
        <w:rPr>
          <w:rFonts w:ascii="Times New Roman" w:hAnsi="Times New Roman"/>
          <w:sz w:val="20"/>
        </w:rPr>
        <w:t xml:space="preserve"> </w:t>
      </w:r>
    </w:p>
    <w:p>
      <w:pPr>
        <w:pStyle w:val="TextBody"/>
        <w:spacing w:lineRule="auto" w:line="273" w:before="200" w:after="200"/>
        <w:jc w:val="left"/>
        <w:rPr>
          <w:rFonts w:ascii="Arial" w:hAnsi="Arial"/>
          <w:b w:val="false"/>
          <w:sz w:val="20"/>
        </w:rPr>
      </w:pPr>
      <w:r>
        <w:rPr>
          <w:rFonts w:ascii="Arial" w:hAnsi="Arial"/>
          <w:b w:val="false"/>
          <w:sz w:val="20"/>
        </w:rPr>
        <w:t>Relevant foreign taxing authorities may disagree with our determinations as to the income and expenses attributable to specific jurisdictions. If disagreements with relevant taxing authorities on other unknown matters were to occur, and our position was not sustained, we could be required to pay additional taxes, interest and penalties, which could result in one-time tax charges, higher effective tax rates, reduced cash flows and lower overall profitability of our operations.</w:t>
      </w:r>
    </w:p>
    <w:p>
      <w:pPr>
        <w:pStyle w:val="TextBody"/>
        <w:spacing w:lineRule="auto" w:line="273" w:before="200" w:after="200"/>
        <w:jc w:val="left"/>
        <w:rPr>
          <w:rFonts w:ascii="Times New Roman" w:hAnsi="Times New Roman"/>
          <w:sz w:val="20"/>
        </w:rPr>
      </w:pPr>
      <w:r>
        <w:rPr>
          <w:rFonts w:ascii="Arial" w:hAnsi="Arial"/>
          <w:b w:val="false"/>
          <w:sz w:val="20"/>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we fail to adequately protect our proprietary rights, our competitive position could be impaired and we may lose valuable assets, generate less revenue and incur costly litigation to protect our rights.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endeavor to enter into agreements with our employees, consultants and contractors and with parties with whom we do business in order to acquire intellectual property rights developed as a result of service to us,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73</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may in the future be subject to intellectual property disputes, which are costly and may subject us to significant liability and increased costs of doing business.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clients in the event of infringement of a third party’s intellectual property rights.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use of “open source” software could negatively affect our ability to offer and sell access to our solutions and subject us to possible litigation.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74</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i/>
          <w:sz w:val="20"/>
        </w:rPr>
        <w:t>Indemnity and liability provisions in various agreements potentially expose us to substantial liability for intellectual property infringement, data protection, and other losses.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client or clients' customer data, and any such coverage may not continue to be available to us on acceptable terms or at all.</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U.K.’s departure from the E.U. could adversely affect us.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U.K. formally exited the E.U. on January 31, 2020 and a transition period was in place until December 31, 2020 during which time the U.K. remained in both the E.U. customs union and single market and was subject to E.U. rules. There continues to be a significant lack of clarity over the terms of the U.K.’s future relationship with the E.U. in the future.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we could be required to comply with legal and regulatory requirements in the U.K. that are in addition to, or inconsistent with, those of the E.U., leading to increased complexity and costs for our European and U.K. operations;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ability to attract and retain the necessary human resources in appropriate locations to support our U.K. and European business could be adversely impacted. </w:t>
      </w:r>
    </w:p>
    <w:p>
      <w:pPr>
        <w:pStyle w:val="TextBody"/>
        <w:spacing w:lineRule="auto" w:line="273" w:before="200" w:after="200"/>
        <w:jc w:val="left"/>
        <w:rPr>
          <w:rFonts w:ascii="Times New Roman" w:hAnsi="Times New Roman"/>
          <w:sz w:val="20"/>
        </w:rPr>
      </w:pPr>
      <w:r>
        <w:rPr>
          <w:rFonts w:ascii="Arial" w:hAnsi="Arial"/>
          <w:b w:val="false"/>
          <w:sz w:val="20"/>
        </w:rPr>
        <w:t>These and other factors related to Brexit could, individually or in the aggregate, have a material adverse impact on our business, financial condition, and results of operations.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ability to use our net operating losses (NOL) to offset future taxable income may be subject to certain limitations.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of March 31, 2022, we had U.S. federal NOL carryforwards of approximately $120.6 million and state NOL carryforwards of approximately $164.4 million. The federal and material state NOL carryforwards will begin to expire in 2030 and 2022,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75</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our IPO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We are in the process of completing a Section 382 study. Furthermore, our ability to utilize NOLs of companies that we may acquire in the future may be subject to limitations. For these reasons, we may not be able to utilize a material portion of the NOLs, even if we were to achieve profitability.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sz w:val="20"/>
        </w:rPr>
        <w:t>Risks Related to Being a Public Company</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As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a public company, we are subject to the reporting requirements of the Securities Exchange Act of 1934, as amended (Exchange Act), the Sarbanes-Oxley Act of 2002 (Sarbanes-Oxley Act), the Dodd-Frank Wall Street Reform and Consumer Protection Act of 2010 (Dodd-Frank), the listing requirements of The Nasdaq Global Select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a public company, we are required, pursuant to Section 404 of the Sarbanes-Oxley Act (Section 404), to furnish a report by management on, among other things, the effectiveness of our internal control over financial reporting commencing with our Annual Report on Form 10-K for the year ending December 31, 2022.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which could be as early as our Annual Report on Form 10-K for the year ending December 31, 2022. We expect to incur significant expenses and devote substantial management effort toward ensuring compliance with the auditor attestation requirements of Section 404. Furthermore, if and when we are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76</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deemed to be a “large accelerated filer”, we will also have to file a more expansive proxy statement and be subject to shorter filing deadlines, which will require additional time and expense as well.</w:t>
      </w:r>
    </w:p>
    <w:p>
      <w:pPr>
        <w:pStyle w:val="TextBody"/>
        <w:spacing w:lineRule="auto" w:line="273" w:before="200" w:after="200"/>
        <w:jc w:val="left"/>
        <w:rPr>
          <w:rFonts w:ascii="Times New Roman" w:hAnsi="Times New Roman"/>
          <w:sz w:val="20"/>
        </w:rPr>
      </w:pPr>
      <w:r>
        <w:rPr>
          <w:rFonts w:ascii="Arial" w:hAnsi="Arial"/>
          <w:b w:val="false"/>
          <w:sz w:val="20"/>
        </w:rPr>
        <w:t>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have undertaken and may need to continue to undertake various actions, such as implementing new internal controls and procedures, hiring risk professionals, accounting and internal audit staff, and engaging outside consultants, which will increase our operating expenses.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 fashion. During the evaluation and testing process, if we identify material weaknesses in our internal control over financial reporting, we will be unable to assert that our internal control over financial reporting is effective.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Increased scrutiny from investors and others regarding our environmental, social, governance, or sustainability responsibilities could result in additional costs or risks and adversely impact our reputation, employee retention, and willingness of partners, clients or our clients’ customers to do business with us.</w:t>
      </w:r>
    </w:p>
    <w:p>
      <w:pPr>
        <w:pStyle w:val="TextBody"/>
        <w:spacing w:lineRule="auto" w:line="273" w:before="200" w:after="200"/>
        <w:jc w:val="left"/>
        <w:rPr>
          <w:rFonts w:ascii="Arial" w:hAnsi="Arial"/>
          <w:b w:val="false"/>
          <w:sz w:val="20"/>
        </w:rPr>
      </w:pPr>
      <w:r>
        <w:rPr>
          <w:rFonts w:ascii="Arial" w:hAnsi="Arial"/>
          <w:b w:val="false"/>
          <w:sz w:val="20"/>
        </w:rPr>
        <w:t>Investor advocacy groups, certain institutional investors, investment funds, other market participants, stockholders, and consumer groups have focused increasingly on the environmental, social and governance (ESG) or “sustainability” practices of companies. These parties have placed increased importance on the implications of the social cost of their investments. We have convened a cross-functional working group to further enhance our commitment to sustainability and ESG, and recognize the importance of communicating our progress on ESG to our stakeholders. As part of its responsibilities, our ESG working group is assessing opportunities for communicating progress on our priority initiatives. However, if our ESG practices do not meet (or are viewed as not meeting) investor or other industry stakeholder expectations and standards, which continue to evolve, our brand, reputation and employee retention may be negatively impacted, including based on an assessment of our ESG practices. Any sustainability report that we publish or sustainability disclosure we make may include our policies and practices on a variety of social and ethical matters, including corporate governance, community involvement, environmental compliance, employee health and safety practices, cybersecurity and privacy, human capital management, and workforce equity, inclusion and diversity. It is possible that stakeholders may not be satisfied with our ESG practices or the speed of their adoption. We could also incur additional costs and require additional resources to monitor, report, and comply with various ESG practices. Also, our failure, or perceived failure, to meet the standards included in any sustainability disclosure could negatively impact our reputation, employee retention, and the willingness of our partners, clients or our clients’ customers to do business with us.</w:t>
      </w:r>
    </w:p>
    <w:p>
      <w:pPr>
        <w:pStyle w:val="TextBody"/>
        <w:spacing w:lineRule="auto" w:line="273" w:before="200" w:after="200"/>
        <w:jc w:val="left"/>
        <w:rPr>
          <w:rFonts w:ascii="Times New Roman" w:hAnsi="Times New Roman"/>
          <w:sz w:val="20"/>
        </w:rPr>
      </w:pPr>
      <w:r>
        <w:rPr>
          <w:rFonts w:ascii="Arial" w:hAnsi="Arial"/>
          <w:b/>
          <w:i/>
          <w:sz w:val="20"/>
        </w:rPr>
        <w:t>We will incur increased costs as a result of operating as a public company, and our management will be required to devote substantial time to compliance with our public company responsibilities and corporate governance practices.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a public company, we will continue to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77</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sz w:val="20"/>
        </w:rPr>
        <w:t>Risks Related to Ownership of Our Common Stock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price of our common stock may be volatile or may decline regardless of our operating performance and you may not be able to resell your shares at or above the price you paid for them.</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An active or liquid market in our common stock may not be sustainable. The market price of our common stock may fluctuate significantly in response to numerous factors, many of which are beyond our control, including: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overall performance of the equity markets;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our operating performance and the performance of other similar companies;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delays in the roll out of new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changes in our projected operating results that we provide to the public, our failure to meet these projections or changes in recommendations by securities analysts that elect to follow our common stock;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regulatory actions with respect to our payment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regulatory or legal developments in the United States and other countries;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level of expenses related to our solutions;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announcements of acquisitions, strategic alliances or significant agreements by us or by our competitors;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developments or disputes concerning patent applications, issued patents or other intellectual property or proprietary rights;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recruitment or departure of key personnel;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economy as a whole and market conditions in our industry, including conditions resulting from the COVID-19 pandemic;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political or social unrest, war or other military conflict, including an escalation of the conflict between Russia and Ukraine, economic instability, repression, or human rights issues;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variations in our financial results or the financial results of companies that are perceived to be similar to us;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financing or other corporate transactions, or inability to obtain additional funding;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changes in the structure of payment systems;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effects of the ongoing United States-China trade war;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trading activity by a limited number of stockholders who together beneficially own a majority of our outstanding common stock;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expiration of market standoff or contractual lock-up agreements;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size of our market float;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any other factors discussed in this Quarterly Report on Form 10-Q and our other SEC filings. </w:t>
      </w:r>
    </w:p>
    <w:p>
      <w:pPr>
        <w:pStyle w:val="TextBody"/>
        <w:spacing w:lineRule="auto" w:line="273" w:before="200" w:after="200"/>
        <w:jc w:val="left"/>
        <w:rPr>
          <w:rFonts w:ascii="Times New Roman" w:hAnsi="Times New Roman"/>
          <w:sz w:val="20"/>
        </w:rPr>
      </w:pPr>
      <w:r>
        <w:rPr>
          <w:rFonts w:ascii="Arial" w:hAnsi="Arial"/>
          <w:b w:val="false"/>
          <w:sz w:val="20"/>
        </w:rPr>
        <w:t>In addition, the stock markets have experienced extreme price and volume fluctuations that have affected and continue to affect the market prices of equity securities of many companies.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Concerns over economic recession, the COVID-19 pandemic, interest rate increases and inflation, supply chain delays and disruptions, policy priorities of the U.S. presidential administration, trade wars, unemployment, or prolonged government shutdown may contribute to increased volatility and diminished expectations for the economy and markets. Additionally, concern over geopolitical issues may also contribute to prolonged market volatility and instability. For example, the conflict between Russia and Ukraine could lead to disruption, instability and volatility in global markets and industries. The U.S. government and other governments in jurisdictions have imposed severe economic sanctions and</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78</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Arial" w:hAnsi="Arial"/>
          <w:b w:val="false"/>
          <w:sz w:val="20"/>
        </w:rPr>
      </w:pPr>
      <w:r>
        <w:rPr>
          <w:rFonts w:ascii="Arial" w:hAnsi="Arial"/>
          <w:b w:val="false"/>
          <w:sz w:val="20"/>
        </w:rPr>
        <w:t>export controls against Russia and Russian interests, have removed Russia from the SWIFT system, and have threatened additional sanctions and controls. The impact of these measures, as well as potential responses to them by Russia, is unknown.</w:t>
      </w:r>
    </w:p>
    <w:p>
      <w:pPr>
        <w:pStyle w:val="TextBody"/>
        <w:spacing w:lineRule="auto" w:line="273" w:before="200" w:after="200"/>
        <w:jc w:val="left"/>
        <w:rPr>
          <w:rFonts w:ascii="Times New Roman" w:hAnsi="Times New Roman"/>
          <w:sz w:val="20"/>
        </w:rPr>
      </w:pPr>
      <w:r>
        <w:rPr>
          <w:rFonts w:ascii="Arial" w:hAnsi="Arial"/>
          <w:b w:val="false"/>
          <w:sz w:val="20"/>
        </w:rPr>
        <w:t>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r>
        <w:rPr>
          <w:rFonts w:ascii="Times New Roman" w:hAnsi="Times New Roman"/>
          <w:sz w:val="20"/>
        </w:rPr>
        <w:t xml:space="preserve"> </w:t>
      </w:r>
    </w:p>
    <w:p>
      <w:pPr>
        <w:pStyle w:val="TextBody"/>
        <w:spacing w:lineRule="auto" w:line="273" w:before="200" w:after="200"/>
        <w:jc w:val="left"/>
        <w:rPr>
          <w:rFonts w:ascii="Arial" w:hAnsi="Arial"/>
          <w:b/>
          <w:i/>
          <w:sz w:val="20"/>
        </w:rPr>
      </w:pPr>
      <w:r>
        <w:rPr>
          <w:rFonts w:ascii="Arial" w:hAnsi="Arial"/>
          <w:b/>
          <w:i/>
          <w:sz w:val="20"/>
        </w:rPr>
        <w:t>We are an “emerging growth company,” and we cannot be certain if the reduced reporting and disclosure requirements applicable to emerging growth companies will make our common stock less attractive to investors.</w:t>
      </w:r>
    </w:p>
    <w:p>
      <w:pPr>
        <w:pStyle w:val="TextBody"/>
        <w:spacing w:lineRule="auto" w:line="273" w:before="200" w:after="200"/>
        <w:jc w:val="left"/>
        <w:rPr>
          <w:rFonts w:ascii="Times New Roman" w:hAnsi="Times New Roman"/>
          <w:sz w:val="20"/>
        </w:rPr>
      </w:pPr>
      <w:r>
        <w:rPr>
          <w:rFonts w:ascii="Arial" w:hAnsi="Arial"/>
          <w:b w:val="false"/>
          <w:sz w:val="20"/>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will remain an emerging growth company until the earliest of (i) December 31, 2026,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cannot predict if investors will find our common stock less attractive if we continue to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Raising additional capital may cause dilution to our existing stockholders, restrict our operations or require us to relinquish rights to our intellectual property on unfavorable terms to us.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disruptions in the capital markets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If we are unable to raise additional funds through equity or debt financing or through collaborations or strategic partnerships when needed, we may be required to delay, limit, reduce or terminate the development of our solutions or commercialization efforts.</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79</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i/>
          <w:sz w:val="20"/>
        </w:rPr>
        <w:t>We may allocate our cash and cash equivalents in ways that you and other stockholders may not approve.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management has broad discretion in the application of our cash and cash equivalents. Because of the number and variability of factors that determine our use of our cash and cash equivalents, their ultimate use may vary substantially from their currently intended use. Our management might not apply cash and cash equivalents in ways that ultimately increase the value of your investment. The failure by our management to apply these funds effectively could harm our business. Pending their use, we may invest our cash and cash equivalents in short-term, investment-grade, interest-bearing securities. These investments may not yield a favorable return to our stockholders. If we do not invest or apply our cash and cash equivalents in ways that enhance stockholder value, we may fail to achieve expected financial results, which could cause our stock price to decline.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If securities or industry analysts do not publish research or publish inaccurate or unfavorable research about our business, our stock price and trading volume could decline.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trading market for our common stock depends in part on the research and reports that securities or industry analysts publish about us or our business.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Sales of substantial amounts of our common stock in the public markets could cause the market price of our common stock to decline.</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 that sales will occur. We had a total of 101,092,059 shares of our voting common stock and 5,988,378 shares of our non-voting common stock outstanding as of March 31, 2022. Other than shares held by directors, executive officers and other affiliates that are subject to volume limitations under Rule 144 under the Securities Act and various vesting agreements, these shares of common stock generally are freely tradable</w:t>
      </w:r>
      <w:r>
        <w:rPr>
          <w:rFonts w:ascii="Times New Roman" w:hAnsi="Times New Roman"/>
          <w:sz w:val="20"/>
        </w:rPr>
        <w:t xml:space="preserve"> </w:t>
      </w:r>
      <w:r>
        <w:rPr>
          <w:rFonts w:ascii="Arial" w:hAnsi="Arial"/>
          <w:b w:val="false"/>
          <w:sz w:val="20"/>
        </w:rPr>
        <w:t>without restrictions or further registration under the Securities Act.</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Certain of our stockholders will have rights, subject to some conditions, to require us to file registration statements covering their shares or to include their shares in registration statements that we may file for ourselves or our stockholders,</w:t>
      </w:r>
      <w:r>
        <w:rPr>
          <w:rFonts w:ascii="Times New Roman" w:hAnsi="Times New Roman"/>
          <w:sz w:val="20"/>
        </w:rPr>
        <w:t xml:space="preserve"> </w:t>
      </w:r>
      <w:r>
        <w:rPr>
          <w:rFonts w:ascii="Arial" w:hAnsi="Arial"/>
          <w:b w:val="false"/>
          <w:sz w:val="20"/>
        </w:rPr>
        <w:t>subject to market standoff and lock-up agreements. We registered shares of common stock that we have issued and may issue under our employee equity incentive plans. These shares will be able to be sold freely in the public market upon issuance, subject to securities laws.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 market price of the shares of our common stock could decline as a result of the sale of a substantial number of our shares of common stock</w:t>
      </w:r>
      <w:r>
        <w:rPr>
          <w:rFonts w:ascii="Times New Roman" w:hAnsi="Times New Roman"/>
          <w:sz w:val="20"/>
        </w:rPr>
        <w:t xml:space="preserve"> </w:t>
      </w:r>
      <w:r>
        <w:rPr>
          <w:rFonts w:ascii="Arial" w:hAnsi="Arial"/>
          <w:b w:val="false"/>
          <w:sz w:val="20"/>
        </w:rPr>
        <w:t>in the public market or the perception in the market that the holders of a large number of shares intend to sell their shares.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The concentration of our stock ownership will likely limit your ability to influence corporate matters, including the ability to influence the outcome of director elections and other matters requiring stockholder approval.</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As of March 31, 2022, our executive officers, directors and the holders of more than 5% of our outstanding voting and non-voting common stock, in the aggregate, beneficially owned approximately 35.9% of our voting and non-voting common stock.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We do not intend to pay dividends on our common stock and, consequently, your ability to achieve a return on your investment will depend on appreciation in the price of our common stock.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80</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Delaware law and provisions in our amended and restated certificate of incorporation and amended and restated bylaws could make a merger, tender offer or proxy contest difficult, thereby depressing the trading price of our common stock.</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r>
        <w:rPr>
          <w:rFonts w:ascii="Times New Roman" w:hAnsi="Times New Roman"/>
          <w:sz w:val="20"/>
        </w:rPr>
        <w:t xml:space="preserve">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 classified board of directors with three-year staggered terms, which could delay the ability of stockholders to change the membership of a majority of our board of directors;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exclusive right of our board of directors to elect a director to fill a vacancy created by the expansion of our board of directors or the resignation, death or removal of a director, which prevents stockholders from being able to fill vacancies on our board of directors;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 prohibition on stockholder action by written consent, which forces stockholder action to be taken at an annual or special meeting of our stockholders;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 </w:t>
      </w:r>
    </w:p>
    <w:p>
      <w:pPr>
        <w:pStyle w:val="TextBody"/>
        <w:spacing w:lineRule="auto" w:line="273" w:before="200" w:after="200"/>
        <w:jc w:val="left"/>
        <w:rPr/>
      </w:pPr>
      <w:r>
        <w:rPr/>
        <w:t>•</w:t>
      </w:r>
    </w:p>
    <w:p>
      <w:pPr>
        <w:pStyle w:val="TextBody"/>
        <w:spacing w:lineRule="auto" w:line="273" w:before="200" w:after="200"/>
        <w:jc w:val="left"/>
        <w:rPr>
          <w:rFonts w:ascii="Arial" w:hAnsi="Arial"/>
          <w:b w:val="false"/>
          <w:sz w:val="20"/>
        </w:rPr>
      </w:pPr>
      <w:r>
        <w:rPr>
          <w:rFonts w:ascii="Arial" w:hAnsi="Arial"/>
          <w:b w:val="false"/>
          <w:sz w:val="20"/>
        </w:rPr>
        <w:t xml:space="preserve">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spacing w:lineRule="auto" w:line="273" w:before="200" w:after="200"/>
        <w:jc w:val="left"/>
        <w:rPr>
          <w:rFonts w:ascii="Times New Roman" w:hAnsi="Times New Roman"/>
          <w:sz w:val="20"/>
        </w:rPr>
      </w:pPr>
      <w:r>
        <w:rPr>
          <w:rFonts w:ascii="Arial" w:hAnsi="Arial"/>
          <w:b w:val="false"/>
          <w:sz w:val="20"/>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i/>
          <w:sz w:val="20"/>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sz w:val="20"/>
        </w:rPr>
        <w:t xml:space="preserve"> </w:t>
      </w:r>
    </w:p>
    <w:p>
      <w:pPr>
        <w:pStyle w:val="TextBody"/>
        <w:spacing w:lineRule="auto" w:line="273" w:before="200" w:after="200"/>
        <w:jc w:val="left"/>
        <w:rPr>
          <w:rFonts w:ascii="Times New Roman" w:hAnsi="Times New Roman"/>
          <w:sz w:val="20"/>
        </w:rPr>
      </w:pPr>
      <w:r>
        <w:rPr>
          <w:rFonts w:ascii="Arial" w:hAnsi="Arial"/>
          <w:b w:val="false"/>
          <w:sz w:val="20"/>
        </w:rPr>
        <w:t>Our amended and restated certificate of incorporation provides that the Court of Chancery of the State of Delaware is the exclusive forum for any derivative action or proceeding brought on our behalf, any action asserting a breach of</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81</w:t>
      </w:r>
    </w:p>
    <w:p>
      <w:pPr>
        <w:pStyle w:val="HorizontalLine"/>
        <w:rPr/>
      </w:pPr>
      <w:r>
        <w:rPr/>
      </w:r>
    </w:p>
    <w:p>
      <w:pPr>
        <w:pStyle w:val="TextBody"/>
        <w:spacing w:lineRule="auto" w:line="273" w:before="0" w:after="0"/>
        <w:jc w:val="left"/>
        <w:rPr/>
      </w:pPr>
      <w:r>
        <w:rPr/>
        <w:t> </w:t>
      </w:r>
    </w:p>
    <w:p>
      <w:pPr>
        <w:pStyle w:val="TextBody"/>
        <w:spacing w:lineRule="auto" w:line="273" w:before="200" w:after="200"/>
        <w:jc w:val="left"/>
        <w:rPr>
          <w:rFonts w:ascii="Times New Roman" w:hAnsi="Times New Roman"/>
          <w:sz w:val="20"/>
        </w:rPr>
      </w:pPr>
      <w:r>
        <w:rPr>
          <w:rFonts w:ascii="Arial" w:hAnsi="Arial"/>
          <w:b w:val="false"/>
          <w:sz w:val="20"/>
        </w:rPr>
        <w:t>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r>
        <w:rPr>
          <w:rFonts w:ascii="Times New Roman" w:hAnsi="Times New Roman"/>
          <w:sz w:val="20"/>
        </w:rPr>
        <w:t xml:space="preserve"> </w:t>
      </w:r>
    </w:p>
    <w:p>
      <w:pPr>
        <w:pStyle w:val="TextBody"/>
        <w:spacing w:lineRule="auto" w:line="273" w:before="360" w:after="0"/>
        <w:jc w:val="left"/>
        <w:rPr>
          <w:rFonts w:ascii="Times New Roman" w:hAnsi="Times New Roman"/>
          <w:sz w:val="20"/>
        </w:rPr>
      </w:pPr>
      <w:bookmarkStart w:id="21" w:name="item_2"/>
      <w:bookmarkEnd w:id="21"/>
      <w:r>
        <w:rPr>
          <w:rFonts w:ascii="Arial" w:hAnsi="Arial"/>
          <w:b/>
          <w:sz w:val="20"/>
        </w:rPr>
        <w:t>Item 2. Unregistered Sales of Equity Securities and Use of Proceeds Use of Proceeds</w:t>
      </w:r>
      <w:r>
        <w:rPr>
          <w:rFonts w:ascii="Times New Roman" w:hAnsi="Times New Roman"/>
          <w:sz w:val="20"/>
        </w:rPr>
        <w:t xml:space="preserve"> </w:t>
      </w:r>
    </w:p>
    <w:p>
      <w:pPr>
        <w:pStyle w:val="TextBody"/>
        <w:spacing w:lineRule="auto" w:line="273" w:before="200" w:after="200"/>
        <w:jc w:val="left"/>
        <w:rPr>
          <w:rFonts w:ascii="Arial" w:hAnsi="Arial"/>
          <w:b/>
          <w:sz w:val="20"/>
        </w:rPr>
      </w:pPr>
      <w:r>
        <w:rPr>
          <w:rFonts w:ascii="Arial" w:hAnsi="Arial"/>
          <w:b/>
          <w:sz w:val="20"/>
        </w:rPr>
        <w:t>Recent Sales of Unregistered Equity Securities</w:t>
      </w:r>
    </w:p>
    <w:p>
      <w:pPr>
        <w:pStyle w:val="TextBody"/>
        <w:spacing w:lineRule="auto" w:line="273" w:before="200" w:after="200"/>
        <w:jc w:val="left"/>
        <w:rPr>
          <w:rFonts w:ascii="Arial" w:hAnsi="Arial"/>
          <w:b w:val="false"/>
          <w:sz w:val="20"/>
        </w:rPr>
      </w:pPr>
      <w:r>
        <w:rPr>
          <w:rFonts w:ascii="Arial" w:hAnsi="Arial"/>
          <w:b w:val="false"/>
          <w:sz w:val="20"/>
        </w:rPr>
        <w:t>None</w:t>
      </w:r>
    </w:p>
    <w:p>
      <w:pPr>
        <w:pStyle w:val="TextBody"/>
        <w:spacing w:lineRule="auto" w:line="273" w:before="200" w:after="200"/>
        <w:jc w:val="left"/>
        <w:rPr>
          <w:rFonts w:ascii="Arial" w:hAnsi="Arial"/>
          <w:b/>
          <w:sz w:val="20"/>
        </w:rPr>
      </w:pPr>
      <w:r>
        <w:rPr>
          <w:rFonts w:ascii="Arial" w:hAnsi="Arial"/>
          <w:b/>
          <w:sz w:val="20"/>
        </w:rPr>
        <w:t>Use of Proceeds from IPO</w:t>
      </w:r>
    </w:p>
    <w:p>
      <w:pPr>
        <w:pStyle w:val="TextBody"/>
        <w:spacing w:lineRule="auto" w:line="273" w:before="200" w:after="200"/>
        <w:jc w:val="left"/>
        <w:rPr>
          <w:rFonts w:ascii="Arial" w:hAnsi="Arial"/>
          <w:b w:val="false"/>
          <w:sz w:val="20"/>
        </w:rPr>
      </w:pPr>
      <w:r>
        <w:rPr>
          <w:rFonts w:ascii="Arial" w:hAnsi="Arial"/>
          <w:b w:val="false"/>
          <w:sz w:val="20"/>
        </w:rPr>
        <w:t>In May 2021, we closed our IPO in which we issued and sold 12,006,000 shares of our voting common stock, including 1,566,000 shares of voting common stock sold pursuant to the underwriters’ full exercise of their option to purchase additional shares, at a public offering price of $24.00 per share, for aggregate net proceeds of $263.8 million, after deducting underwriting discounts and commissions of $19.4 million and other offering costs of $4.9 million. Goldman Sachs &amp; Co. LLC, J.P. Morgan Securities LLC and Citigroup Global Markets Inc. acted as representatives of the underwriters for our IPO. No payments for such expenses were made directly or indirectly to (i) any of our officers or directors or their associates, (ii) any persons owning 10% or more of any class of our equity securities or (iii) any of our affiliates. All of the shares issued and sold in the IPO were registered under the Securities Act pursuant to a Registration Statement on Form S-1 (File No. 333- 255706), which was declared effective by the SEC on May 25, 2021, and a Registration Statement on Form S-1 MEF (File No. 333-256471) filed pursuant to Rule 462(b) of the Securities Act.</w:t>
      </w:r>
    </w:p>
    <w:p>
      <w:pPr>
        <w:pStyle w:val="TextBody"/>
        <w:spacing w:lineRule="auto" w:line="273" w:before="200" w:after="200"/>
        <w:jc w:val="left"/>
        <w:rPr>
          <w:rFonts w:ascii="Arial" w:hAnsi="Arial"/>
          <w:b w:val="false"/>
          <w:sz w:val="20"/>
        </w:rPr>
      </w:pPr>
      <w:r>
        <w:rPr>
          <w:rFonts w:ascii="Arial" w:hAnsi="Arial"/>
          <w:b w:val="false"/>
          <w:sz w:val="20"/>
        </w:rPr>
        <w:t>The IPO terminated after the sale of all securities registered pursuant to the Registration Statements. As of March 31, 2022, the net proceeds of our IPO are in non-interest bearing accounts, but are expected to be invested in investment grade, interest-bearing instruments in the second quarter of 2022. There has been no material change in the expected use of the net proceeds from our IPO as described in in our final prospectus, dated May 25, 2021, filed with the SEC pursuant to Rule 424(b) relating to our IPO.</w:t>
      </w:r>
    </w:p>
    <w:p>
      <w:pPr>
        <w:pStyle w:val="TextBody"/>
        <w:spacing w:lineRule="auto" w:line="273" w:before="360" w:after="0"/>
        <w:jc w:val="left"/>
        <w:rPr>
          <w:rFonts w:ascii="Arial" w:hAnsi="Arial"/>
          <w:b/>
          <w:sz w:val="20"/>
        </w:rPr>
      </w:pPr>
      <w:bookmarkStart w:id="22" w:name="item_3"/>
      <w:bookmarkEnd w:id="22"/>
      <w:r>
        <w:rPr>
          <w:rFonts w:ascii="Arial" w:hAnsi="Arial"/>
          <w:b/>
          <w:sz w:val="20"/>
        </w:rPr>
        <w:t>Item 3. Defaults Upon Senior Securities</w:t>
      </w:r>
    </w:p>
    <w:p>
      <w:pPr>
        <w:pStyle w:val="TextBody"/>
        <w:spacing w:lineRule="auto" w:line="273" w:before="200" w:after="200"/>
        <w:jc w:val="left"/>
        <w:rPr>
          <w:rFonts w:ascii="Times New Roman" w:hAnsi="Times New Roman"/>
          <w:sz w:val="20"/>
        </w:rPr>
      </w:pPr>
      <w:r>
        <w:rPr>
          <w:rFonts w:ascii="Arial" w:hAnsi="Arial"/>
          <w:b w:val="false"/>
          <w:sz w:val="20"/>
        </w:rPr>
        <w:t>Not applicable.</w:t>
      </w:r>
      <w:r>
        <w:rPr>
          <w:rFonts w:ascii="Times New Roman" w:hAnsi="Times New Roman"/>
          <w:sz w:val="20"/>
        </w:rPr>
        <w:t xml:space="preserve"> </w:t>
      </w:r>
    </w:p>
    <w:p>
      <w:pPr>
        <w:pStyle w:val="TextBody"/>
        <w:spacing w:lineRule="auto" w:line="273" w:before="360" w:after="0"/>
        <w:jc w:val="left"/>
        <w:rPr>
          <w:rFonts w:ascii="Arial" w:hAnsi="Arial"/>
          <w:b/>
          <w:sz w:val="20"/>
        </w:rPr>
      </w:pPr>
      <w:bookmarkStart w:id="23" w:name="item_4_mine"/>
      <w:bookmarkEnd w:id="23"/>
      <w:r>
        <w:rPr>
          <w:rFonts w:ascii="Arial" w:hAnsi="Arial"/>
          <w:b/>
          <w:sz w:val="20"/>
        </w:rPr>
        <w:t>Item 4. Mine Safety Disclosures</w:t>
      </w:r>
    </w:p>
    <w:p>
      <w:pPr>
        <w:pStyle w:val="TextBody"/>
        <w:spacing w:lineRule="auto" w:line="273" w:before="200" w:after="200"/>
        <w:jc w:val="left"/>
        <w:rPr>
          <w:rFonts w:ascii="Times New Roman" w:hAnsi="Times New Roman"/>
          <w:sz w:val="20"/>
        </w:rPr>
      </w:pPr>
      <w:r>
        <w:rPr>
          <w:rFonts w:ascii="Arial" w:hAnsi="Arial"/>
          <w:b w:val="false"/>
          <w:sz w:val="20"/>
        </w:rPr>
        <w:t>Not applicable.</w:t>
      </w:r>
      <w:r>
        <w:rPr>
          <w:rFonts w:ascii="Times New Roman" w:hAnsi="Times New Roman"/>
          <w:sz w:val="20"/>
        </w:rPr>
        <w:t xml:space="preserve"> </w:t>
      </w:r>
    </w:p>
    <w:p>
      <w:pPr>
        <w:pStyle w:val="TextBody"/>
        <w:spacing w:lineRule="auto" w:line="273" w:before="360" w:after="0"/>
        <w:jc w:val="left"/>
        <w:rPr>
          <w:rFonts w:ascii="Arial" w:hAnsi="Arial"/>
          <w:b/>
          <w:sz w:val="20"/>
        </w:rPr>
      </w:pPr>
      <w:bookmarkStart w:id="24" w:name="item_5"/>
      <w:bookmarkEnd w:id="24"/>
      <w:r>
        <w:rPr>
          <w:rFonts w:ascii="Arial" w:hAnsi="Arial"/>
          <w:b/>
          <w:sz w:val="20"/>
        </w:rPr>
        <w:t>Item 5. Other Information</w:t>
      </w:r>
    </w:p>
    <w:p>
      <w:pPr>
        <w:pStyle w:val="TextBody"/>
        <w:spacing w:lineRule="auto" w:line="273" w:before="200" w:after="200"/>
        <w:jc w:val="left"/>
        <w:rPr>
          <w:rFonts w:ascii="Times New Roman" w:hAnsi="Times New Roman"/>
          <w:sz w:val="20"/>
        </w:rPr>
      </w:pPr>
      <w:r>
        <w:rPr>
          <w:rFonts w:ascii="Arial" w:hAnsi="Arial"/>
          <w:b w:val="false"/>
          <w:sz w:val="20"/>
        </w:rPr>
        <w:t>Not applicable.</w:t>
      </w:r>
      <w:r>
        <w:rPr>
          <w:rFonts w:ascii="Times New Roman" w:hAnsi="Times New Roman"/>
          <w:sz w:val="20"/>
        </w:rPr>
        <w:t xml:space="preserve">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82</w:t>
      </w:r>
    </w:p>
    <w:p>
      <w:pPr>
        <w:pStyle w:val="HorizontalLine"/>
        <w:rPr/>
      </w:pPr>
      <w:r>
        <w:rPr/>
      </w:r>
    </w:p>
    <w:p>
      <w:pPr>
        <w:pStyle w:val="TextBody"/>
        <w:spacing w:lineRule="auto" w:line="273" w:before="0" w:after="0"/>
        <w:jc w:val="left"/>
        <w:rPr/>
      </w:pPr>
      <w:r>
        <w:rPr/>
        <w:t> </w:t>
      </w:r>
    </w:p>
    <w:p>
      <w:pPr>
        <w:pStyle w:val="TextBody"/>
        <w:spacing w:lineRule="auto" w:line="273" w:before="360" w:after="0"/>
        <w:jc w:val="left"/>
        <w:rPr>
          <w:rFonts w:ascii="Arial" w:hAnsi="Arial"/>
          <w:b/>
          <w:sz w:val="20"/>
        </w:rPr>
      </w:pPr>
      <w:bookmarkStart w:id="25" w:name="exhibits"/>
      <w:bookmarkEnd w:id="25"/>
      <w:r>
        <w:rPr>
          <w:rFonts w:ascii="Arial" w:hAnsi="Arial"/>
          <w:b/>
          <w:sz w:val="20"/>
        </w:rPr>
        <w:t>Item 6. Exhibits</w:t>
      </w:r>
    </w:p>
    <w:p>
      <w:pPr>
        <w:pStyle w:val="TextBody"/>
        <w:spacing w:lineRule="auto" w:line="273" w:before="0" w:after="0"/>
        <w:jc w:val="left"/>
        <w:rPr/>
      </w:pPr>
      <w:r>
        <w:rPr/>
        <w:t> </w:t>
      </w:r>
    </w:p>
    <w:tbl>
      <w:tblPr>
        <w:tblW w:w="10205" w:type="dxa"/>
        <w:jc w:val="left"/>
        <w:tblInd w:w="0" w:type="dxa"/>
        <w:tblCellMar>
          <w:top w:w="28" w:type="dxa"/>
          <w:left w:w="28" w:type="dxa"/>
          <w:bottom w:w="28" w:type="dxa"/>
          <w:right w:w="28" w:type="dxa"/>
        </w:tblCellMar>
      </w:tblPr>
      <w:tblGrid>
        <w:gridCol w:w="822"/>
        <w:gridCol w:w="146"/>
        <w:gridCol w:w="9237"/>
      </w:tblGrid>
      <w:tr>
        <w:trPr/>
        <w:tc>
          <w:tcPr>
            <w:tcW w:w="8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37" w:type="dxa"/>
            <w:tcBorders/>
            <w:shd w:fill="auto" w:val="clear"/>
            <w:vAlign w:val="center"/>
          </w:tcPr>
          <w:p>
            <w:pPr>
              <w:pStyle w:val="TableContents"/>
              <w:spacing w:before="0" w:after="283"/>
              <w:rPr>
                <w:sz w:val="4"/>
                <w:szCs w:val="4"/>
              </w:rPr>
            </w:pPr>
            <w:r>
              <w:rPr>
                <w:sz w:val="4"/>
                <w:szCs w:val="4"/>
              </w:rPr>
            </w:r>
          </w:p>
        </w:tc>
      </w:tr>
      <w:tr>
        <w:trPr/>
        <w:tc>
          <w:tcPr>
            <w:tcW w:w="822"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Exhibit</w:t>
            </w:r>
          </w:p>
          <w:p>
            <w:pPr>
              <w:pStyle w:val="TableContents"/>
              <w:spacing w:lineRule="auto" w:line="252" w:before="0" w:after="0"/>
              <w:ind w:left="0" w:right="0" w:hanging="0"/>
              <w:jc w:val="center"/>
              <w:rPr>
                <w:rFonts w:ascii="Arial" w:hAnsi="Arial"/>
                <w:b/>
                <w:sz w:val="16"/>
              </w:rPr>
            </w:pPr>
            <w:r>
              <w:rPr>
                <w:rFonts w:ascii="Arial" w:hAnsi="Arial"/>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left"/>
              <w:rPr/>
            </w:pPr>
            <w:r>
              <w:rPr/>
              <w:t> </w:t>
            </w:r>
          </w:p>
        </w:tc>
        <w:tc>
          <w:tcPr>
            <w:tcW w:w="9237" w:type="dxa"/>
            <w:tcBorders>
              <w:bottom w:val="single" w:sz="2" w:space="0" w:color="000000"/>
            </w:tcBorders>
            <w:shd w:fill="auto" w:val="clear"/>
            <w:tcMar>
              <w:top w:w="0" w:type="dxa"/>
              <w:left w:w="0" w:type="dxa"/>
              <w:right w:w="0" w:type="dxa"/>
            </w:tcMar>
            <w:vAlign w:val="center"/>
          </w:tcPr>
          <w:p>
            <w:pPr>
              <w:pStyle w:val="TableContents"/>
              <w:spacing w:lineRule="auto" w:line="252" w:before="0" w:after="0"/>
              <w:ind w:left="0" w:right="0" w:hanging="0"/>
              <w:jc w:val="center"/>
              <w:rPr>
                <w:rFonts w:ascii="Arial" w:hAnsi="Arial"/>
                <w:b/>
                <w:sz w:val="16"/>
              </w:rPr>
            </w:pPr>
            <w:r>
              <w:rPr>
                <w:rFonts w:ascii="Arial" w:hAnsi="Arial"/>
                <w:b/>
                <w:sz w:val="16"/>
              </w:rPr>
              <w:t>Description</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3">
              <w:r>
                <w:rPr>
                  <w:rStyle w:val="InternetLink"/>
                  <w:rFonts w:ascii="Arial" w:hAnsi="Arial"/>
                  <w:b w:val="false"/>
                  <w:sz w:val="20"/>
                  <w:u w:val="single"/>
                </w:rPr>
                <w:t>Amended and Restated Certificate of Incorporation of Flywire Corporation, incorporated by reference to Exhibit 3.1 to the Registrant’s Current Report on Form 8-K filed on June 1, 2021.</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r:id="rId4">
              <w:r>
                <w:rPr>
                  <w:rStyle w:val="InternetLink"/>
                  <w:rFonts w:ascii="Arial" w:hAnsi="Arial"/>
                  <w:b w:val="false"/>
                  <w:sz w:val="20"/>
                  <w:u w:val="single"/>
                </w:rPr>
                <w:t>Amended and Restated Bylaws of Flywire Corporation, incorporated by reference to Exhibit 3.2 to the Registrant’s Current Report on Form 8-K filed on June 1, 2021.</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31.1*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flyw-ex31_1.htm">
              <w:r>
                <w:rPr>
                  <w:rStyle w:val="InternetLink"/>
                  <w:rFonts w:ascii="Arial" w:hAnsi="Arial"/>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31.2*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flyw-ex31_2.htm">
              <w:r>
                <w:rPr>
                  <w:rStyle w:val="InternetLink"/>
                  <w:rFonts w:ascii="Arial" w:hAnsi="Arial"/>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32.1*</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flyw-ex32_1.htm">
              <w:r>
                <w:rPr>
                  <w:rStyle w:val="InternetLink"/>
                  <w:rFonts w:ascii="Arial" w:hAnsi="Arial"/>
                  <w:b w:val="false"/>
                  <w:sz w:val="20"/>
                  <w:u w:val="single"/>
                </w:rPr>
                <w:t>Certification of Principal Executive Officer Pursuant to 18 U.S.C. Section 1350, as Adopted Pursuant to Section 906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32.2*</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hyperlink w:anchor="flyw-ex32_2.htm">
              <w:r>
                <w:rPr>
                  <w:rStyle w:val="InternetLink"/>
                  <w:rFonts w:ascii="Arial" w:hAnsi="Arial"/>
                  <w:b w:val="false"/>
                  <w:sz w:val="20"/>
                  <w:u w:val="single"/>
                </w:rPr>
                <w:t>Certification of Principal Financial Officer Pursuant to 18 U.S.C. Section 1350, as Adopted Pursuant to Section 906 of the Sarbanes-Oxley Act of 2002.</w:t>
              </w:r>
            </w:hyperlink>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101.INS</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Instance Document – the instance document does not appear in the Interactive Data File because XBRL tags are embedded within the Inline XBRL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101.SCH</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Schema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101.CAL</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Calculation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101.DEF</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Definition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101.LAB</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Label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101.PRE</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Inline XBRL Taxonomy Extension Presentation Linkbase Document</w:t>
            </w:r>
          </w:p>
        </w:tc>
      </w:tr>
      <w:tr>
        <w:trPr/>
        <w:tc>
          <w:tcPr>
            <w:tcW w:w="822"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104</w:t>
            </w:r>
          </w:p>
        </w:tc>
        <w:tc>
          <w:tcPr>
            <w:tcW w:w="1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pPr>
            <w:r>
              <w:rPr/>
              <w:t> </w:t>
            </w:r>
          </w:p>
        </w:tc>
        <w:tc>
          <w:tcPr>
            <w:tcW w:w="9237"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Cover Page Interactive Data File (embedded within the Inline XBRL document)</w:t>
            </w:r>
          </w:p>
        </w:tc>
      </w:tr>
    </w:tbl>
    <w:p>
      <w:pPr>
        <w:pStyle w:val="TextBody"/>
        <w:pBdr>
          <w:bottom w:val="single" w:sz="8" w:space="1" w:color="000000"/>
        </w:pBdr>
        <w:spacing w:lineRule="auto" w:line="273" w:before="0" w:after="0"/>
        <w:jc w:val="left"/>
        <w:rPr/>
      </w:pPr>
      <w:r>
        <w:rPr/>
        <w:t> </w:t>
      </w:r>
    </w:p>
    <w:p>
      <w:pPr>
        <w:pStyle w:val="TextBody"/>
        <w:spacing w:lineRule="auto" w:line="273" w:before="120" w:after="0"/>
        <w:jc w:val="left"/>
        <w:rPr>
          <w:rFonts w:ascii="Arial" w:hAnsi="Arial"/>
          <w:b w:val="false"/>
          <w:sz w:val="16"/>
        </w:rPr>
      </w:pPr>
      <w:r>
        <w:rPr>
          <w:rFonts w:ascii="Arial" w:hAnsi="Arial"/>
          <w:b w:val="false"/>
          <w:sz w:val="16"/>
        </w:rPr>
        <w:t>* Filed herewith.</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83</w:t>
      </w:r>
    </w:p>
    <w:p>
      <w:pPr>
        <w:pStyle w:val="HorizontalLine"/>
        <w:rPr/>
      </w:pPr>
      <w:r>
        <w:rPr/>
      </w:r>
    </w:p>
    <w:p>
      <w:pPr>
        <w:pStyle w:val="TextBody"/>
        <w:spacing w:lineRule="auto" w:line="273" w:before="0" w:after="0"/>
        <w:jc w:val="left"/>
        <w:rPr/>
      </w:pPr>
      <w:r>
        <w:rPr/>
        <w:t> </w:t>
      </w:r>
    </w:p>
    <w:p>
      <w:pPr>
        <w:pStyle w:val="TextBody"/>
        <w:spacing w:lineRule="auto" w:line="273" w:before="360" w:after="0"/>
        <w:jc w:val="center"/>
        <w:rPr>
          <w:rFonts w:ascii="Times New Roman" w:hAnsi="Times New Roman"/>
          <w:sz w:val="20"/>
        </w:rPr>
      </w:pPr>
      <w:bookmarkStart w:id="26" w:name="signatures"/>
      <w:bookmarkEnd w:id="26"/>
      <w:r>
        <w:rPr>
          <w:rFonts w:ascii="Arial" w:hAnsi="Arial"/>
          <w:b/>
          <w:sz w:val="20"/>
        </w:rPr>
        <w:t>SIGNATURES</w:t>
      </w:r>
      <w:r>
        <w:rPr>
          <w:rFonts w:ascii="Times New Roman" w:hAnsi="Times New Roman"/>
          <w:sz w:val="20"/>
        </w:rPr>
        <w:t xml:space="preserve"> </w:t>
      </w:r>
    </w:p>
    <w:p>
      <w:pPr>
        <w:pStyle w:val="TextBody"/>
        <w:spacing w:lineRule="auto" w:line="273" w:before="200" w:after="0"/>
        <w:jc w:val="left"/>
        <w:rPr>
          <w:rFonts w:ascii="Times New Roman" w:hAnsi="Times New Roman"/>
          <w:sz w:val="20"/>
        </w:rPr>
      </w:pPr>
      <w:r>
        <w:rPr>
          <w:rFonts w:ascii="Arial" w:hAnsi="Arial"/>
          <w:b w:val="false"/>
          <w:sz w:val="20"/>
        </w:rPr>
        <w:t>Pursuant to the requirements of the Securities Exchange Act of 1934, the registrant has duly caused this report to be signed on its behalf by the undersigned thereunto duly authorized.</w:t>
      </w:r>
      <w:r>
        <w:rPr>
          <w:rFonts w:ascii="Times New Roman" w:hAnsi="Times New Roman"/>
          <w:sz w:val="20"/>
        </w:rPr>
        <w:t xml:space="preserve"> </w:t>
      </w:r>
    </w:p>
    <w:p>
      <w:pPr>
        <w:pStyle w:val="TextBody"/>
        <w:spacing w:lineRule="auto" w:line="273" w:before="200" w:after="0"/>
        <w:jc w:val="left"/>
        <w:rPr/>
      </w:pPr>
      <w:r>
        <w:rPr/>
        <w:t> </w:t>
      </w:r>
    </w:p>
    <w:tbl>
      <w:tblPr>
        <w:tblW w:w="6614" w:type="dxa"/>
        <w:jc w:val="left"/>
        <w:tblInd w:w="0" w:type="dxa"/>
        <w:tblCellMar>
          <w:top w:w="28" w:type="dxa"/>
          <w:left w:w="28" w:type="dxa"/>
          <w:bottom w:w="28" w:type="dxa"/>
          <w:right w:w="28" w:type="dxa"/>
        </w:tblCellMar>
      </w:tblPr>
      <w:tblGrid>
        <w:gridCol w:w="1831"/>
        <w:gridCol w:w="146"/>
        <w:gridCol w:w="406"/>
        <w:gridCol w:w="423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37" w:type="dxa"/>
            <w:gridSpan w:val="2"/>
            <w:tcBorders/>
            <w:shd w:fill="auto" w:val="clear"/>
            <w:vAlign w:val="center"/>
          </w:tcPr>
          <w:p>
            <w:pPr>
              <w:pStyle w:val="TableContents"/>
              <w:spacing w:lineRule="auto" w:line="252" w:before="0" w:after="0"/>
              <w:ind w:left="0" w:right="0" w:hanging="0"/>
              <w:jc w:val="left"/>
              <w:rPr>
                <w:rFonts w:ascii="Arial" w:hAnsi="Arial"/>
                <w:b/>
                <w:sz w:val="20"/>
              </w:rPr>
            </w:pPr>
            <w:r>
              <w:rPr>
                <w:rFonts w:ascii="Arial" w:hAnsi="Arial"/>
                <w:b/>
                <w:sz w:val="20"/>
              </w:rPr>
              <w:t>FLYWIRE CORPORATION</w:t>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423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By:</w:t>
            </w:r>
          </w:p>
        </w:tc>
        <w:tc>
          <w:tcPr>
            <w:tcW w:w="4231"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/s/ Michael Massaro</w:t>
            </w:r>
          </w:p>
          <w:p>
            <w:pPr>
              <w:pStyle w:val="TableContents"/>
              <w:pBdr>
                <w:top w:val="single" w:sz="8" w:space="1" w:color="000000"/>
              </w:pBdr>
              <w:spacing w:lineRule="atLeast" w:line="141" w:before="20" w:after="0"/>
              <w:ind w:left="0" w:right="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Michael Massaro</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Chief Executive Officer and Director</w:t>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4231" w:type="dxa"/>
            <w:tcBorders/>
            <w:shd w:fill="auto" w:val="clear"/>
            <w:vAlign w:val="center"/>
          </w:tcPr>
          <w:p>
            <w:pPr>
              <w:pStyle w:val="TableContents"/>
              <w:spacing w:lineRule="auto" w:line="252" w:before="0" w:after="0"/>
              <w:ind w:left="0" w:right="0" w:hanging="0"/>
              <w:jc w:val="center"/>
              <w:rPr/>
            </w:pPr>
            <w:r>
              <w:rPr/>
              <w:t> </w:t>
            </w:r>
            <w:r>
              <w:rPr>
                <w:rFonts w:ascii="Arial" w:hAnsi="Arial"/>
                <w:b/>
                <w:sz w:val="20"/>
              </w:rPr>
              <w:t>(Principal Executive Officer)</w:t>
            </w:r>
          </w:p>
        </w:tc>
      </w:tr>
      <w:tr>
        <w:trPr/>
        <w:tc>
          <w:tcPr>
            <w:tcW w:w="1831" w:type="dxa"/>
            <w:tcBorders/>
            <w:shd w:fill="auto" w:val="clear"/>
            <w:vAlign w:val="center"/>
          </w:tcPr>
          <w:p>
            <w:pPr>
              <w:pStyle w:val="TableContents"/>
              <w:spacing w:lineRule="auto" w:line="252" w:before="0" w:after="0"/>
              <w:ind w:left="0" w:right="0" w:hanging="0"/>
              <w:jc w:val="left"/>
              <w:rPr/>
            </w:pPr>
            <w:r>
              <w:rPr/>
              <w:t> </w:t>
            </w:r>
          </w:p>
        </w:tc>
        <w:tc>
          <w:tcPr>
            <w:tcW w:w="146" w:type="dxa"/>
            <w:tcBorders/>
            <w:shd w:fill="auto" w:val="clear"/>
            <w:vAlign w:val="center"/>
          </w:tcPr>
          <w:p>
            <w:pPr>
              <w:pStyle w:val="TableContents"/>
              <w:spacing w:lineRule="auto" w:line="252"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pPr>
            <w:r>
              <w:rPr/>
              <w:t> </w:t>
            </w:r>
          </w:p>
        </w:tc>
        <w:tc>
          <w:tcPr>
            <w:tcW w:w="4231" w:type="dxa"/>
            <w:tcBorders/>
            <w:shd w:fill="auto" w:val="clear"/>
            <w:vAlign w:val="center"/>
          </w:tcPr>
          <w:p>
            <w:pPr>
              <w:pStyle w:val="TableContents"/>
              <w:spacing w:lineRule="auto" w:line="252" w:before="0" w:after="0"/>
              <w:ind w:left="0" w:right="0" w:hanging="0"/>
              <w:jc w:val="left"/>
              <w:rPr/>
            </w:pPr>
            <w:r>
              <w:rPr/>
              <w:t> </w:t>
            </w:r>
          </w:p>
        </w:tc>
      </w:tr>
      <w:tr>
        <w:trPr/>
        <w:tc>
          <w:tcPr>
            <w:tcW w:w="18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By:</w:t>
            </w:r>
          </w:p>
        </w:tc>
        <w:tc>
          <w:tcPr>
            <w:tcW w:w="4231" w:type="dxa"/>
            <w:tcBorders/>
            <w:shd w:fill="auto" w:val="clear"/>
            <w:vAlign w:val="center"/>
          </w:tcPr>
          <w:p>
            <w:pPr>
              <w:pStyle w:val="TableContents"/>
              <w:spacing w:lineRule="auto" w:line="252" w:before="0" w:after="0"/>
              <w:ind w:left="0" w:right="0" w:hanging="0"/>
              <w:jc w:val="center"/>
              <w:rPr>
                <w:rFonts w:ascii="Arial" w:hAnsi="Arial"/>
                <w:b w:val="false"/>
                <w:sz w:val="20"/>
              </w:rPr>
            </w:pPr>
            <w:r>
              <w:rPr>
                <w:rFonts w:ascii="Arial" w:hAnsi="Arial"/>
                <w:b w:val="false"/>
                <w:sz w:val="20"/>
              </w:rPr>
              <w:t>/s/ Michael Ellis</w:t>
            </w:r>
          </w:p>
          <w:p>
            <w:pPr>
              <w:pStyle w:val="TableContents"/>
              <w:pBdr>
                <w:top w:val="single" w:sz="8" w:space="1" w:color="000000"/>
              </w:pBdr>
              <w:spacing w:lineRule="atLeast" w:line="141" w:before="20" w:after="0"/>
              <w:ind w:left="0" w:right="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Michael Ellis</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Chief Financial Officer</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0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(Principal Financial and Accounting Officer)</w:t>
            </w:r>
          </w:p>
        </w:tc>
      </w:tr>
    </w:tbl>
    <w:p>
      <w:pPr>
        <w:pStyle w:val="TextBody"/>
        <w:spacing w:lineRule="auto" w:line="273" w:before="0" w:after="0"/>
        <w:jc w:val="center"/>
        <w:rPr/>
      </w:pPr>
      <w:r>
        <w:rPr/>
        <w:t> </w:t>
      </w:r>
    </w:p>
    <w:p>
      <w:pPr>
        <w:pStyle w:val="TextBody"/>
        <w:spacing w:lineRule="auto" w:line="273" w:before="0" w:after="0"/>
        <w:jc w:val="center"/>
        <w:rPr>
          <w:rFonts w:ascii="Times New Roman" w:hAnsi="Times New Roman"/>
          <w:b w:val="false"/>
          <w:sz w:val="20"/>
        </w:rPr>
      </w:pPr>
      <w:r>
        <w:rPr>
          <w:rFonts w:ascii="Times New Roman" w:hAnsi="Times New Roman"/>
          <w:b w:val="false"/>
          <w:sz w:val="20"/>
        </w:rPr>
        <w:t>84</w:t>
      </w:r>
    </w:p>
    <w:p>
      <w:pPr>
        <w:pStyle w:val="HorizontalLine"/>
        <w:rPr/>
      </w:pPr>
      <w:r>
        <w:rPr/>
      </w:r>
      <w:r>
        <w:br w:type="page"/>
      </w:r>
    </w:p>
    <w:p>
      <w:pPr>
        <w:pStyle w:val="TextBody"/>
        <w:spacing w:lineRule="auto" w:line="273" w:before="0" w:after="0"/>
        <w:jc w:val="right"/>
        <w:rPr>
          <w:rFonts w:ascii="Arial" w:hAnsi="Arial"/>
          <w:b/>
          <w:sz w:val="20"/>
        </w:rPr>
      </w:pPr>
      <w:bookmarkStart w:id="27" w:name="flyw-ex31_1.htm"/>
      <w:bookmarkStart w:id="28" w:name="ksflywex31_1"/>
      <w:bookmarkEnd w:id="27"/>
      <w:bookmarkEnd w:id="28"/>
      <w:r>
        <w:rPr>
          <w:rFonts w:ascii="Arial" w:hAnsi="Arial"/>
          <w:b/>
          <w:sz w:val="20"/>
        </w:rPr>
        <w:t>Exhibit 31.1</w:t>
      </w:r>
    </w:p>
    <w:p>
      <w:pPr>
        <w:pStyle w:val="TextBody"/>
        <w:spacing w:lineRule="auto" w:line="273" w:before="480" w:after="0"/>
        <w:jc w:val="center"/>
        <w:rPr>
          <w:rFonts w:ascii="Times New Roman" w:hAnsi="Times New Roman"/>
          <w:sz w:val="20"/>
        </w:rPr>
      </w:pPr>
      <w:r>
        <w:rPr>
          <w:rFonts w:ascii="Arial" w:hAnsi="Arial"/>
          <w:b/>
          <w:sz w:val="20"/>
        </w:rPr>
        <w:t>CERTIFICATION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RULES 13a-14(a) AND 15d-14(a) UNDER THE SECURITIES EXCHANGE ACT OF 1934,</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AS ADOPTED PURSUANT TO SECTION 302 OF THE SARBANES-OXLEY ACT OF 2002</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I, Michael Massaro, certify that: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1. I have reviewed this quarterly report on Form 10-Q for the quarter ended March 31, 2022 of Flywire Corporation;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4. The registrant’s other certifying officer(s) and I are responsible for establishing and maintaining disclosure controls and procedures (as defined in Exchange Act Rules 13a-15(e) and 15d-15(e)) for the registrant and have: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(b) [omitted]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lineRule="auto" w:line="273" w:before="0" w:after="0"/>
        <w:jc w:val="left"/>
        <w:rPr/>
      </w:pPr>
      <w:r>
        <w:rPr/>
        <w:t> </w:t>
      </w:r>
    </w:p>
    <w:tbl>
      <w:tblPr>
        <w:tblW w:w="5989" w:type="dxa"/>
        <w:jc w:val="left"/>
        <w:tblInd w:w="0" w:type="dxa"/>
        <w:tblCellMar>
          <w:top w:w="28" w:type="dxa"/>
          <w:left w:w="28" w:type="dxa"/>
          <w:bottom w:w="28" w:type="dxa"/>
          <w:right w:w="28" w:type="dxa"/>
        </w:tblCellMar>
      </w:tblPr>
      <w:tblGrid>
        <w:gridCol w:w="1831"/>
        <w:gridCol w:w="146"/>
        <w:gridCol w:w="466"/>
        <w:gridCol w:w="3546"/>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546"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pPr>
            <w:r>
              <w:rPr/>
              <w:t> </w:t>
            </w:r>
            <w:r>
              <w:rPr>
                <w:rFonts w:ascii="Arial" w:hAnsi="Arial"/>
                <w:b w:val="false"/>
                <w:sz w:val="20"/>
              </w:rPr>
              <w:t>By:</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val="false"/>
                <w:sz w:val="20"/>
              </w:rPr>
            </w:pPr>
            <w:r>
              <w:rPr>
                <w:rFonts w:ascii="Arial" w:hAnsi="Arial"/>
                <w:b w:val="false"/>
                <w:sz w:val="20"/>
              </w:rPr>
              <w:t>/s/ Michael Massaro</w:t>
            </w:r>
          </w:p>
          <w:p>
            <w:pPr>
              <w:pStyle w:val="TableContents"/>
              <w:pBdr>
                <w:top w:val="single" w:sz="8" w:space="1" w:color="000000"/>
              </w:pBdr>
              <w:spacing w:lineRule="atLeast" w:line="141" w:before="20" w:after="0"/>
              <w:ind w:left="0" w:right="8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Michael Massaro</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Chief Executive Officer and Director</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(Principal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Arial" w:hAnsi="Arial"/>
          <w:b/>
          <w:sz w:val="20"/>
        </w:rPr>
      </w:pPr>
      <w:bookmarkStart w:id="29" w:name="flyw-ex31_2.htm"/>
      <w:bookmarkStart w:id="30" w:name="ksflywex31_2"/>
      <w:bookmarkEnd w:id="29"/>
      <w:bookmarkEnd w:id="30"/>
      <w:r>
        <w:rPr>
          <w:rFonts w:ascii="Arial" w:hAnsi="Arial"/>
          <w:b/>
          <w:sz w:val="20"/>
        </w:rPr>
        <w:t>Exhibit 31.2</w:t>
      </w:r>
    </w:p>
    <w:p>
      <w:pPr>
        <w:pStyle w:val="TextBody"/>
        <w:spacing w:lineRule="auto" w:line="273" w:before="480" w:after="0"/>
        <w:jc w:val="center"/>
        <w:rPr>
          <w:rFonts w:ascii="Times New Roman" w:hAnsi="Times New Roman"/>
          <w:sz w:val="20"/>
        </w:rPr>
      </w:pPr>
      <w:r>
        <w:rPr>
          <w:rFonts w:ascii="Arial" w:hAnsi="Arial"/>
          <w:b/>
          <w:sz w:val="20"/>
        </w:rPr>
        <w:t>CERTIFICATION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RULES 13a-14(a) AND 15d-14(a) UNDER THE SECURITIES EXCHANGE ACT OF 1934,</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AS ADOPTED PURSUANT TO SECTION 302 OF THE SARBANES-OXLEY ACT OF 2002</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I, Michael Ellis, certify that: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1. I have reviewed this quarterly report on Form 10-Q for the quarter ended March 31, 2022 of Flywire Corporation;</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4. The registrant’s other certifying officer(s) and I are responsible for establishing and maintaining disclosure controls and procedures (as defined in Exchange Act Rules 13a-15(e) and 15d-15(e)) for the registrant and have:</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(b) [omitted]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(b) Any fraud, whether or not material, that involves management or other employees who have a significant role in the registrant’s internal control over financial reporting.</w:t>
      </w:r>
      <w:r>
        <w:rPr>
          <w:rFonts w:ascii="Times New Roman" w:hAnsi="Times New Roman"/>
          <w:sz w:val="20"/>
        </w:rPr>
        <w:t xml:space="preserve"> </w:t>
      </w:r>
    </w:p>
    <w:p>
      <w:pPr>
        <w:pStyle w:val="TextBody"/>
        <w:spacing w:lineRule="auto" w:line="273" w:before="0" w:after="0"/>
        <w:jc w:val="left"/>
        <w:rPr/>
      </w:pPr>
      <w:r>
        <w:rPr/>
        <w:t> </w:t>
      </w:r>
    </w:p>
    <w:tbl>
      <w:tblPr>
        <w:tblW w:w="6674" w:type="dxa"/>
        <w:jc w:val="left"/>
        <w:tblInd w:w="0" w:type="dxa"/>
        <w:tblCellMar>
          <w:top w:w="28" w:type="dxa"/>
          <w:left w:w="28" w:type="dxa"/>
          <w:bottom w:w="28" w:type="dxa"/>
          <w:right w:w="28" w:type="dxa"/>
        </w:tblCellMar>
      </w:tblPr>
      <w:tblGrid>
        <w:gridCol w:w="1831"/>
        <w:gridCol w:w="146"/>
        <w:gridCol w:w="466"/>
        <w:gridCol w:w="4231"/>
      </w:tblGrid>
      <w:tr>
        <w:trPr/>
        <w:tc>
          <w:tcPr>
            <w:tcW w:w="18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13, 2022</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pPr>
            <w:r>
              <w:rPr/>
              <w:t> </w:t>
            </w:r>
            <w:r>
              <w:rPr>
                <w:rFonts w:ascii="Arial" w:hAnsi="Arial"/>
                <w:b w:val="false"/>
                <w:sz w:val="20"/>
              </w:rPr>
              <w:t>By:</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val="false"/>
                <w:sz w:val="20"/>
              </w:rPr>
            </w:pPr>
            <w:r>
              <w:rPr>
                <w:rFonts w:ascii="Arial" w:hAnsi="Arial"/>
                <w:b w:val="false"/>
                <w:sz w:val="20"/>
              </w:rPr>
              <w:t>/s/ Michael Ellis</w:t>
            </w:r>
          </w:p>
          <w:p>
            <w:pPr>
              <w:pStyle w:val="TableContents"/>
              <w:pBdr>
                <w:top w:val="single" w:sz="8" w:space="1" w:color="000000"/>
              </w:pBdr>
              <w:spacing w:lineRule="atLeast" w:line="141" w:before="20" w:after="0"/>
              <w:ind w:left="0" w:right="8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Michael Ellis</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Chief Financial Officer</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(Principal Financial and Accounting Officer)</w:t>
            </w:r>
          </w:p>
        </w:tc>
      </w:tr>
    </w:tbl>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sz w:val="20"/>
        </w:rPr>
      </w:pPr>
      <w:bookmarkStart w:id="31" w:name="flyw-ex32_1.htm"/>
      <w:bookmarkStart w:id="32" w:name="ksflywex32_1"/>
      <w:bookmarkEnd w:id="31"/>
      <w:bookmarkEnd w:id="32"/>
      <w:r>
        <w:rPr>
          <w:rFonts w:ascii="Arial" w:hAnsi="Arial"/>
          <w:b/>
          <w:sz w:val="20"/>
        </w:rPr>
        <w:t>Exhibit 32.1</w:t>
      </w:r>
      <w:r>
        <w:rPr>
          <w:rFonts w:ascii="Times New Roman" w:hAnsi="Times New Roman"/>
          <w:sz w:val="20"/>
        </w:rPr>
        <w:t xml:space="preserve"> </w:t>
      </w:r>
    </w:p>
    <w:p>
      <w:pPr>
        <w:pStyle w:val="TextBody"/>
        <w:spacing w:lineRule="auto" w:line="273" w:before="480" w:after="0"/>
        <w:jc w:val="center"/>
        <w:rPr>
          <w:rFonts w:ascii="Times New Roman" w:hAnsi="Times New Roman"/>
          <w:sz w:val="20"/>
        </w:rPr>
      </w:pPr>
      <w:r>
        <w:rPr>
          <w:rFonts w:ascii="Arial" w:hAnsi="Arial"/>
          <w:b/>
          <w:sz w:val="20"/>
        </w:rPr>
        <w:t>CERTIFICATION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18 U.S.C. SECTION 1350, AS ADOPTED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SECTION 906 OF THE SARBANES-OXLEY ACT OF 2002</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In connection with the Quarterly Report of Flywire Corporation (the “Company”) on Form 10-Q for the quarter ended March 31, 2022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(2) The information contained in the Report fairly presents, in all material respects, the financial condition and result of operations of the Company.</w:t>
      </w:r>
      <w:r>
        <w:rPr>
          <w:rFonts w:ascii="Times New Roman" w:hAnsi="Times New Roman"/>
          <w:sz w:val="20"/>
        </w:rPr>
        <w:t xml:space="preserve"> </w:t>
      </w:r>
    </w:p>
    <w:p>
      <w:pPr>
        <w:pStyle w:val="TextBody"/>
        <w:spacing w:lineRule="auto" w:line="273" w:before="0" w:after="0"/>
        <w:jc w:val="left"/>
        <w:rPr/>
      </w:pPr>
      <w:r>
        <w:rPr/>
        <w:t> </w:t>
      </w:r>
    </w:p>
    <w:tbl>
      <w:tblPr>
        <w:tblW w:w="5843" w:type="dxa"/>
        <w:jc w:val="left"/>
        <w:tblInd w:w="0" w:type="dxa"/>
        <w:tblCellMar>
          <w:top w:w="28" w:type="dxa"/>
          <w:left w:w="28" w:type="dxa"/>
          <w:bottom w:w="28" w:type="dxa"/>
          <w:right w:w="28" w:type="dxa"/>
        </w:tblCellMar>
      </w:tblPr>
      <w:tblGrid>
        <w:gridCol w:w="1831"/>
        <w:gridCol w:w="466"/>
        <w:gridCol w:w="3546"/>
      </w:tblGrid>
      <w:tr>
        <w:trPr/>
        <w:tc>
          <w:tcPr>
            <w:tcW w:w="183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3546"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13, 2022</w:t>
            </w:r>
          </w:p>
        </w:tc>
        <w:tc>
          <w:tcPr>
            <w:tcW w:w="466"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pPr>
            <w:r>
              <w:rPr/>
              <w:t> </w:t>
            </w:r>
            <w:r>
              <w:rPr>
                <w:rFonts w:ascii="Arial" w:hAnsi="Arial"/>
                <w:b w:val="false"/>
                <w:sz w:val="20"/>
              </w:rPr>
              <w:t>By:</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val="false"/>
                <w:sz w:val="20"/>
              </w:rPr>
            </w:pPr>
            <w:r>
              <w:rPr>
                <w:rFonts w:ascii="Arial" w:hAnsi="Arial"/>
                <w:b w:val="false"/>
                <w:sz w:val="20"/>
              </w:rPr>
              <w:t>/s/ Michael Massaro</w:t>
            </w:r>
          </w:p>
          <w:p>
            <w:pPr>
              <w:pStyle w:val="TableContents"/>
              <w:pBdr>
                <w:top w:val="single" w:sz="8" w:space="1" w:color="000000"/>
              </w:pBdr>
              <w:spacing w:lineRule="atLeast" w:line="141" w:before="20" w:after="0"/>
              <w:ind w:left="0" w:right="8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Michael Massaro</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Chief Executive Officer and Director</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3546"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(Principal Executive Officer)</w:t>
            </w:r>
          </w:p>
        </w:tc>
      </w:tr>
    </w:tbl>
    <w:p>
      <w:pPr>
        <w:pStyle w:val="TextBody"/>
        <w:spacing w:lineRule="auto" w:line="273" w:before="0" w:after="0"/>
        <w:jc w:val="left"/>
        <w:rPr/>
      </w:pPr>
      <w:r>
        <w:rPr/>
        <w:t> </w:t>
      </w:r>
    </w:p>
    <w:p>
      <w:pPr>
        <w:pStyle w:val="HorizontalLine"/>
        <w:rPr/>
      </w:pPr>
      <w:r>
        <w:rPr/>
      </w:r>
      <w:r>
        <w:br w:type="page"/>
      </w:r>
    </w:p>
    <w:p>
      <w:pPr>
        <w:pStyle w:val="TextBody"/>
        <w:spacing w:lineRule="auto" w:line="273" w:before="0" w:after="0"/>
        <w:jc w:val="right"/>
        <w:rPr>
          <w:rFonts w:ascii="Times New Roman" w:hAnsi="Times New Roman"/>
          <w:sz w:val="20"/>
        </w:rPr>
      </w:pPr>
      <w:bookmarkStart w:id="33" w:name="flyw-ex32_2.htm"/>
      <w:bookmarkStart w:id="34" w:name="ksflywex32_2"/>
      <w:bookmarkEnd w:id="33"/>
      <w:bookmarkEnd w:id="34"/>
      <w:r>
        <w:rPr>
          <w:rFonts w:ascii="Arial" w:hAnsi="Arial"/>
          <w:b/>
          <w:sz w:val="20"/>
        </w:rPr>
        <w:t>Exhibit 32.2</w:t>
      </w:r>
      <w:r>
        <w:rPr>
          <w:rFonts w:ascii="Times New Roman" w:hAnsi="Times New Roman"/>
          <w:sz w:val="20"/>
        </w:rPr>
        <w:t xml:space="preserve"> </w:t>
      </w:r>
    </w:p>
    <w:p>
      <w:pPr>
        <w:pStyle w:val="TextBody"/>
        <w:spacing w:lineRule="auto" w:line="273" w:before="480" w:after="0"/>
        <w:jc w:val="center"/>
        <w:rPr>
          <w:rFonts w:ascii="Times New Roman" w:hAnsi="Times New Roman"/>
          <w:sz w:val="20"/>
        </w:rPr>
      </w:pPr>
      <w:r>
        <w:rPr>
          <w:rFonts w:ascii="Arial" w:hAnsi="Arial"/>
          <w:b/>
          <w:sz w:val="20"/>
        </w:rPr>
        <w:t>CERTIFICATION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18 U.S.C. SECTION 1350, AS ADOPTED PURSUANT TO</w:t>
      </w:r>
      <w:r>
        <w:rPr>
          <w:rFonts w:ascii="Times New Roman" w:hAnsi="Times New Roman"/>
          <w:sz w:val="20"/>
        </w:rPr>
        <w:t xml:space="preserve"> </w:t>
      </w:r>
    </w:p>
    <w:p>
      <w:pPr>
        <w:pStyle w:val="TextBody"/>
        <w:spacing w:lineRule="auto" w:line="273" w:before="0" w:after="0"/>
        <w:jc w:val="center"/>
        <w:rPr>
          <w:rFonts w:ascii="Times New Roman" w:hAnsi="Times New Roman"/>
          <w:sz w:val="20"/>
        </w:rPr>
      </w:pPr>
      <w:r>
        <w:rPr>
          <w:rFonts w:ascii="Arial" w:hAnsi="Arial"/>
          <w:b/>
          <w:sz w:val="20"/>
        </w:rPr>
        <w:t>SECTION 906 OF THE SARBANES-OXLEY ACT OF 2002</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In connection with the Quarterly Report of Flywire Corporation (the “Company”) on Form 10-Q for the quarter ended March 31, 2022 as filed with the Securities and Exchange Commission on the date hereof (the “Report”), I certify, pursuant to 18 U.S.C. § 1350, as adopted pursuant to § 906 of the Sarbanes-Oxley Act of 2002, that:</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(1) The Report fully complies with the requirements of section 13(a) or 15(d) of the Securities Exchange Act of 1934; and</w:t>
      </w:r>
      <w:r>
        <w:rPr>
          <w:rFonts w:ascii="Times New Roman" w:hAnsi="Times New Roman"/>
          <w:sz w:val="20"/>
        </w:rPr>
        <w:t xml:space="preserve"> </w:t>
      </w:r>
    </w:p>
    <w:p>
      <w:pPr>
        <w:pStyle w:val="TextBody"/>
        <w:spacing w:lineRule="auto" w:line="273" w:before="120" w:after="0"/>
        <w:jc w:val="left"/>
        <w:rPr>
          <w:rFonts w:ascii="Times New Roman" w:hAnsi="Times New Roman"/>
          <w:sz w:val="20"/>
        </w:rPr>
      </w:pPr>
      <w:r>
        <w:rPr>
          <w:rFonts w:ascii="Arial" w:hAnsi="Arial"/>
          <w:b w:val="false"/>
          <w:sz w:val="20"/>
        </w:rPr>
        <w:t>(2) The information contained in the Report fairly presents, in all material respects, the financial condition and result of operations of the Company.</w:t>
      </w:r>
      <w:r>
        <w:rPr>
          <w:rFonts w:ascii="Times New Roman" w:hAnsi="Times New Roman"/>
          <w:sz w:val="20"/>
        </w:rPr>
        <w:t xml:space="preserve"> </w:t>
      </w:r>
    </w:p>
    <w:p>
      <w:pPr>
        <w:pStyle w:val="TextBody"/>
        <w:spacing w:lineRule="auto" w:line="273" w:before="0" w:after="0"/>
        <w:jc w:val="left"/>
        <w:rPr/>
      </w:pPr>
      <w:r>
        <w:rPr/>
        <w:t> </w:t>
      </w:r>
    </w:p>
    <w:tbl>
      <w:tblPr>
        <w:tblW w:w="6528" w:type="dxa"/>
        <w:jc w:val="left"/>
        <w:tblInd w:w="0" w:type="dxa"/>
        <w:tblCellMar>
          <w:top w:w="28" w:type="dxa"/>
          <w:left w:w="28" w:type="dxa"/>
          <w:bottom w:w="28" w:type="dxa"/>
          <w:right w:w="28" w:type="dxa"/>
        </w:tblCellMar>
      </w:tblPr>
      <w:tblGrid>
        <w:gridCol w:w="1831"/>
        <w:gridCol w:w="466"/>
        <w:gridCol w:w="4231"/>
      </w:tblGrid>
      <w:tr>
        <w:trPr/>
        <w:tc>
          <w:tcPr>
            <w:tcW w:w="183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231" w:type="dxa"/>
            <w:tcBorders/>
            <w:shd w:fill="auto" w:val="clear"/>
            <w:vAlign w:val="center"/>
          </w:tcPr>
          <w:p>
            <w:pPr>
              <w:pStyle w:val="TableContents"/>
              <w:spacing w:before="0" w:after="283"/>
              <w:rPr>
                <w:sz w:val="4"/>
                <w:szCs w:val="4"/>
              </w:rPr>
            </w:pPr>
            <w:r>
              <w:rPr>
                <w:sz w:val="4"/>
                <w:szCs w:val="4"/>
              </w:rPr>
            </w:r>
          </w:p>
        </w:tc>
      </w:tr>
      <w:tr>
        <w:trPr/>
        <w:tc>
          <w:tcPr>
            <w:tcW w:w="1831" w:type="dxa"/>
            <w:tcBorders/>
            <w:shd w:fill="auto" w:val="clear"/>
            <w:vAlign w:val="center"/>
          </w:tcPr>
          <w:p>
            <w:pPr>
              <w:pStyle w:val="TableContents"/>
              <w:spacing w:lineRule="auto" w:line="252" w:before="0" w:after="0"/>
              <w:ind w:left="0" w:right="0" w:hanging="0"/>
              <w:jc w:val="left"/>
              <w:rPr>
                <w:rFonts w:ascii="Arial" w:hAnsi="Arial"/>
                <w:b w:val="false"/>
                <w:sz w:val="20"/>
              </w:rPr>
            </w:pPr>
            <w:r>
              <w:rPr>
                <w:rFonts w:ascii="Arial" w:hAnsi="Arial"/>
                <w:b w:val="false"/>
                <w:sz w:val="20"/>
              </w:rPr>
              <w:t>Date: May 13, 2022</w:t>
            </w:r>
          </w:p>
        </w:tc>
        <w:tc>
          <w:tcPr>
            <w:tcW w:w="466" w:type="dxa"/>
            <w:tcBorders/>
            <w:shd w:fill="auto" w:val="clear"/>
            <w:tcMar>
              <w:top w:w="0" w:type="dxa"/>
              <w:left w:w="0" w:type="dxa"/>
              <w:bottom w:w="0" w:type="dxa"/>
              <w:right w:w="0" w:type="dxa"/>
            </w:tcMar>
            <w:vAlign w:val="center"/>
          </w:tcPr>
          <w:p>
            <w:pPr>
              <w:pStyle w:val="TableContents"/>
              <w:spacing w:lineRule="auto" w:line="252" w:before="0" w:after="20"/>
              <w:ind w:left="0" w:right="0" w:hanging="0"/>
              <w:jc w:val="right"/>
              <w:rPr/>
            </w:pPr>
            <w:r>
              <w:rPr/>
              <w:t> </w:t>
            </w:r>
            <w:r>
              <w:rPr>
                <w:rFonts w:ascii="Arial" w:hAnsi="Arial"/>
                <w:b w:val="false"/>
                <w:sz w:val="20"/>
              </w:rPr>
              <w:t>By:</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val="false"/>
                <w:sz w:val="20"/>
              </w:rPr>
            </w:pPr>
            <w:r>
              <w:rPr>
                <w:rFonts w:ascii="Arial" w:hAnsi="Arial"/>
                <w:b w:val="false"/>
                <w:sz w:val="20"/>
              </w:rPr>
              <w:t>/s/ Michael Ellis</w:t>
            </w:r>
          </w:p>
          <w:p>
            <w:pPr>
              <w:pStyle w:val="TableContents"/>
              <w:pBdr>
                <w:top w:val="single" w:sz="8" w:space="1" w:color="000000"/>
              </w:pBdr>
              <w:spacing w:lineRule="atLeast" w:line="141" w:before="20" w:after="0"/>
              <w:ind w:left="0" w:right="80" w:hanging="0"/>
              <w:jc w:val="left"/>
              <w:rPr/>
            </w:pPr>
            <w:r>
              <w:rPr/>
              <w:t> </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Michael Ellis</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80" w:hanging="0"/>
              <w:jc w:val="center"/>
              <w:rPr>
                <w:rFonts w:ascii="Arial" w:hAnsi="Arial"/>
                <w:b/>
                <w:sz w:val="20"/>
              </w:rPr>
            </w:pPr>
            <w:r>
              <w:rPr>
                <w:rFonts w:ascii="Arial" w:hAnsi="Arial"/>
                <w:b/>
                <w:sz w:val="20"/>
              </w:rPr>
              <w:t>Chief Financial Officer</w:t>
            </w:r>
          </w:p>
        </w:tc>
      </w:tr>
      <w:tr>
        <w:trPr/>
        <w:tc>
          <w:tcPr>
            <w:tcW w:w="1831" w:type="dxa"/>
            <w:tcBorders/>
            <w:shd w:fill="auto" w:val="clear"/>
            <w:tcMar>
              <w:top w:w="0" w:type="dxa"/>
              <w:left w:w="0" w:type="dxa"/>
              <w:bottom w:w="0" w:type="dxa"/>
              <w:right w:w="0" w:type="dxa"/>
            </w:tcMar>
            <w:vAlign w:val="center"/>
          </w:tcPr>
          <w:p>
            <w:pPr>
              <w:pStyle w:val="TableContents"/>
              <w:spacing w:lineRule="atLeast" w:line="141" w:before="0" w:after="0"/>
              <w:ind w:left="0" w:right="0" w:hanging="0"/>
              <w:jc w:val="left"/>
              <w:rPr/>
            </w:pPr>
            <w:r>
              <w:rPr/>
              <w:t> </w:t>
            </w:r>
          </w:p>
        </w:tc>
        <w:tc>
          <w:tcPr>
            <w:tcW w:w="466" w:type="dxa"/>
            <w:tcBorders/>
            <w:shd w:fill="auto" w:val="clear"/>
            <w:tcMar>
              <w:top w:w="0" w:type="dxa"/>
              <w:left w:w="0" w:type="dxa"/>
              <w:bottom w:w="0" w:type="dxa"/>
              <w:right w:w="0" w:type="dxa"/>
            </w:tcMar>
            <w:vAlign w:val="center"/>
          </w:tcPr>
          <w:p>
            <w:pPr>
              <w:pStyle w:val="TableContents"/>
              <w:spacing w:lineRule="atLeast" w:line="141" w:before="0" w:after="0"/>
              <w:ind w:left="0" w:right="80" w:hanging="0"/>
              <w:jc w:val="left"/>
              <w:rPr/>
            </w:pPr>
            <w:r>
              <w:rPr/>
              <w:t> </w:t>
            </w:r>
          </w:p>
        </w:tc>
        <w:tc>
          <w:tcPr>
            <w:tcW w:w="4231" w:type="dxa"/>
            <w:tcBorders/>
            <w:shd w:fill="auto" w:val="clear"/>
            <w:tcMar>
              <w:top w:w="0" w:type="dxa"/>
              <w:left w:w="0" w:type="dxa"/>
              <w:bottom w:w="0" w:type="dxa"/>
              <w:right w:w="0" w:type="dxa"/>
            </w:tcMar>
            <w:vAlign w:val="center"/>
          </w:tcPr>
          <w:p>
            <w:pPr>
              <w:pStyle w:val="TableContents"/>
              <w:spacing w:lineRule="auto" w:line="252" w:before="0" w:after="0"/>
              <w:ind w:left="0" w:right="0" w:hanging="0"/>
              <w:jc w:val="center"/>
              <w:rPr>
                <w:rFonts w:ascii="Arial" w:hAnsi="Arial"/>
                <w:b/>
                <w:sz w:val="20"/>
              </w:rPr>
            </w:pPr>
            <w:r>
              <w:rPr>
                <w:rFonts w:ascii="Arial" w:hAnsi="Arial"/>
                <w:b/>
                <w:sz w:val="20"/>
              </w:rPr>
              <w:t>(Principal Financial and Accounting Officer)</w:t>
            </w:r>
          </w:p>
        </w:tc>
      </w:tr>
    </w:tbl>
    <w:p>
      <w:pPr>
        <w:pStyle w:val="TextBody"/>
        <w:spacing w:lineRule="auto" w:line="273"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580560/000119312521178711/d109060dex31.htm" TargetMode="External"/><Relationship Id="rId4" Type="http://schemas.openxmlformats.org/officeDocument/2006/relationships/hyperlink" Target="https://www.sec.gov/Archives/edgar/data/1580560/000119312521178711/d109060dex3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59461</Words>
  <CharactersWithSpaces>386734</CharactersWithSpaces>
  <Paragraphs>6181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