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5267325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22225</wp:posOffset>
            </wp:positionV>
            <wp:extent cx="6994525" cy="6522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5220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2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Natauri Jo</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right="860"/>
        <w:spacing w:after="0" w:line="340" w:lineRule="auto"/>
        <w:rPr>
          <w:sz w:val="20"/>
          <w:szCs w:val="20"/>
          <w:color w:val="auto"/>
        </w:rPr>
      </w:pPr>
      <w:r>
        <w:rPr>
          <w:rFonts w:ascii="Times New Roman" w:cs="Times New Roman" w:eastAsia="Times New Roman" w:hAnsi="Times New Roman"/>
          <w:sz w:val="17"/>
          <w:szCs w:val="17"/>
          <w:color w:val="0000FF"/>
        </w:rPr>
        <w:t>C/O GOLDMAN SACHS GROUP INC., 200 WEST STREET</w:t>
      </w:r>
    </w:p>
    <w:p>
      <w:pPr>
        <w:spacing w:after="0" w:line="1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08/19/2022</w:t>
            </w:r>
          </w:p>
        </w:tc>
        <w:tc>
          <w:tcPr>
            <w:tcW w:w="2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980" w:type="dxa"/>
            <w:vAlign w:val="bottom"/>
            <w:tcBorders>
              <w:bottom w:val="single" w:sz="8" w:color="2C2C2C"/>
            </w:tcBorders>
          </w:tcPr>
          <w:p>
            <w:pPr>
              <w:spacing w:after="0"/>
              <w:rPr>
                <w:sz w:val="22"/>
                <w:szCs w:val="22"/>
                <w:color w:val="auto"/>
              </w:rPr>
            </w:pPr>
          </w:p>
        </w:tc>
        <w:tc>
          <w:tcPr>
            <w:tcW w:w="266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38"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80" w:type="dxa"/>
            <w:vAlign w:val="bottom"/>
            <w:gridSpan w:val="4"/>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08/19/2022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56,248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347,287</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08/19/2022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56,248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26.01</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291,039</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08/22/2022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65,696</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525,210</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3"/>
              </w:rPr>
              <w:t>footnote</w:t>
            </w:r>
            <w:r>
              <w:rPr>
                <w:rFonts w:ascii="Times New Roman" w:cs="Times New Roman" w:eastAsia="Times New Roman" w:hAnsi="Times New Roman"/>
                <w:sz w:val="21"/>
                <w:szCs w:val="21"/>
                <w:color w:val="008000"/>
                <w:w w:val="93"/>
                <w:vertAlign w:val="superscript"/>
              </w:rPr>
              <w:t>(3)(4)</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r>
              <w:rPr>
                <w:rFonts w:ascii="Times New Roman" w:cs="Times New Roman" w:eastAsia="Times New Roman" w:hAnsi="Times New Roman"/>
                <w:sz w:val="21"/>
                <w:szCs w:val="21"/>
                <w:color w:val="008000"/>
                <w:vertAlign w:val="superscript"/>
              </w:rPr>
              <w:t>(1)</w:t>
            </w:r>
          </w:p>
        </w:tc>
        <w:tc>
          <w:tcPr>
            <w:tcW w:w="1700" w:type="dxa"/>
            <w:vAlign w:val="bottom"/>
            <w:gridSpan w:val="2"/>
            <w:vMerge w:val="restart"/>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08/22/2022</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65,696</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25.1</w:t>
            </w:r>
          </w:p>
        </w:tc>
        <w:tc>
          <w:tcPr>
            <w:tcW w:w="1220" w:type="dxa"/>
            <w:vAlign w:val="bottom"/>
            <w:gridSpan w:val="3"/>
            <w:vMerge w:val="restart"/>
          </w:tcPr>
          <w:p>
            <w:pPr>
              <w:jc w:val="right"/>
              <w:ind w:right="261"/>
              <w:spacing w:after="0"/>
              <w:rPr>
                <w:sz w:val="20"/>
                <w:szCs w:val="20"/>
                <w:color w:val="auto"/>
              </w:rPr>
            </w:pPr>
            <w:r>
              <w:rPr>
                <w:rFonts w:ascii="Times New Roman" w:cs="Times New Roman" w:eastAsia="Times New Roman" w:hAnsi="Times New Roman"/>
                <w:sz w:val="17"/>
                <w:szCs w:val="17"/>
                <w:color w:val="0000FF"/>
              </w:rPr>
              <w:t>459,514</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8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(3)(4)</w:t>
            </w: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20" w:type="dxa"/>
            <w:vAlign w:val="bottom"/>
            <w:gridSpan w:val="10"/>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8"/>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82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8"/>
              </w:rPr>
              <w:t>Expiration</w:t>
            </w:r>
          </w:p>
        </w:tc>
        <w:tc>
          <w:tcPr>
            <w:tcW w:w="66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56,248</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08/19/2022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56,248</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3,859,805</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54"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w w:val="94"/>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65,696</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08/22/2022</w:t>
            </w:r>
          </w:p>
        </w:tc>
        <w:tc>
          <w:tcPr>
            <w:tcW w:w="1120" w:type="dxa"/>
            <w:vAlign w:val="bottom"/>
          </w:tcPr>
          <w:p>
            <w:pPr>
              <w:spacing w:after="0"/>
              <w:rPr>
                <w:sz w:val="5"/>
                <w:szCs w:val="5"/>
                <w:color w:val="auto"/>
              </w:rPr>
            </w:pPr>
          </w:p>
        </w:tc>
        <w:tc>
          <w:tcPr>
            <w:tcW w:w="58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5"/>
                <w:szCs w:val="5"/>
                <w:color w:val="auto"/>
              </w:rPr>
            </w:pPr>
          </w:p>
        </w:tc>
        <w:tc>
          <w:tcPr>
            <w:tcW w:w="86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65,696</w:t>
            </w: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3,794,109</w:t>
            </w:r>
          </w:p>
        </w:tc>
        <w:tc>
          <w:tcPr>
            <w:tcW w:w="50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60" w:type="dxa"/>
            <w:vAlign w:val="bottom"/>
          </w:tcPr>
          <w:p>
            <w:pPr>
              <w:spacing w:after="0"/>
              <w:rPr>
                <w:sz w:val="5"/>
                <w:szCs w:val="5"/>
                <w:color w:val="auto"/>
              </w:rPr>
            </w:pP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60"/>
              <w:spacing w:after="0" w:line="154"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(3)(4)</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-2527935</wp:posOffset>
            </wp:positionV>
            <wp:extent cx="29210" cy="2533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330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30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director of Goldman Sachs &amp; Co., LLC ("Goldman Sachs"). The Reporting Person disclaims beneficial ownership of the securities reported herein except to the extent of the Reporting Person's pecuniary interest therein, if any, and this report shall not be deemed an admission that the Reporting Person is the beneficial owner of, or has any pecuniary interest in, such securities for purposes of Section 16 of the Securities Exchange Act of 1934, as amended, or for any other purpose.</w:t>
      </w:r>
    </w:p>
    <w:p>
      <w:pPr>
        <w:spacing w:after="0" w:line="27"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19, 2022, the reporting person consummated the sale of all 56,248 shares of Non-Voting Common Stock, resulting in the automatic conversion of such shares into Voting Common Stock upon the execution of the sale of such shares as reported in Table I.</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6"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The Goldman Sachs Group, Inc. ("GS Group") may be deemed to beneficially own indirectly these shares by reason of the direct or indirect beneficial ownership of such shares by Goldman Sachs PSI Global Holdings, LLC ("GSPSI"), StoneBridge 2020, L.P. ("SB Fund"), StoneBridge 2020 Offshore Holdings II, L.P. ("SB Fund Offshore" and, together with SB Fund, the "SB Funds") and Bridge Street Opportunity Advisors, L.L.C.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jc w:val="both"/>
        <w:ind w:left="40" w:right="44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and GS Group may be deemed to beneficially own indirectly these shares by reason of the direct or indirect beneficial ownership of such shares by GSPSI, the SB Funds and Bridge Street. Goldman Sachs is a subsidiary of GS Group. Goldman Sachs is the investment manager of the SB Funds, and Bridge Street is the general partner of the SB Funds. Each of Bridge Street and GSPSI is wholly owned by GS Group.</w:t>
      </w:r>
    </w:p>
    <w:p>
      <w:pPr>
        <w:spacing w:after="0" w:line="27" w:lineRule="exact"/>
        <w:rPr>
          <w:rFonts w:ascii="Times New Roman" w:cs="Times New Roman" w:eastAsia="Times New Roman" w:hAnsi="Times New Roman"/>
          <w:sz w:val="13"/>
          <w:szCs w:val="13"/>
          <w:color w:val="008000"/>
        </w:rPr>
      </w:pPr>
    </w:p>
    <w:p>
      <w:pPr>
        <w:ind w:left="40" w:right="18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22, 2022, the reporting person consummated the sale of all 65,696 shares of Non-Voting Common Stock, resulting in the automatic conversion of such shares into Voting Common Stock upon the execution of the sale of such shares as reported in Table I.</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4"/>
          <w:szCs w:val="24"/>
          <w:color w:val="auto"/>
        </w:rPr>
      </w:pPr>
    </w:p>
    <w:tbl>
      <w:tblPr>
        <w:tblLayout w:type="fixed"/>
        <w:tblInd w:w="4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Crystal Orgill,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08/23/2022</w:t>
            </w: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56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8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12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2022-08-23T17:30:33Z</dcterms:created>
  <dcterms:modified xsi:type="dcterms:W3CDTF">2022-08-23T17:30:33Z</dcterms:modified>
</cp:coreProperties>
</file>