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136525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3" w:lineRule="exact"/>
        <w:rPr>
          <w:sz w:val="24"/>
          <w:szCs w:val="24"/>
          <w:color w:val="auto"/>
        </w:rPr>
      </w:pPr>
    </w:p>
    <w:p>
      <w:pPr>
        <w:ind w:left="380" w:hanging="359"/>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4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63" w:lineRule="exact"/>
        <w:rPr>
          <w:sz w:val="24"/>
          <w:szCs w:val="24"/>
          <w:color w:val="auto"/>
        </w:rPr>
      </w:pPr>
    </w:p>
    <w:p>
      <w:pPr>
        <w:ind w:left="380" w:hanging="359"/>
        <w:spacing w:after="0"/>
        <w:tabs>
          <w:tab w:leader="none" w:pos="3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8" w:lineRule="exact"/>
        <w:rPr>
          <w:sz w:val="24"/>
          <w:szCs w:val="24"/>
          <w:color w:val="auto"/>
        </w:rPr>
      </w:pPr>
    </w:p>
    <w:tbl>
      <w:tblPr>
        <w:tblLayout w:type="fixed"/>
        <w:tblInd w:w="392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900" w:type="dxa"/>
            <w:vAlign w:val="bottom"/>
            <w:tcBorders>
              <w:bottom w:val="single" w:sz="8" w:color="auto"/>
            </w:tcBorders>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w w:val="92"/>
              </w:rPr>
              <w:t>to</w:t>
            </w:r>
          </w:p>
        </w:tc>
      </w:tr>
      <w:tr>
        <w:trPr>
          <w:trHeight w:val="243"/>
        </w:trPr>
        <w:tc>
          <w:tcPr>
            <w:tcW w:w="3220" w:type="dxa"/>
            <w:vAlign w:val="bottom"/>
            <w:gridSpan w:val="2"/>
          </w:tcPr>
          <w:p>
            <w:pPr>
              <w:ind w:left="260"/>
              <w:spacing w:after="0"/>
              <w:rPr>
                <w:sz w:val="20"/>
                <w:szCs w:val="20"/>
                <w:color w:val="auto"/>
              </w:rPr>
            </w:pPr>
            <w:r>
              <w:rPr>
                <w:rFonts w:ascii="Arial" w:cs="Arial" w:eastAsia="Arial" w:hAnsi="Arial"/>
                <w:sz w:val="16"/>
                <w:szCs w:val="16"/>
                <w:b w:val="1"/>
                <w:bCs w:val="1"/>
                <w:color w:val="auto"/>
              </w:rPr>
              <w:t>Commission File Number: 001-40430</w:t>
            </w:r>
          </w:p>
        </w:tc>
        <w:tc>
          <w:tcPr>
            <w:tcW w:w="20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120"/>
        <w:spacing w:after="0"/>
        <w:rPr>
          <w:sz w:val="20"/>
          <w:szCs w:val="20"/>
          <w:color w:val="auto"/>
        </w:rPr>
      </w:pPr>
      <w:r>
        <w:rPr>
          <w:rFonts w:ascii="Arial" w:cs="Arial" w:eastAsia="Arial" w:hAnsi="Arial"/>
          <w:sz w:val="41"/>
          <w:szCs w:val="41"/>
          <w:b w:val="1"/>
          <w:bCs w:val="1"/>
          <w:color w:val="auto"/>
        </w:rPr>
        <w:t>FLYWIRE CORPORATION</w:t>
      </w:r>
    </w:p>
    <w:p>
      <w:pPr>
        <w:spacing w:after="0" w:line="5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Delaware</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jc w:val="right"/>
              <w:ind w:right="2284"/>
              <w:spacing w:after="0"/>
              <w:rPr>
                <w:sz w:val="20"/>
                <w:szCs w:val="20"/>
                <w:color w:val="auto"/>
              </w:rPr>
            </w:pPr>
            <w:r>
              <w:rPr>
                <w:rFonts w:ascii="Arial" w:cs="Arial" w:eastAsia="Arial" w:hAnsi="Arial"/>
                <w:sz w:val="16"/>
                <w:szCs w:val="16"/>
                <w:b w:val="1"/>
                <w:bCs w:val="1"/>
                <w:color w:val="auto"/>
              </w:rPr>
              <w:t>27-0690799</w:t>
            </w:r>
          </w:p>
        </w:tc>
        <w:tc>
          <w:tcPr>
            <w:tcW w:w="0" w:type="dxa"/>
            <w:vAlign w:val="bottom"/>
          </w:tcPr>
          <w:p>
            <w:pPr>
              <w:spacing w:after="0"/>
              <w:rPr>
                <w:sz w:val="1"/>
                <w:szCs w:val="1"/>
                <w:color w:val="auto"/>
              </w:rPr>
            </w:pPr>
          </w:p>
        </w:tc>
      </w:tr>
      <w:tr>
        <w:trPr>
          <w:trHeight w:val="162"/>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(State or Other Jurisdiction of</w:t>
            </w:r>
          </w:p>
        </w:tc>
        <w:tc>
          <w:tcPr>
            <w:tcW w:w="2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200"/>
        </w:trPr>
        <w:tc>
          <w:tcPr>
            <w:tcW w:w="4480" w:type="dxa"/>
            <w:vAlign w:val="bottom"/>
            <w:gridSpan w:val="3"/>
          </w:tcPr>
          <w:p>
            <w:pPr>
              <w:jc w:val="center"/>
              <w:ind w:left="1042"/>
              <w:spacing w:after="0"/>
              <w:rPr>
                <w:sz w:val="20"/>
                <w:szCs w:val="20"/>
                <w:color w:val="auto"/>
              </w:rPr>
            </w:pPr>
            <w:r>
              <w:rPr>
                <w:rFonts w:ascii="Arial" w:cs="Arial" w:eastAsia="Arial" w:hAnsi="Arial"/>
                <w:sz w:val="14"/>
                <w:szCs w:val="14"/>
                <w:b w:val="1"/>
                <w:bCs w:val="1"/>
                <w:color w:val="auto"/>
              </w:rPr>
              <w:t>Incorporation or Organization)</w:t>
            </w: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402"/>
        </w:trPr>
        <w:tc>
          <w:tcPr>
            <w:tcW w:w="4480" w:type="dxa"/>
            <w:vAlign w:val="bottom"/>
            <w:gridSpan w:val="3"/>
          </w:tcPr>
          <w:p>
            <w:pPr>
              <w:jc w:val="center"/>
              <w:ind w:left="1042"/>
              <w:spacing w:after="0"/>
              <w:rPr>
                <w:sz w:val="20"/>
                <w:szCs w:val="20"/>
                <w:color w:val="auto"/>
              </w:rPr>
            </w:pPr>
            <w:r>
              <w:rPr>
                <w:rFonts w:ascii="Arial" w:cs="Arial" w:eastAsia="Arial" w:hAnsi="Arial"/>
                <w:sz w:val="16"/>
                <w:szCs w:val="16"/>
                <w:b w:val="1"/>
                <w:bCs w:val="1"/>
                <w:color w:val="auto"/>
              </w:rPr>
              <w:t>141 Tremont St #10</w:t>
            </w:r>
          </w:p>
        </w:tc>
        <w:tc>
          <w:tcPr>
            <w:tcW w:w="2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480" w:type="dxa"/>
            <w:vAlign w:val="bottom"/>
            <w:gridSpan w:val="3"/>
          </w:tcPr>
          <w:p>
            <w:pPr>
              <w:jc w:val="center"/>
              <w:ind w:left="1022"/>
              <w:spacing w:after="0"/>
              <w:rPr>
                <w:sz w:val="20"/>
                <w:szCs w:val="20"/>
                <w:color w:val="auto"/>
              </w:rPr>
            </w:pPr>
            <w:r>
              <w:rPr>
                <w:rFonts w:ascii="Arial" w:cs="Arial" w:eastAsia="Arial" w:hAnsi="Arial"/>
                <w:sz w:val="16"/>
                <w:szCs w:val="16"/>
                <w:b w:val="1"/>
                <w:bCs w:val="1"/>
                <w:color w:val="auto"/>
              </w:rPr>
              <w:t>Boston, MA</w:t>
            </w:r>
          </w:p>
        </w:tc>
        <w:tc>
          <w:tcPr>
            <w:tcW w:w="2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0" w:type="dxa"/>
            <w:vAlign w:val="bottom"/>
          </w:tcPr>
          <w:p>
            <w:pPr>
              <w:jc w:val="right"/>
              <w:ind w:right="2504"/>
              <w:spacing w:after="0"/>
              <w:rPr>
                <w:sz w:val="20"/>
                <w:szCs w:val="20"/>
                <w:color w:val="auto"/>
              </w:rPr>
            </w:pPr>
            <w:r>
              <w:rPr>
                <w:rFonts w:ascii="Arial" w:cs="Arial" w:eastAsia="Arial" w:hAnsi="Arial"/>
                <w:sz w:val="16"/>
                <w:szCs w:val="16"/>
                <w:b w:val="1"/>
                <w:bCs w:val="1"/>
                <w:color w:val="auto"/>
              </w:rPr>
              <w:t>02111</w:t>
            </w:r>
          </w:p>
        </w:tc>
        <w:tc>
          <w:tcPr>
            <w:tcW w:w="0" w:type="dxa"/>
            <w:vAlign w:val="bottom"/>
          </w:tcPr>
          <w:p>
            <w:pPr>
              <w:spacing w:after="0"/>
              <w:rPr>
                <w:sz w:val="1"/>
                <w:szCs w:val="1"/>
                <w:color w:val="auto"/>
              </w:rPr>
            </w:pPr>
          </w:p>
        </w:tc>
      </w:tr>
      <w:tr>
        <w:trPr>
          <w:trHeight w:val="198"/>
        </w:trPr>
        <w:tc>
          <w:tcPr>
            <w:tcW w:w="4480" w:type="dxa"/>
            <w:vAlign w:val="bottom"/>
            <w:gridSpan w:val="3"/>
          </w:tcPr>
          <w:p>
            <w:pPr>
              <w:jc w:val="center"/>
              <w:ind w:left="1022"/>
              <w:spacing w:after="0"/>
              <w:rPr>
                <w:sz w:val="20"/>
                <w:szCs w:val="20"/>
                <w:color w:val="auto"/>
              </w:rPr>
            </w:pPr>
            <w:r>
              <w:rPr>
                <w:rFonts w:ascii="Arial" w:cs="Arial" w:eastAsia="Arial" w:hAnsi="Arial"/>
                <w:sz w:val="14"/>
                <w:szCs w:val="14"/>
                <w:b w:val="1"/>
                <w:bCs w:val="1"/>
                <w:color w:val="auto"/>
              </w:rPr>
              <w:t>(Address of Principal Executive Offices)</w:t>
            </w: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tcPr>
          <w:p>
            <w:pPr>
              <w:jc w:val="center"/>
              <w:ind w:right="2104"/>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227"/>
        </w:trPr>
        <w:tc>
          <w:tcPr>
            <w:tcW w:w="1120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329-4524</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800" w:type="dxa"/>
            <w:vAlign w:val="bottom"/>
            <w:gridSpan w:val="7"/>
          </w:tcPr>
          <w:p>
            <w:pPr>
              <w:jc w:val="center"/>
              <w:ind w:left="3282"/>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9"/>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vMerge w:val="restart"/>
          </w:tcPr>
          <w:p>
            <w:pPr>
              <w:spacing w:after="0"/>
              <w:rPr>
                <w:sz w:val="24"/>
                <w:szCs w:val="24"/>
                <w:color w:val="auto"/>
              </w:rPr>
            </w:pPr>
          </w:p>
        </w:tc>
        <w:tc>
          <w:tcPr>
            <w:tcW w:w="620" w:type="dxa"/>
            <w:vAlign w:val="bottom"/>
            <w:vMerge w:val="restart"/>
          </w:tcPr>
          <w:p>
            <w:pPr>
              <w:spacing w:after="0"/>
              <w:rPr>
                <w:sz w:val="24"/>
                <w:szCs w:val="24"/>
                <w:color w:val="auto"/>
              </w:rPr>
            </w:pPr>
          </w:p>
        </w:tc>
        <w:tc>
          <w:tcPr>
            <w:tcW w:w="3320" w:type="dxa"/>
            <w:vAlign w:val="bottom"/>
            <w:gridSpan w:val="4"/>
          </w:tcPr>
          <w:p>
            <w:pPr>
              <w:ind w:left="920"/>
              <w:spacing w:after="0"/>
              <w:rPr>
                <w:sz w:val="20"/>
                <w:szCs w:val="20"/>
                <w:color w:val="auto"/>
              </w:rPr>
            </w:pPr>
            <w:r>
              <w:rPr>
                <w:rFonts w:ascii="Arial" w:cs="Arial" w:eastAsia="Arial" w:hAnsi="Arial"/>
                <w:sz w:val="14"/>
                <w:szCs w:val="14"/>
                <w:b w:val="1"/>
                <w:bCs w:val="1"/>
                <w:color w:val="auto"/>
              </w:rPr>
              <w:t>Trading</w:t>
            </w:r>
          </w:p>
        </w:tc>
        <w:tc>
          <w:tcPr>
            <w:tcW w:w="3400" w:type="dxa"/>
            <w:vAlign w:val="bottom"/>
          </w:tcPr>
          <w:p>
            <w:pPr>
              <w:jc w:val="center"/>
              <w:ind w:right="124"/>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37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9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Symbol(s)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367"/>
        </w:trPr>
        <w:tc>
          <w:tcPr>
            <w:tcW w:w="4480" w:type="dxa"/>
            <w:vAlign w:val="bottom"/>
            <w:gridSpan w:val="3"/>
          </w:tcPr>
          <w:p>
            <w:pPr>
              <w:ind w:left="140"/>
              <w:spacing w:after="0"/>
              <w:rPr>
                <w:sz w:val="20"/>
                <w:szCs w:val="20"/>
                <w:color w:val="auto"/>
              </w:rPr>
            </w:pPr>
            <w:r>
              <w:rPr>
                <w:rFonts w:ascii="Arial" w:cs="Arial" w:eastAsia="Arial" w:hAnsi="Arial"/>
                <w:sz w:val="16"/>
                <w:szCs w:val="16"/>
                <w:b w:val="1"/>
                <w:bCs w:val="1"/>
                <w:color w:val="auto"/>
              </w:rPr>
              <w:t>Voting common stock, $0.0001 par value per</w:t>
            </w:r>
          </w:p>
        </w:tc>
        <w:tc>
          <w:tcPr>
            <w:tcW w:w="3320" w:type="dxa"/>
            <w:vAlign w:val="bottom"/>
            <w:gridSpan w:val="4"/>
          </w:tcPr>
          <w:p>
            <w:pPr>
              <w:ind w:left="900"/>
              <w:spacing w:after="0"/>
              <w:rPr>
                <w:sz w:val="20"/>
                <w:szCs w:val="20"/>
                <w:color w:val="auto"/>
              </w:rPr>
            </w:pPr>
            <w:r>
              <w:rPr>
                <w:rFonts w:ascii="Arial" w:cs="Arial" w:eastAsia="Arial" w:hAnsi="Arial"/>
                <w:sz w:val="16"/>
                <w:szCs w:val="16"/>
                <w:b w:val="1"/>
                <w:bCs w:val="1"/>
                <w:color w:val="auto"/>
              </w:rPr>
              <w:t>FLYW</w:t>
            </w: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r>
        <w:trPr>
          <w:trHeight w:val="227"/>
        </w:trPr>
        <w:tc>
          <w:tcPr>
            <w:tcW w:w="448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rPr>
              <w:t>share</w:t>
            </w:r>
          </w:p>
        </w:tc>
        <w:tc>
          <w:tcPr>
            <w:tcW w:w="2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ind w:left="38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right="120" w:firstLine="509"/>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509"/>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ind w:right="220" w:firstLine="509"/>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1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20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87"/>
              </w:rPr>
              <w:t>☐</w:t>
            </w:r>
          </w:p>
        </w:tc>
      </w:tr>
    </w:tbl>
    <w:p>
      <w:pPr>
        <w:ind w:right="160" w:firstLine="509"/>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firstLine="509"/>
        <w:spacing w:after="0" w:line="271" w:lineRule="auto"/>
        <w:rPr>
          <w:sz w:val="20"/>
          <w:szCs w:val="20"/>
          <w:color w:val="auto"/>
        </w:rPr>
      </w:pPr>
      <w:r>
        <w:rPr>
          <w:rFonts w:ascii="Arial" w:cs="Arial" w:eastAsia="Arial" w:hAnsi="Arial"/>
          <w:sz w:val="16"/>
          <w:szCs w:val="16"/>
          <w:color w:val="auto"/>
        </w:rPr>
        <w:t>As of August 3, 2023, the registrant had 110,294,228 shares of voting common stock, $0.0001 par value per share, outstanding and 1,873,320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1" w:name="page2"/>
    <w:bookmarkEnd w:id="1"/>
    <w:p>
      <w:pPr>
        <w:ind w:left="48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5"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FF"/>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-11430</wp:posOffset>
            </wp:positionV>
            <wp:extent cx="2705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5735" cy="8255"/>
                    </a:xfrm>
                    <a:prstGeom prst="rect">
                      <a:avLst/>
                    </a:prstGeom>
                    <a:noFill/>
                  </pic:spPr>
                </pic:pic>
              </a:graphicData>
            </a:graphic>
          </wp:anchor>
        </w:drawing>
      </w:r>
    </w:p>
    <w:p>
      <w:pPr>
        <w:spacing w:after="0" w:line="2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0000FF"/>
        </w:rPr>
        <w:t>PART I.</w:t>
      </w:r>
      <w:r>
        <w:rPr>
          <w:sz w:val="20"/>
          <w:szCs w:val="20"/>
          <w:color w:val="auto"/>
        </w:rPr>
        <w:tab/>
      </w:r>
      <w:r>
        <w:rPr>
          <w:rFonts w:ascii="Arial" w:cs="Arial" w:eastAsia="Arial" w:hAnsi="Arial"/>
          <w:sz w:val="17"/>
          <w:szCs w:val="17"/>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140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0585" cy="8890"/>
                    </a:xfrm>
                    <a:prstGeom prst="rect">
                      <a:avLst/>
                    </a:prstGeom>
                    <a:noFill/>
                  </pic:spPr>
                </pic:pic>
              </a:graphicData>
            </a:graphic>
          </wp:anchor>
        </w:drawing>
      </w:r>
    </w:p>
    <w:p>
      <w:pPr>
        <w:spacing w:after="0" w:line="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FF"/>
        </w:rPr>
        <w:t>Item 1.</w:t>
      </w:r>
      <w:r>
        <w:rPr>
          <w:sz w:val="20"/>
          <w:szCs w:val="20"/>
          <w:color w:val="auto"/>
        </w:rPr>
        <w:tab/>
      </w:r>
      <w:r>
        <w:rPr>
          <w:rFonts w:ascii="Arial" w:cs="Arial" w:eastAsia="Arial" w:hAnsi="Arial"/>
          <w:sz w:val="18"/>
          <w:szCs w:val="18"/>
          <w:u w:val="single" w:color="auto"/>
          <w:color w:val="0000FF"/>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2420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FF"/>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-11430</wp:posOffset>
            </wp:positionV>
            <wp:extent cx="21151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15185" cy="825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FF"/>
        </w:rPr>
        <w:t>Condensed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-11430</wp:posOffset>
            </wp:positionV>
            <wp:extent cx="3937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37635" cy="825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FF"/>
        </w:rPr>
        <w:t>Condensed 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-11430</wp:posOffset>
            </wp:positionV>
            <wp:extent cx="31146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4675" cy="825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FF"/>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-11430</wp:posOffset>
            </wp:positionV>
            <wp:extent cx="26485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u w:val="single" w:color="auto"/>
          <w:color w:val="0000F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-11430</wp:posOffset>
            </wp:positionV>
            <wp:extent cx="28390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9085"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2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Note 1. Business Overview and Summary of Significant Accounting Policies</w:t>
            </w:r>
          </w:p>
        </w:tc>
        <w:tc>
          <w:tcPr>
            <w:tcW w:w="620" w:type="dxa"/>
            <w:vAlign w:val="bottom"/>
          </w:tcPr>
          <w:p>
            <w:pPr>
              <w:spacing w:after="0"/>
              <w:rPr>
                <w:sz w:val="17"/>
                <w:szCs w:val="17"/>
                <w:color w:val="auto"/>
              </w:rPr>
            </w:pPr>
          </w:p>
        </w:tc>
      </w:tr>
      <w:tr>
        <w:trPr>
          <w:trHeight w:val="237"/>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gridSpan w:val="24"/>
          </w:tcPr>
          <w:p>
            <w:pPr>
              <w:spacing w:after="0"/>
              <w:rPr>
                <w:sz w:val="20"/>
                <w:szCs w:val="20"/>
                <w:color w:val="auto"/>
              </w:rPr>
            </w:pPr>
            <w:r>
              <w:rPr>
                <w:rFonts w:ascii="Arial" w:cs="Arial" w:eastAsia="Arial" w:hAnsi="Arial"/>
                <w:sz w:val="18"/>
                <w:szCs w:val="18"/>
                <w:color w:val="0000FF"/>
              </w:rPr>
              <w:t>Note 2. Revenue and Recognition</w:t>
            </w: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 3. Allowance for Credit Losses</w:t>
            </w:r>
          </w:p>
        </w:tc>
        <w:tc>
          <w:tcPr>
            <w:tcW w:w="3780" w:type="dxa"/>
            <w:vAlign w:val="bottom"/>
            <w:gridSpan w:val="9"/>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rPr>
              <w:t>Note 4. Fair Value Measurements</w:t>
            </w:r>
          </w:p>
        </w:tc>
        <w:tc>
          <w:tcPr>
            <w:tcW w:w="3900" w:type="dxa"/>
            <w:vAlign w:val="bottom"/>
            <w:gridSpan w:val="10"/>
          </w:tcPr>
          <w:p>
            <w:pPr>
              <w:spacing w:after="0"/>
              <w:rPr>
                <w:sz w:val="19"/>
                <w:szCs w:val="19"/>
                <w:color w:val="auto"/>
              </w:rPr>
            </w:pPr>
          </w:p>
        </w:tc>
      </w:tr>
      <w:tr>
        <w:trPr>
          <w:trHeight w:val="237"/>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40" w:type="dxa"/>
            <w:vAlign w:val="bottom"/>
            <w:gridSpan w:val="24"/>
          </w:tcPr>
          <w:p>
            <w:pPr>
              <w:spacing w:after="0"/>
              <w:rPr>
                <w:sz w:val="20"/>
                <w:szCs w:val="20"/>
                <w:color w:val="auto"/>
              </w:rPr>
            </w:pPr>
            <w:r>
              <w:rPr>
                <w:rFonts w:ascii="Arial" w:cs="Arial" w:eastAsia="Arial" w:hAnsi="Arial"/>
                <w:sz w:val="18"/>
                <w:szCs w:val="18"/>
                <w:color w:val="0000FF"/>
              </w:rPr>
              <w:t>Note 5. Derivative Instruments</w:t>
            </w: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4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Note 6. Accrued Expenses and Other Current Liabilities</w:t>
            </w:r>
          </w:p>
        </w:tc>
        <w:tc>
          <w:tcPr>
            <w:tcW w:w="2200" w:type="dxa"/>
            <w:vAlign w:val="bottom"/>
            <w:gridSpan w:val="2"/>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40" w:type="dxa"/>
            <w:vAlign w:val="bottom"/>
            <w:gridSpan w:val="24"/>
          </w:tcPr>
          <w:p>
            <w:pPr>
              <w:spacing w:after="0"/>
              <w:rPr>
                <w:sz w:val="20"/>
                <w:szCs w:val="20"/>
                <w:color w:val="auto"/>
              </w:rPr>
            </w:pPr>
            <w:r>
              <w:rPr>
                <w:rFonts w:ascii="Arial" w:cs="Arial" w:eastAsia="Arial" w:hAnsi="Arial"/>
                <w:sz w:val="18"/>
                <w:szCs w:val="18"/>
                <w:color w:val="0000FF"/>
              </w:rPr>
              <w:t>Note 7. Property and Equipment, net</w:t>
            </w:r>
          </w:p>
        </w:tc>
      </w:tr>
      <w:tr>
        <w:trPr>
          <w:trHeight w:val="237"/>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9"/>
              </w:rPr>
              <w:t>Note 8. Business Combinations</w:t>
            </w:r>
          </w:p>
        </w:tc>
        <w:tc>
          <w:tcPr>
            <w:tcW w:w="400" w:type="dxa"/>
            <w:vAlign w:val="bottom"/>
            <w:tcBorders>
              <w:top w:val="single" w:sz="8" w:color="0000FF"/>
            </w:tcBorders>
            <w:gridSpan w:val="4"/>
          </w:tcPr>
          <w:p>
            <w:pPr>
              <w:spacing w:after="0"/>
              <w:rPr>
                <w:sz w:val="20"/>
                <w:szCs w:val="20"/>
                <w:color w:val="auto"/>
              </w:rPr>
            </w:pPr>
          </w:p>
        </w:tc>
        <w:tc>
          <w:tcPr>
            <w:tcW w:w="3720" w:type="dxa"/>
            <w:vAlign w:val="bottom"/>
            <w:gridSpan w:val="8"/>
          </w:tcPr>
          <w:p>
            <w:pPr>
              <w:spacing w:after="0"/>
              <w:rPr>
                <w:sz w:val="20"/>
                <w:szCs w:val="20"/>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Note 9. Goodwill and Acquired Intangible Assets</w:t>
            </w:r>
          </w:p>
        </w:tc>
        <w:tc>
          <w:tcPr>
            <w:tcW w:w="2800" w:type="dxa"/>
            <w:vAlign w:val="bottom"/>
            <w:gridSpan w:val="5"/>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Note 10. Debt</w:t>
            </w:r>
          </w:p>
        </w:tc>
        <w:tc>
          <w:tcPr>
            <w:tcW w:w="5520" w:type="dxa"/>
            <w:vAlign w:val="bottom"/>
            <w:gridSpan w:val="19"/>
          </w:tcPr>
          <w:p>
            <w:pPr>
              <w:spacing w:after="0"/>
              <w:rPr>
                <w:sz w:val="19"/>
                <w:szCs w:val="19"/>
                <w:color w:val="auto"/>
              </w:rPr>
            </w:pPr>
          </w:p>
        </w:tc>
      </w:tr>
      <w:tr>
        <w:trPr>
          <w:trHeight w:val="237"/>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rPr>
              <w:t>Note 11. Stockholders’ Equity</w:t>
            </w:r>
          </w:p>
        </w:tc>
        <w:tc>
          <w:tcPr>
            <w:tcW w:w="4220" w:type="dxa"/>
            <w:vAlign w:val="bottom"/>
            <w:gridSpan w:val="13"/>
          </w:tcPr>
          <w:p>
            <w:pPr>
              <w:spacing w:after="0"/>
              <w:rPr>
                <w:sz w:val="20"/>
                <w:szCs w:val="20"/>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40" w:type="dxa"/>
            <w:vAlign w:val="bottom"/>
            <w:gridSpan w:val="24"/>
          </w:tcPr>
          <w:p>
            <w:pPr>
              <w:spacing w:after="0"/>
              <w:rPr>
                <w:sz w:val="20"/>
                <w:szCs w:val="20"/>
                <w:color w:val="auto"/>
              </w:rPr>
            </w:pPr>
            <w:r>
              <w:rPr>
                <w:rFonts w:ascii="Arial" w:cs="Arial" w:eastAsia="Arial" w:hAnsi="Arial"/>
                <w:sz w:val="18"/>
                <w:szCs w:val="18"/>
                <w:color w:val="0000FF"/>
              </w:rPr>
              <w:t>Note 12. Stock-Based Compensation</w:t>
            </w: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Note 13. Net Loss per Share</w:t>
            </w:r>
          </w:p>
        </w:tc>
        <w:tc>
          <w:tcPr>
            <w:tcW w:w="3680" w:type="dxa"/>
            <w:vAlign w:val="bottom"/>
            <w:gridSpan w:val="7"/>
          </w:tcPr>
          <w:p>
            <w:pPr>
              <w:spacing w:after="0"/>
              <w:rPr>
                <w:sz w:val="19"/>
                <w:szCs w:val="19"/>
                <w:color w:val="auto"/>
              </w:rPr>
            </w:pPr>
          </w:p>
        </w:tc>
      </w:tr>
      <w:tr>
        <w:trPr>
          <w:trHeight w:val="236"/>
        </w:trPr>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Note 14. Income Taxes</w:t>
            </w:r>
          </w:p>
        </w:tc>
        <w:tc>
          <w:tcPr>
            <w:tcW w:w="4360" w:type="dxa"/>
            <w:vAlign w:val="bottom"/>
            <w:gridSpan w:val="14"/>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40" w:type="dxa"/>
            <w:vAlign w:val="bottom"/>
            <w:gridSpan w:val="24"/>
          </w:tcPr>
          <w:p>
            <w:pPr>
              <w:spacing w:after="0"/>
              <w:rPr>
                <w:sz w:val="20"/>
                <w:szCs w:val="20"/>
                <w:color w:val="auto"/>
              </w:rPr>
            </w:pPr>
            <w:r>
              <w:rPr>
                <w:rFonts w:ascii="Arial" w:cs="Arial" w:eastAsia="Arial" w:hAnsi="Arial"/>
                <w:sz w:val="18"/>
                <w:szCs w:val="18"/>
                <w:color w:val="0000FF"/>
              </w:rPr>
              <w:t>Note 15. Commitments and Contingencies</w:t>
            </w: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gridSpan w:val="9"/>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7080" w:type="dxa"/>
            <w:vAlign w:val="bottom"/>
            <w:gridSpan w:val="25"/>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40" w:type="dxa"/>
            <w:vAlign w:val="bottom"/>
            <w:gridSpan w:val="11"/>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r>
      <w:tr>
        <w:trPr>
          <w:trHeight w:val="237"/>
        </w:trPr>
        <w:tc>
          <w:tcPr>
            <w:tcW w:w="114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7080" w:type="dxa"/>
            <w:vAlign w:val="bottom"/>
            <w:gridSpan w:val="25"/>
          </w:tcPr>
          <w:p>
            <w:pPr>
              <w:spacing w:after="0"/>
              <w:rPr>
                <w:sz w:val="20"/>
                <w:szCs w:val="20"/>
                <w:color w:val="auto"/>
              </w:rPr>
            </w:pPr>
            <w:r>
              <w:rPr>
                <w:rFonts w:ascii="Arial" w:cs="Arial" w:eastAsia="Arial" w:hAnsi="Arial"/>
                <w:sz w:val="18"/>
                <w:szCs w:val="18"/>
                <w:color w:val="0000FF"/>
              </w:rPr>
              <w:t>Quantitative and Qualitative Disclosures About Market Risk</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40" w:type="dxa"/>
            <w:vAlign w:val="bottom"/>
            <w:gridSpan w:val="11"/>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7080" w:type="dxa"/>
            <w:vAlign w:val="bottom"/>
            <w:gridSpan w:val="25"/>
          </w:tcPr>
          <w:p>
            <w:pPr>
              <w:spacing w:after="0"/>
              <w:rPr>
                <w:sz w:val="20"/>
                <w:szCs w:val="20"/>
                <w:color w:val="auto"/>
              </w:rPr>
            </w:pPr>
            <w:r>
              <w:rPr>
                <w:rFonts w:ascii="Arial" w:cs="Arial" w:eastAsia="Arial" w:hAnsi="Arial"/>
                <w:sz w:val="18"/>
                <w:szCs w:val="18"/>
                <w:color w:val="0000FF"/>
              </w:rPr>
              <w:t>Controls and Procedures</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1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480"/>
        </w:trPr>
        <w:tc>
          <w:tcPr>
            <w:tcW w:w="1140" w:type="dxa"/>
            <w:vAlign w:val="bottom"/>
            <w:gridSpan w:val="4"/>
          </w:tcPr>
          <w:p>
            <w:pPr>
              <w:spacing w:after="0"/>
              <w:rPr>
                <w:sz w:val="20"/>
                <w:szCs w:val="20"/>
                <w:color w:val="auto"/>
              </w:rPr>
            </w:pPr>
            <w:r>
              <w:rPr>
                <w:rFonts w:ascii="Arial" w:cs="Arial" w:eastAsia="Arial" w:hAnsi="Arial"/>
                <w:sz w:val="18"/>
                <w:szCs w:val="18"/>
                <w:b w:val="1"/>
                <w:bCs w:val="1"/>
                <w:color w:val="0000FF"/>
              </w:rPr>
              <w:t>PART II.</w:t>
            </w:r>
          </w:p>
        </w:tc>
        <w:tc>
          <w:tcPr>
            <w:tcW w:w="7080" w:type="dxa"/>
            <w:vAlign w:val="bottom"/>
            <w:gridSpan w:val="25"/>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680" w:type="dxa"/>
            <w:vAlign w:val="bottom"/>
            <w:tcBorders>
              <w:left w:val="single" w:sz="8" w:color="0000EE"/>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1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7080" w:type="dxa"/>
            <w:vAlign w:val="bottom"/>
            <w:gridSpan w:val="25"/>
          </w:tcPr>
          <w:p>
            <w:pPr>
              <w:spacing w:after="0"/>
              <w:rPr>
                <w:sz w:val="20"/>
                <w:szCs w:val="20"/>
                <w:color w:val="auto"/>
              </w:rPr>
            </w:pPr>
            <w:r>
              <w:rPr>
                <w:rFonts w:ascii="Arial" w:cs="Arial" w:eastAsia="Arial" w:hAnsi="Arial"/>
                <w:sz w:val="18"/>
                <w:szCs w:val="18"/>
                <w:color w:val="0000FF"/>
              </w:rPr>
              <w:t>Legal Proceedings</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1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7080" w:type="dxa"/>
            <w:vAlign w:val="bottom"/>
            <w:gridSpan w:val="25"/>
          </w:tcPr>
          <w:p>
            <w:pPr>
              <w:spacing w:after="0"/>
              <w:rPr>
                <w:sz w:val="20"/>
                <w:szCs w:val="20"/>
                <w:color w:val="auto"/>
              </w:rPr>
            </w:pPr>
            <w:r>
              <w:rPr>
                <w:rFonts w:ascii="Arial" w:cs="Arial" w:eastAsia="Arial" w:hAnsi="Arial"/>
                <w:sz w:val="18"/>
                <w:szCs w:val="18"/>
                <w:color w:val="0000FF"/>
              </w:rPr>
              <w:t>Risk Factors</w:t>
            </w:r>
          </w:p>
        </w:tc>
      </w:tr>
      <w:tr>
        <w:trPr>
          <w:trHeight w:val="20"/>
        </w:trPr>
        <w:tc>
          <w:tcPr>
            <w:tcW w:w="680" w:type="dxa"/>
            <w:vAlign w:val="bottom"/>
            <w:tcBorders>
              <w:lef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1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7080" w:type="dxa"/>
            <w:vAlign w:val="bottom"/>
            <w:gridSpan w:val="25"/>
          </w:tcPr>
          <w:p>
            <w:pPr>
              <w:spacing w:after="0"/>
              <w:rPr>
                <w:sz w:val="20"/>
                <w:szCs w:val="20"/>
                <w:color w:val="auto"/>
              </w:rPr>
            </w:pPr>
            <w:r>
              <w:rPr>
                <w:rFonts w:ascii="Arial" w:cs="Arial" w:eastAsia="Arial" w:hAnsi="Arial"/>
                <w:sz w:val="18"/>
                <w:szCs w:val="18"/>
                <w:color w:val="0000FF"/>
              </w:rPr>
              <w:t>Unregistered Sales of Equity Securities and Use of Proceeds</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12"/>
            <w:shd w:val="clear" w:color="auto" w:fill="0000FF"/>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r>
      <w:tr>
        <w:trPr>
          <w:trHeight w:val="236"/>
        </w:trPr>
        <w:tc>
          <w:tcPr>
            <w:tcW w:w="114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7080" w:type="dxa"/>
            <w:vAlign w:val="bottom"/>
            <w:gridSpan w:val="25"/>
          </w:tcPr>
          <w:p>
            <w:pPr>
              <w:spacing w:after="0"/>
              <w:rPr>
                <w:sz w:val="20"/>
                <w:szCs w:val="20"/>
                <w:color w:val="auto"/>
              </w:rPr>
            </w:pPr>
            <w:r>
              <w:rPr>
                <w:rFonts w:ascii="Arial" w:cs="Arial" w:eastAsia="Arial" w:hAnsi="Arial"/>
                <w:sz w:val="18"/>
                <w:szCs w:val="18"/>
                <w:color w:val="0000FF"/>
              </w:rPr>
              <w:t>Defaults Upon Senior Securities</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4520" w:type="dxa"/>
            <w:vAlign w:val="bottom"/>
            <w:gridSpan w:val="15"/>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7080" w:type="dxa"/>
            <w:vAlign w:val="bottom"/>
            <w:gridSpan w:val="25"/>
          </w:tcPr>
          <w:p>
            <w:pPr>
              <w:spacing w:after="0"/>
              <w:rPr>
                <w:sz w:val="20"/>
                <w:szCs w:val="20"/>
                <w:color w:val="auto"/>
              </w:rPr>
            </w:pPr>
            <w:r>
              <w:rPr>
                <w:rFonts w:ascii="Arial" w:cs="Arial" w:eastAsia="Arial" w:hAnsi="Arial"/>
                <w:sz w:val="18"/>
                <w:szCs w:val="18"/>
                <w:color w:val="0000FF"/>
              </w:rPr>
              <w:t>Mine Safety Disclosures</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5140" w:type="dxa"/>
            <w:vAlign w:val="bottom"/>
            <w:gridSpan w:val="17"/>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Arial" w:cs="Arial" w:eastAsia="Arial" w:hAnsi="Arial"/>
                <w:sz w:val="18"/>
                <w:szCs w:val="18"/>
                <w:color w:val="0000FF"/>
              </w:rPr>
              <w:t>Item 5.</w:t>
            </w:r>
          </w:p>
        </w:tc>
        <w:tc>
          <w:tcPr>
            <w:tcW w:w="7080" w:type="dxa"/>
            <w:vAlign w:val="bottom"/>
            <w:gridSpan w:val="25"/>
          </w:tcPr>
          <w:p>
            <w:pPr>
              <w:spacing w:after="0"/>
              <w:rPr>
                <w:sz w:val="20"/>
                <w:szCs w:val="20"/>
                <w:color w:val="auto"/>
              </w:rPr>
            </w:pPr>
            <w:r>
              <w:rPr>
                <w:rFonts w:ascii="Arial" w:cs="Arial" w:eastAsia="Arial" w:hAnsi="Arial"/>
                <w:sz w:val="18"/>
                <w:szCs w:val="18"/>
                <w:color w:val="0000FF"/>
              </w:rPr>
              <w:t>Other Information</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680" w:type="dxa"/>
            <w:vAlign w:val="bottom"/>
            <w:gridSpan w:val="21"/>
          </w:tcPr>
          <w:p>
            <w:pPr>
              <w:spacing w:after="0" w:line="20" w:lineRule="exact"/>
              <w:rPr>
                <w:sz w:val="1"/>
                <w:szCs w:val="1"/>
                <w:color w:val="auto"/>
              </w:rPr>
            </w:pPr>
          </w:p>
        </w:tc>
      </w:tr>
      <w:tr>
        <w:trPr>
          <w:trHeight w:val="237"/>
        </w:trPr>
        <w:tc>
          <w:tcPr>
            <w:tcW w:w="114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7080" w:type="dxa"/>
            <w:vAlign w:val="bottom"/>
            <w:gridSpan w:val="25"/>
          </w:tcPr>
          <w:p>
            <w:pPr>
              <w:spacing w:after="0"/>
              <w:rPr>
                <w:sz w:val="20"/>
                <w:szCs w:val="20"/>
                <w:color w:val="auto"/>
              </w:rPr>
            </w:pPr>
            <w:r>
              <w:rPr>
                <w:rFonts w:ascii="Arial" w:cs="Arial" w:eastAsia="Arial" w:hAnsi="Arial"/>
                <w:sz w:val="18"/>
                <w:szCs w:val="18"/>
                <w:color w:val="0000FF"/>
              </w:rPr>
              <w:t>Exhibits</w:t>
            </w: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
        </w:trPr>
        <w:tc>
          <w:tcPr>
            <w:tcW w:w="560" w:type="dxa"/>
            <w:vAlign w:val="bottom"/>
            <w:tcBorders>
              <w:left w:val="single" w:sz="8" w:color="0000EE"/>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347345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20320</wp:posOffset>
            </wp:positionV>
            <wp:extent cx="4457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ectPr>
          <w:pgSz w:w="11900" w:h="16838" w:orient="portrait"/>
          <w:cols w:equalWidth="0" w:num="2">
            <w:col w:w="9900" w:space="720"/>
            <w:col w:w="580"/>
          </w:cols>
          <w:pgMar w:left="340" w:top="5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p>
    <w:p>
      <w:pPr>
        <w:spacing w:after="0" w:line="167" w:lineRule="exact"/>
        <w:rPr>
          <w:sz w:val="20"/>
          <w:szCs w:val="20"/>
          <w:color w:val="auto"/>
        </w:rPr>
      </w:pPr>
    </w:p>
    <w:p>
      <w:pPr>
        <w:ind w:left="1020" w:right="340" w:hanging="503"/>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cross-border expansion plans and ability to expand internationally;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and ability to access, our cash and cash equivalents to meet our liquidity needs;</w:t>
      </w:r>
    </w:p>
    <w:p>
      <w:pPr>
        <w:spacing w:after="0" w:line="117"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foreign currency exchange rate, inflation, banking, legal, social and health risks and public health measures that may affect our business or the global economy;</w:t>
      </w:r>
    </w:p>
    <w:p>
      <w:pPr>
        <w:spacing w:after="0" w:line="6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grow the payment volume that we process;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client base;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financial institutions and strategic partners;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new client verticals, including our relatively new business-to-business sector;</w:t>
      </w:r>
    </w:p>
    <w:p>
      <w:pPr>
        <w:spacing w:after="0" w:line="117" w:lineRule="exact"/>
        <w:rPr>
          <w:rFonts w:ascii="Arial" w:cs="Arial" w:eastAsia="Arial" w:hAnsi="Arial"/>
          <w:sz w:val="18"/>
          <w:szCs w:val="18"/>
          <w:color w:val="auto"/>
        </w:rPr>
      </w:pPr>
    </w:p>
    <w:p>
      <w:pPr>
        <w:ind w:left="1020" w:right="620" w:hanging="503"/>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6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litigation and legal and regulatory matters;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w:t>
      </w:r>
    </w:p>
    <w:p>
      <w:pPr>
        <w:spacing w:after="0" w:line="117" w:lineRule="exact"/>
        <w:rPr>
          <w:rFonts w:ascii="Arial" w:cs="Arial" w:eastAsia="Arial" w:hAnsi="Arial"/>
          <w:sz w:val="18"/>
          <w:szCs w:val="18"/>
          <w:color w:val="auto"/>
        </w:rPr>
      </w:pPr>
    </w:p>
    <w:p>
      <w:pPr>
        <w:ind w:left="1020" w:right="60" w:hanging="503"/>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6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17" w:lineRule="exact"/>
        <w:rPr>
          <w:rFonts w:ascii="Arial" w:cs="Arial" w:eastAsia="Arial" w:hAnsi="Arial"/>
          <w:sz w:val="18"/>
          <w:szCs w:val="18"/>
          <w:color w:val="auto"/>
        </w:rPr>
      </w:pPr>
    </w:p>
    <w:p>
      <w:pPr>
        <w:ind w:left="1020" w:right="200" w:hanging="503"/>
        <w:spacing w:after="0" w:line="26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changes in U.S. federal income or other tax laws or the interpretation of tax laws, including the recently enacted Inflation Reduction Act of 2022;</w:t>
      </w:r>
    </w:p>
    <w:p>
      <w:pPr>
        <w:spacing w:after="0" w:line="64"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01"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market price of our common stock.</w:t>
      </w:r>
    </w:p>
    <w:p>
      <w:pPr>
        <w:spacing w:after="0" w:line="18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6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5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9" w:lineRule="exact"/>
        <w:rPr>
          <w:sz w:val="20"/>
          <w:szCs w:val="20"/>
          <w:color w:val="auto"/>
        </w:rPr>
      </w:pPr>
    </w:p>
    <w:p>
      <w:pPr>
        <w:ind w:right="40" w:firstLine="509"/>
        <w:spacing w:after="0" w:line="260" w:lineRule="auto"/>
        <w:rPr>
          <w:sz w:val="20"/>
          <w:szCs w:val="20"/>
          <w:color w:val="auto"/>
        </w:rPr>
      </w:pPr>
      <w:r>
        <w:rPr>
          <w:rFonts w:ascii="Arial" w:cs="Arial" w:eastAsia="Arial" w:hAnsi="Arial"/>
          <w:sz w:val="18"/>
          <w:szCs w:val="18"/>
          <w:color w:val="auto"/>
        </w:rPr>
        <w:t>Unless otherwise noted or unless the context provides otherwise, all references in this Quarterly Report on Form 10-Q to our “common stock” refer to our voting common stock.</w:t>
      </w:r>
    </w:p>
    <w:p>
      <w:pPr>
        <w:spacing w:after="0" w:line="146"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Twitter feed (@flywire)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jc w:val="center"/>
        <w:ind w:right="40"/>
        <w:spacing w:after="0" w:line="234" w:lineRule="auto"/>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(Amounts in thousands, except par value per share and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328,063</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349,177</w:t>
            </w: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9"/>
                <w:szCs w:val="19"/>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19,284</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6,779</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5,268</w:t>
            </w: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Funds receivable from payment partners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62,970</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16,272</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17,531</w:t>
            </w:r>
          </w:p>
        </w:tc>
        <w:tc>
          <w:tcPr>
            <w:tcW w:w="140" w:type="dxa"/>
            <w:vAlign w:val="bottom"/>
          </w:tcPr>
          <w:p>
            <w:pPr>
              <w:spacing w:after="0"/>
              <w:rPr>
                <w:sz w:val="19"/>
                <w:szCs w:val="19"/>
                <w:color w:val="auto"/>
              </w:rPr>
            </w:pPr>
          </w:p>
        </w:tc>
      </w:tr>
      <w:tr>
        <w:trPr>
          <w:trHeight w:val="223"/>
        </w:trPr>
        <w:tc>
          <w:tcPr>
            <w:tcW w:w="7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413,719</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450,643</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14,701</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13,317</w:t>
            </w: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92,522</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97,616</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98,967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97,766</w:t>
            </w:r>
          </w:p>
        </w:tc>
        <w:tc>
          <w:tcPr>
            <w:tcW w:w="140" w:type="dxa"/>
            <w:vAlign w:val="bottom"/>
          </w:tcPr>
          <w:p>
            <w:pPr>
              <w:spacing w:after="0"/>
              <w:rPr>
                <w:sz w:val="19"/>
                <w:szCs w:val="19"/>
                <w:color w:val="auto"/>
              </w:rPr>
            </w:pPr>
          </w:p>
        </w:tc>
      </w:tr>
      <w:tr>
        <w:trPr>
          <w:trHeight w:val="22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18,664</w:t>
            </w:r>
          </w:p>
        </w:tc>
        <w:tc>
          <w:tcPr>
            <w:tcW w:w="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14,945</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6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638,573</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674,287</w:t>
            </w:r>
          </w:p>
        </w:tc>
        <w:tc>
          <w:tcPr>
            <w:tcW w:w="1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11,658</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13,325</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Funds payable to clients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81,958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124,305</w:t>
            </w: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35,044</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34,423</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140" w:type="dxa"/>
            <w:vAlign w:val="bottom"/>
          </w:tcPr>
          <w:p>
            <w:pPr>
              <w:spacing w:after="0"/>
              <w:rPr>
                <w:sz w:val="19"/>
                <w:szCs w:val="19"/>
                <w:color w:val="auto"/>
              </w:rPr>
            </w:pPr>
          </w:p>
        </w:tc>
      </w:tr>
      <w:tr>
        <w:trPr>
          <w:trHeight w:val="223"/>
        </w:trPr>
        <w:tc>
          <w:tcPr>
            <w:tcW w:w="7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131,505</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177,276</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12,086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12,149</w:t>
            </w:r>
          </w:p>
        </w:tc>
        <w:tc>
          <w:tcPr>
            <w:tcW w:w="140" w:type="dxa"/>
            <w:vAlign w:val="bottom"/>
          </w:tcPr>
          <w:p>
            <w:pPr>
              <w:spacing w:after="0"/>
              <w:rPr>
                <w:sz w:val="19"/>
                <w:szCs w:val="19"/>
                <w:color w:val="auto"/>
              </w:rPr>
            </w:pPr>
          </w:p>
        </w:tc>
      </w:tr>
      <w:tr>
        <w:trPr>
          <w:trHeight w:val="230"/>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3,906</w:t>
            </w:r>
          </w:p>
        </w:tc>
        <w:tc>
          <w:tcPr>
            <w:tcW w:w="3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76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147,497</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192,384</w:t>
            </w:r>
          </w:p>
        </w:tc>
        <w:tc>
          <w:tcPr>
            <w:tcW w:w="140" w:type="dxa"/>
            <w:vAlign w:val="bottom"/>
          </w:tcPr>
          <w:p>
            <w:pPr>
              <w:spacing w:after="0"/>
              <w:rPr>
                <w:sz w:val="19"/>
                <w:szCs w:val="19"/>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15)</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76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Preferred stock, $0.0001 par value; 10,000,000 shares authorized as of</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June 30, 2023 and December 31, 2022; and no shares issued and</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29"/>
        </w:trPr>
        <w:tc>
          <w:tcPr>
            <w:tcW w:w="76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outstanding as of June 30, 2023 and December 31, 2022</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03"/>
        </w:trPr>
        <w:tc>
          <w:tcPr>
            <w:tcW w:w="7600" w:type="dxa"/>
            <w:vAlign w:val="bottom"/>
          </w:tcPr>
          <w:p>
            <w:pPr>
              <w:ind w:left="140"/>
              <w:spacing w:after="0" w:line="203" w:lineRule="exact"/>
              <w:rPr>
                <w:sz w:val="20"/>
                <w:szCs w:val="20"/>
                <w:color w:val="auto"/>
              </w:rPr>
            </w:pPr>
            <w:r>
              <w:rPr>
                <w:rFonts w:ascii="Arial" w:cs="Arial" w:eastAsia="Arial" w:hAnsi="Arial"/>
                <w:sz w:val="18"/>
                <w:szCs w:val="18"/>
                <w:color w:val="auto"/>
              </w:rPr>
              <w:t>Voting common stock, $0.0001 par value; 2,000,000,000 shares authorized as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600" w:type="dxa"/>
            <w:vAlign w:val="bottom"/>
          </w:tcPr>
          <w:p>
            <w:pPr>
              <w:ind w:left="300"/>
              <w:spacing w:after="0" w:line="202" w:lineRule="exact"/>
              <w:rPr>
                <w:sz w:val="20"/>
                <w:szCs w:val="20"/>
                <w:color w:val="auto"/>
              </w:rPr>
            </w:pPr>
            <w:r>
              <w:rPr>
                <w:rFonts w:ascii="Arial" w:cs="Arial" w:eastAsia="Arial" w:hAnsi="Arial"/>
                <w:sz w:val="18"/>
                <w:szCs w:val="18"/>
                <w:color w:val="auto"/>
              </w:rPr>
              <w:t>of June 30, 2023 and December 31, 2022; 112,229,190 shares issued and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600" w:type="dxa"/>
            <w:vAlign w:val="bottom"/>
          </w:tcPr>
          <w:p>
            <w:pPr>
              <w:ind w:left="240"/>
              <w:spacing w:after="0" w:line="202" w:lineRule="exact"/>
              <w:rPr>
                <w:sz w:val="20"/>
                <w:szCs w:val="20"/>
                <w:color w:val="auto"/>
              </w:rPr>
            </w:pPr>
            <w:r>
              <w:rPr>
                <w:rFonts w:ascii="Arial" w:cs="Arial" w:eastAsia="Arial" w:hAnsi="Arial"/>
                <w:sz w:val="18"/>
                <w:szCs w:val="18"/>
                <w:color w:val="auto"/>
              </w:rPr>
              <w:t>109,911,468 shares outstanding as of June 30, 2023; 109,790,702 shares</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7600" w:type="dxa"/>
            <w:vAlign w:val="bottom"/>
          </w:tcPr>
          <w:p>
            <w:pPr>
              <w:ind w:left="300"/>
              <w:spacing w:after="0"/>
              <w:rPr>
                <w:sz w:val="20"/>
                <w:szCs w:val="20"/>
                <w:color w:val="auto"/>
              </w:rPr>
            </w:pPr>
            <w:r>
              <w:rPr>
                <w:rFonts w:ascii="Arial" w:cs="Arial" w:eastAsia="Arial" w:hAnsi="Arial"/>
                <w:sz w:val="18"/>
                <w:szCs w:val="18"/>
                <w:color w:val="auto"/>
              </w:rPr>
              <w:t>issued and 107,472,980 shares outstanding as of December 31, 2022</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r>
      <w:tr>
        <w:trPr>
          <w:trHeight w:val="203"/>
        </w:trPr>
        <w:tc>
          <w:tcPr>
            <w:tcW w:w="76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Non-voting common stock, $0.0001 par value; 10,000,000 shares authorized</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03"/>
        </w:trPr>
        <w:tc>
          <w:tcPr>
            <w:tcW w:w="76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as of June 30, 2023 and December 31, 2022; 1,873,320 shares issued</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r>
      <w:tr>
        <w:trPr>
          <w:trHeight w:val="229"/>
        </w:trPr>
        <w:tc>
          <w:tcPr>
            <w:tcW w:w="76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and outstanding as of June 30, 2023 and December 31, 2022</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r>
      <w:tr>
        <w:trPr>
          <w:trHeight w:val="203"/>
        </w:trPr>
        <w:tc>
          <w:tcPr>
            <w:tcW w:w="7600" w:type="dxa"/>
            <w:vAlign w:val="bottom"/>
          </w:tcPr>
          <w:p>
            <w:pPr>
              <w:ind w:left="140"/>
              <w:spacing w:after="0" w:line="203" w:lineRule="exact"/>
              <w:rPr>
                <w:sz w:val="20"/>
                <w:szCs w:val="20"/>
                <w:color w:val="auto"/>
              </w:rPr>
            </w:pPr>
            <w:r>
              <w:rPr>
                <w:rFonts w:ascii="Arial" w:cs="Arial" w:eastAsia="Arial" w:hAnsi="Arial"/>
                <w:sz w:val="18"/>
                <w:szCs w:val="18"/>
                <w:color w:val="auto"/>
              </w:rPr>
              <w:t>Treasury voting common stock, 2,317,722 shares as of June 30, 2023 and</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9"/>
        </w:trPr>
        <w:tc>
          <w:tcPr>
            <w:tcW w:w="7600" w:type="dxa"/>
            <w:vAlign w:val="bottom"/>
          </w:tcPr>
          <w:p>
            <w:pPr>
              <w:ind w:left="300"/>
              <w:spacing w:after="0"/>
              <w:rPr>
                <w:sz w:val="20"/>
                <w:szCs w:val="20"/>
                <w:color w:val="auto"/>
              </w:rPr>
            </w:pPr>
            <w:r>
              <w:rPr>
                <w:rFonts w:ascii="Arial" w:cs="Arial" w:eastAsia="Arial" w:hAnsi="Arial"/>
                <w:sz w:val="18"/>
                <w:szCs w:val="18"/>
                <w:color w:val="auto"/>
              </w:rPr>
              <w:t>December 31, 2022, held at cost</w:t>
            </w:r>
          </w:p>
        </w:tc>
        <w:tc>
          <w:tcPr>
            <w:tcW w:w="32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(748 )</w:t>
            </w: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(748 )</w:t>
            </w:r>
          </w:p>
        </w:tc>
      </w:tr>
      <w:tr>
        <w:trPr>
          <w:trHeight w:val="230"/>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677,343</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649,756</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(1,912 )</w:t>
            </w:r>
          </w:p>
        </w:tc>
      </w:tr>
      <w:tr>
        <w:trPr>
          <w:trHeight w:val="229"/>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(185,700 )</w:t>
            </w: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(165,204 )</w:t>
            </w:r>
          </w:p>
        </w:tc>
      </w:tr>
      <w:tr>
        <w:trPr>
          <w:trHeight w:val="223"/>
        </w:trPr>
        <w:tc>
          <w:tcPr>
            <w:tcW w:w="7600" w:type="dxa"/>
            <w:vAlign w:val="bottom"/>
            <w:tcBorders>
              <w:top w:val="single" w:sz="8" w:color="CFF0FC"/>
            </w:tcBorders>
          </w:tcPr>
          <w:p>
            <w:pPr>
              <w:ind w:left="4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491,076</w:t>
            </w:r>
          </w:p>
        </w:tc>
        <w:tc>
          <w:tcPr>
            <w:tcW w:w="360" w:type="dxa"/>
            <w:vAlign w:val="bottom"/>
            <w:tcBorders>
              <w:top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481,903</w:t>
            </w:r>
          </w:p>
        </w:tc>
        <w:tc>
          <w:tcPr>
            <w:tcW w:w="140" w:type="dxa"/>
            <w:vAlign w:val="bottom"/>
            <w:tcBorders>
              <w:top w:val="single" w:sz="8" w:color="CFF0FC"/>
            </w:tcBorders>
          </w:tcPr>
          <w:p>
            <w:pPr>
              <w:spacing w:after="0"/>
              <w:rPr>
                <w:sz w:val="19"/>
                <w:szCs w:val="19"/>
                <w:color w:val="auto"/>
              </w:rPr>
            </w:pPr>
          </w:p>
        </w:tc>
      </w:tr>
      <w:tr>
        <w:trPr>
          <w:trHeight w:val="263"/>
        </w:trPr>
        <w:tc>
          <w:tcPr>
            <w:tcW w:w="76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638,573</w:t>
            </w:r>
          </w:p>
        </w:tc>
        <w:tc>
          <w:tcPr>
            <w:tcW w:w="3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674,287</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-4337050</wp:posOffset>
            </wp:positionV>
            <wp:extent cx="8572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-4337050</wp:posOffset>
            </wp:positionV>
            <wp:extent cx="8572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-2836545</wp:posOffset>
            </wp:positionV>
            <wp:extent cx="8572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-2836545</wp:posOffset>
            </wp:positionV>
            <wp:extent cx="8572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-334010</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-334010</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40"/>
        <w:spacing w:after="0"/>
        <w:rPr>
          <w:sz w:val="20"/>
          <w:szCs w:val="20"/>
          <w:color w:val="auto"/>
        </w:rPr>
      </w:pPr>
      <w:r>
        <w:rPr>
          <w:rFonts w:ascii="Arial" w:cs="Arial" w:eastAsia="Arial" w:hAnsi="Arial"/>
          <w:sz w:val="18"/>
          <w:szCs w:val="18"/>
          <w:color w:val="auto"/>
        </w:rPr>
        <w:t>(Unaudited) (Amounts 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5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84,869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179,226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 processing services costs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33,804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67,659</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46,073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Technology and development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16,016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13,204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30,539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Selling and marketing</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51,707</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24,584</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20,023</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52,697</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costs and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101,677</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73,934</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202,602</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145,591</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(16,808 )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(17,397 )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(23,376 )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(24,501 )</w:t>
            </w: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(78 )</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(266 )</w:t>
            </w:r>
          </w:p>
        </w:tc>
        <w:tc>
          <w:tcPr>
            <w:tcW w:w="1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(181 )</w:t>
            </w: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(484 )</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3,870</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(Loss) gain from remeasurement of foreign currency</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(755 )</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(5,240 )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(7,567 )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(5,322 )</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4,404</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(7,867 )</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(15,706 )</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(22,719 )</w:t>
            </w:r>
          </w:p>
        </w:tc>
        <w:tc>
          <w:tcPr>
            <w:tcW w:w="18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(18,972 )</w:t>
            </w: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(32,368 )</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(16,813 )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(23,797 )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(20,496 )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(33,946 )</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(45 )</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(14,364 )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(23,842 )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(18,414 )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(34,081 )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attributable to common stockholders – basic</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(16,813 )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(23,797 )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(20,496 )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(33,946 )</w:t>
            </w:r>
          </w:p>
        </w:tc>
        <w:tc>
          <w:tcPr>
            <w:tcW w:w="0" w:type="dxa"/>
            <w:vAlign w:val="bottom"/>
          </w:tcPr>
          <w:p>
            <w:pPr>
              <w:spacing w:after="0"/>
              <w:rPr>
                <w:sz w:val="1"/>
                <w:szCs w:val="1"/>
                <w:color w:val="auto"/>
              </w:rPr>
            </w:pPr>
          </w:p>
        </w:tc>
      </w:tr>
      <w:tr>
        <w:trPr>
          <w:trHeight w:val="208"/>
        </w:trPr>
        <w:tc>
          <w:tcPr>
            <w:tcW w:w="5640" w:type="dxa"/>
            <w:vAlign w:val="bottom"/>
            <w:shd w:val="clear" w:color="auto" w:fill="CFF0FC"/>
          </w:tcPr>
          <w:p>
            <w:pPr>
              <w:ind w:left="180"/>
              <w:spacing w:after="0" w:line="189" w:lineRule="exact"/>
              <w:rPr>
                <w:sz w:val="20"/>
                <w:szCs w:val="20"/>
                <w:color w:val="auto"/>
              </w:rPr>
            </w:pPr>
            <w:r>
              <w:rPr>
                <w:rFonts w:ascii="Arial" w:cs="Arial" w:eastAsia="Arial" w:hAnsi="Arial"/>
                <w:sz w:val="18"/>
                <w:szCs w:val="18"/>
                <w:color w:val="auto"/>
              </w:rPr>
              <w:t>and diluted</w:t>
            </w:r>
          </w:p>
        </w:tc>
        <w:tc>
          <w:tcPr>
            <w:tcW w:w="140" w:type="dxa"/>
            <w:vAlign w:val="bottom"/>
            <w:vMerge w:val="continue"/>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4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attributable to common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(0.15 )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(0.22 )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(0.19 )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(0.32 )</w:t>
            </w:r>
          </w:p>
        </w:tc>
        <w:tc>
          <w:tcPr>
            <w:tcW w:w="0" w:type="dxa"/>
            <w:vAlign w:val="bottom"/>
          </w:tcPr>
          <w:p>
            <w:pPr>
              <w:spacing w:after="0"/>
              <w:rPr>
                <w:sz w:val="1"/>
                <w:szCs w:val="1"/>
                <w:color w:val="auto"/>
              </w:rPr>
            </w:pPr>
          </w:p>
        </w:tc>
      </w:tr>
      <w:tr>
        <w:trPr>
          <w:trHeight w:val="188"/>
        </w:trPr>
        <w:tc>
          <w:tcPr>
            <w:tcW w:w="5640" w:type="dxa"/>
            <w:vAlign w:val="bottom"/>
          </w:tcPr>
          <w:p>
            <w:pPr>
              <w:ind w:left="180"/>
              <w:spacing w:after="0" w:line="189" w:lineRule="exact"/>
              <w:rPr>
                <w:sz w:val="20"/>
                <w:szCs w:val="20"/>
                <w:color w:val="auto"/>
              </w:rPr>
            </w:pPr>
            <w:r>
              <w:rPr>
                <w:rFonts w:ascii="Arial" w:cs="Arial" w:eastAsia="Arial" w:hAnsi="Arial"/>
                <w:sz w:val="18"/>
                <w:szCs w:val="18"/>
                <w:color w:val="auto"/>
              </w:rPr>
              <w:t>stockholders – basic and diluted</w:t>
            </w:r>
          </w:p>
        </w:tc>
        <w:tc>
          <w:tcPr>
            <w:tcW w:w="14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6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common shares outstanding – basic</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107,426,89</w:t>
            </w: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110,464,09</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107,085,23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56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and diluted</w:t>
            </w:r>
          </w:p>
        </w:tc>
        <w:tc>
          <w:tcPr>
            <w:tcW w:w="14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111,133,221</w:t>
            </w:r>
          </w:p>
        </w:tc>
        <w:tc>
          <w:tcPr>
            <w:tcW w:w="3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-2527935</wp:posOffset>
            </wp:positionV>
            <wp:extent cx="8572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-2527935</wp:posOffset>
            </wp:positionV>
            <wp:extent cx="85725"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-2527935</wp:posOffset>
            </wp:positionV>
            <wp:extent cx="8572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-2527935</wp:posOffset>
            </wp:positionV>
            <wp:extent cx="8572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-1628140</wp:posOffset>
            </wp:positionV>
            <wp:extent cx="8572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-1628140</wp:posOffset>
            </wp:positionV>
            <wp:extent cx="8572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-1628140</wp:posOffset>
            </wp:positionV>
            <wp:extent cx="8572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-1628140</wp:posOffset>
            </wp:positionV>
            <wp:extent cx="8572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-1328420</wp:posOffset>
            </wp:positionV>
            <wp:extent cx="8572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-1328420</wp:posOffset>
            </wp:positionV>
            <wp:extent cx="8572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-1328420</wp:posOffset>
            </wp:positionV>
            <wp:extent cx="8572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-1328420</wp:posOffset>
            </wp:positionV>
            <wp:extent cx="8572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-1028065</wp:posOffset>
            </wp:positionV>
            <wp:extent cx="85725" cy="180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-1028065</wp:posOffset>
            </wp:positionV>
            <wp:extent cx="8572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-1028065</wp:posOffset>
            </wp:positionV>
            <wp:extent cx="8572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-1028065</wp:posOffset>
            </wp:positionV>
            <wp:extent cx="85725" cy="1803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-599440</wp:posOffset>
            </wp:positionV>
            <wp:extent cx="283781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7815" cy="3003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857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85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857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color w:val="auto"/>
        </w:rPr>
        <w:t>(Unaudited) (Amounts in thousands, except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8"/>
          </w:tcPr>
          <w:p>
            <w:pPr>
              <w:jc w:val="right"/>
              <w:ind w:right="600"/>
              <w:spacing w:after="0"/>
              <w:rPr>
                <w:sz w:val="20"/>
                <w:szCs w:val="20"/>
                <w:color w:val="auto"/>
              </w:rPr>
            </w:pPr>
            <w:r>
              <w:rPr>
                <w:rFonts w:ascii="Arial" w:cs="Arial" w:eastAsia="Arial" w:hAnsi="Arial"/>
                <w:sz w:val="11"/>
                <w:szCs w:val="11"/>
                <w:b w:val="1"/>
                <w:bCs w:val="1"/>
                <w:color w:val="auto"/>
              </w:rPr>
              <w:t>Three Months Ended June 30, 2023</w:t>
            </w:r>
          </w:p>
        </w:tc>
        <w:tc>
          <w:tcPr>
            <w:tcW w:w="100" w:type="dxa"/>
            <w:vAlign w:val="bottom"/>
          </w:tcPr>
          <w:p>
            <w:pPr>
              <w:spacing w:after="0"/>
              <w:rPr>
                <w:sz w:val="13"/>
                <w:szCs w:val="13"/>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95"/>
              </w:rPr>
              <w:t>Accumulated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6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340"/>
              <w:spacing w:after="0" w:line="110"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left="506"/>
              <w:spacing w:after="0" w:line="122" w:lineRule="exact"/>
              <w:rPr>
                <w:sz w:val="20"/>
                <w:szCs w:val="20"/>
                <w:color w:val="auto"/>
              </w:rPr>
            </w:pPr>
            <w:r>
              <w:rPr>
                <w:rFonts w:ascii="Arial" w:cs="Arial" w:eastAsia="Arial" w:hAnsi="Arial"/>
                <w:sz w:val="11"/>
                <w:szCs w:val="11"/>
                <w:b w:val="1"/>
                <w:bCs w:val="1"/>
                <w:color w:val="auto"/>
                <w:w w:val="93"/>
              </w:rPr>
              <w:t>Voting</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Common</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gridSpan w:val="5"/>
          </w:tcPr>
          <w:p>
            <w:pPr>
              <w:jc w:val="right"/>
              <w:ind w:right="620"/>
              <w:spacing w:after="0" w:line="122" w:lineRule="exact"/>
              <w:rPr>
                <w:sz w:val="20"/>
                <w:szCs w:val="20"/>
                <w:color w:val="auto"/>
              </w:rPr>
            </w:pPr>
            <w:r>
              <w:rPr>
                <w:rFonts w:ascii="Arial" w:cs="Arial" w:eastAsia="Arial" w:hAnsi="Arial"/>
                <w:sz w:val="11"/>
                <w:szCs w:val="11"/>
                <w:b w:val="1"/>
                <w:bCs w:val="1"/>
                <w:color w:val="auto"/>
              </w:rPr>
              <w:t>Treasury Voting</w:t>
            </w:r>
          </w:p>
        </w:tc>
        <w:tc>
          <w:tcPr>
            <w:tcW w:w="88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118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8"/>
        </w:trPr>
        <w:tc>
          <w:tcPr>
            <w:tcW w:w="16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260" w:type="dxa"/>
            <w:vAlign w:val="bottom"/>
          </w:tcPr>
          <w:p>
            <w:pPr>
              <w:spacing w:after="0"/>
              <w:rPr>
                <w:sz w:val="12"/>
                <w:szCs w:val="12"/>
                <w:color w:val="auto"/>
              </w:rPr>
            </w:pPr>
          </w:p>
        </w:tc>
        <w:tc>
          <w:tcPr>
            <w:tcW w:w="880" w:type="dxa"/>
            <w:vAlign w:val="bottom"/>
            <w:gridSpan w:val="2"/>
          </w:tcPr>
          <w:p>
            <w:pPr>
              <w:jc w:val="center"/>
              <w:ind w:left="526"/>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Paid-In</w:t>
            </w:r>
          </w:p>
        </w:tc>
        <w:tc>
          <w:tcPr>
            <w:tcW w:w="10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Income</w:t>
            </w:r>
          </w:p>
        </w:tc>
        <w:tc>
          <w:tcPr>
            <w:tcW w:w="10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1"/>
              </w:rPr>
              <w:t>Amount</w:t>
            </w:r>
          </w:p>
        </w:tc>
        <w:tc>
          <w:tcPr>
            <w:tcW w:w="2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8"/>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(Loss)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rPr>
              <w:t>Deficit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640" w:type="dxa"/>
            <w:vAlign w:val="bottom"/>
            <w:tcBorders>
              <w:right w:val="single" w:sz="8" w:color="auto"/>
            </w:tcBorders>
            <w:shd w:val="clear" w:color="auto" w:fill="CFF0FC"/>
          </w:tcPr>
          <w:p>
            <w:pPr>
              <w:ind w:left="20"/>
              <w:spacing w:after="0" w:line="113" w:lineRule="exact"/>
              <w:rPr>
                <w:sz w:val="20"/>
                <w:szCs w:val="20"/>
                <w:color w:val="auto"/>
              </w:rPr>
            </w:pPr>
            <w:r>
              <w:rPr>
                <w:rFonts w:ascii="Arial" w:cs="Arial" w:eastAsia="Arial" w:hAnsi="Arial"/>
                <w:sz w:val="11"/>
                <w:szCs w:val="11"/>
                <w:b w:val="1"/>
                <w:bCs w:val="1"/>
                <w:color w:val="auto"/>
              </w:rPr>
              <w:t>Balances at March 31,</w:t>
            </w: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1"/>
                <w:szCs w:val="11"/>
                <w:color w:val="auto"/>
              </w:rPr>
              <w:t>1,873,32</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2023</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111,042,997</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(2,317,722 )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662,067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(2,279 )</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(168,887 )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490,164</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stock options</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942,945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3,900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243,248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6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Foreign currency</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2,449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2,449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Stock-based</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compensation</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11,376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11,376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loss</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(16,813 )</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(16,813 )</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shd w:val="clear" w:color="auto" w:fill="CFF0FC"/>
          </w:tcPr>
          <w:p>
            <w:pPr>
              <w:ind w:left="20"/>
              <w:spacing w:after="0" w:line="122" w:lineRule="exact"/>
              <w:rPr>
                <w:sz w:val="20"/>
                <w:szCs w:val="20"/>
                <w:color w:val="auto"/>
              </w:rPr>
            </w:pPr>
            <w:r>
              <w:rPr>
                <w:rFonts w:ascii="Arial" w:cs="Arial" w:eastAsia="Arial" w:hAnsi="Arial"/>
                <w:sz w:val="11"/>
                <w:szCs w:val="11"/>
                <w:b w:val="1"/>
                <w:bCs w:val="1"/>
                <w:color w:val="auto"/>
              </w:rPr>
              <w:t>Balances at June 30, 2023</w:t>
            </w:r>
          </w:p>
        </w:tc>
        <w:tc>
          <w:tcPr>
            <w:tcW w:w="100" w:type="dxa"/>
            <w:vAlign w:val="bottom"/>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1,873,32</w:t>
            </w: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112,229,190</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(2,317,722 )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677,343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w:t>
            </w: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(185,700 )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491,076</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240" w:type="dxa"/>
            <w:vAlign w:val="bottom"/>
          </w:tcPr>
          <w:p>
            <w:pPr>
              <w:spacing w:after="0"/>
              <w:rPr>
                <w:sz w:val="24"/>
                <w:szCs w:val="24"/>
                <w:color w:val="auto"/>
              </w:rPr>
            </w:pPr>
          </w:p>
        </w:tc>
        <w:tc>
          <w:tcPr>
            <w:tcW w:w="2660" w:type="dxa"/>
            <w:vAlign w:val="bottom"/>
            <w:gridSpan w:val="8"/>
          </w:tcPr>
          <w:p>
            <w:pPr>
              <w:jc w:val="right"/>
              <w:ind w:right="600"/>
              <w:spacing w:after="0"/>
              <w:rPr>
                <w:sz w:val="20"/>
                <w:szCs w:val="20"/>
                <w:color w:val="auto"/>
              </w:rPr>
            </w:pPr>
            <w:r>
              <w:rPr>
                <w:rFonts w:ascii="Arial" w:cs="Arial" w:eastAsia="Arial" w:hAnsi="Arial"/>
                <w:sz w:val="11"/>
                <w:szCs w:val="11"/>
                <w:b w:val="1"/>
                <w:bCs w:val="1"/>
                <w:color w:val="auto"/>
              </w:rPr>
              <w:t>Three Months Ended June 30, 2022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w w:val="95"/>
              </w:rPr>
              <w:t>Accumulated</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left="506"/>
              <w:spacing w:after="0" w:line="122" w:lineRule="exact"/>
              <w:rPr>
                <w:sz w:val="20"/>
                <w:szCs w:val="20"/>
                <w:color w:val="auto"/>
              </w:rPr>
            </w:pPr>
            <w:r>
              <w:rPr>
                <w:rFonts w:ascii="Arial" w:cs="Arial" w:eastAsia="Arial" w:hAnsi="Arial"/>
                <w:sz w:val="11"/>
                <w:szCs w:val="11"/>
                <w:b w:val="1"/>
                <w:bCs w:val="1"/>
                <w:color w:val="auto"/>
                <w:w w:val="93"/>
              </w:rPr>
              <w:t>Voting</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Common</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80" w:type="dxa"/>
            <w:vAlign w:val="bottom"/>
            <w:gridSpan w:val="5"/>
          </w:tcPr>
          <w:p>
            <w:pPr>
              <w:jc w:val="right"/>
              <w:ind w:right="620"/>
              <w:spacing w:after="0" w:line="122" w:lineRule="exact"/>
              <w:rPr>
                <w:sz w:val="20"/>
                <w:szCs w:val="20"/>
                <w:color w:val="auto"/>
              </w:rPr>
            </w:pPr>
            <w:r>
              <w:rPr>
                <w:rFonts w:ascii="Arial" w:cs="Arial" w:eastAsia="Arial" w:hAnsi="Arial"/>
                <w:sz w:val="11"/>
                <w:szCs w:val="11"/>
                <w:b w:val="1"/>
                <w:bCs w:val="1"/>
                <w:color w:val="auto"/>
              </w:rPr>
              <w:t>Treasury Voting</w:t>
            </w:r>
          </w:p>
        </w:tc>
        <w:tc>
          <w:tcPr>
            <w:tcW w:w="88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rPr>
                <w:sz w:val="10"/>
                <w:szCs w:val="10"/>
                <w:color w:val="auto"/>
              </w:rPr>
            </w:pPr>
          </w:p>
        </w:tc>
        <w:tc>
          <w:tcPr>
            <w:tcW w:w="1080" w:type="dxa"/>
            <w:vAlign w:val="bottom"/>
            <w:gridSpan w:val="2"/>
          </w:tcPr>
          <w:p>
            <w:pPr>
              <w:jc w:val="center"/>
              <w:ind w:right="340"/>
              <w:spacing w:after="0" w:line="122" w:lineRule="exact"/>
              <w:rPr>
                <w:sz w:val="20"/>
                <w:szCs w:val="20"/>
                <w:color w:val="auto"/>
              </w:rPr>
            </w:pPr>
            <w:r>
              <w:rPr>
                <w:rFonts w:ascii="Arial" w:cs="Arial" w:eastAsia="Arial" w:hAnsi="Arial"/>
                <w:sz w:val="11"/>
                <w:szCs w:val="11"/>
                <w:b w:val="1"/>
                <w:bCs w:val="1"/>
                <w:color w:val="auto"/>
              </w:rPr>
              <w:t>Other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8"/>
        </w:trPr>
        <w:tc>
          <w:tcPr>
            <w:tcW w:w="16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260" w:type="dxa"/>
            <w:vAlign w:val="bottom"/>
          </w:tcPr>
          <w:p>
            <w:pPr>
              <w:spacing w:after="0"/>
              <w:rPr>
                <w:sz w:val="12"/>
                <w:szCs w:val="12"/>
                <w:color w:val="auto"/>
              </w:rPr>
            </w:pPr>
          </w:p>
        </w:tc>
        <w:tc>
          <w:tcPr>
            <w:tcW w:w="880" w:type="dxa"/>
            <w:vAlign w:val="bottom"/>
            <w:gridSpan w:val="2"/>
          </w:tcPr>
          <w:p>
            <w:pPr>
              <w:jc w:val="center"/>
              <w:ind w:left="526"/>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Paid-In</w:t>
            </w:r>
          </w:p>
        </w:tc>
        <w:tc>
          <w:tcPr>
            <w:tcW w:w="118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9"/>
              </w:rPr>
              <w:t>Comprehensive</w:t>
            </w:r>
          </w:p>
        </w:tc>
        <w:tc>
          <w:tcPr>
            <w:tcW w:w="10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Stockholders’</w:t>
            </w: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1"/>
              </w:rPr>
              <w:t>Amount</w:t>
            </w:r>
          </w:p>
        </w:tc>
        <w:tc>
          <w:tcPr>
            <w:tcW w:w="2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6"/>
              </w:rPr>
              <w:t>Amount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8"/>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Loss</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rPr>
              <w:t>Deficit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640" w:type="dxa"/>
            <w:vAlign w:val="bottom"/>
            <w:tcBorders>
              <w:right w:val="single" w:sz="8" w:color="auto"/>
            </w:tcBorders>
            <w:shd w:val="clear" w:color="auto" w:fill="CFF0FC"/>
          </w:tcPr>
          <w:p>
            <w:pPr>
              <w:ind w:left="20"/>
              <w:spacing w:after="0" w:line="113" w:lineRule="exact"/>
              <w:rPr>
                <w:sz w:val="20"/>
                <w:szCs w:val="20"/>
                <w:color w:val="auto"/>
              </w:rPr>
            </w:pPr>
            <w:r>
              <w:rPr>
                <w:rFonts w:ascii="Arial" w:cs="Arial" w:eastAsia="Arial" w:hAnsi="Arial"/>
                <w:sz w:val="11"/>
                <w:szCs w:val="11"/>
                <w:b w:val="1"/>
                <w:bCs w:val="1"/>
                <w:color w:val="auto"/>
              </w:rPr>
              <w:t>Balances at March 31,</w:t>
            </w:r>
          </w:p>
        </w:tc>
        <w:tc>
          <w:tcPr>
            <w:tcW w:w="10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1"/>
                <w:szCs w:val="11"/>
                <w:color w:val="auto"/>
              </w:rPr>
              <w:t>5,988,37</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2022</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103,409,781</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(2,317,722 )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615,349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(489 )</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(136,006 )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478,117</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of stock options, net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shares withheld</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788,407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(175 )</w:t>
            </w: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(175 )</w:t>
            </w:r>
          </w:p>
        </w:tc>
        <w:tc>
          <w:tcPr>
            <w:tcW w:w="0" w:type="dxa"/>
            <w:vAlign w:val="bottom"/>
          </w:tcPr>
          <w:p>
            <w:pPr>
              <w:spacing w:after="0"/>
              <w:rPr>
                <w:sz w:val="1"/>
                <w:szCs w:val="1"/>
                <w:color w:val="auto"/>
              </w:rPr>
            </w:pPr>
          </w:p>
        </w:tc>
      </w:tr>
      <w:tr>
        <w:trPr>
          <w:trHeight w:val="128"/>
        </w:trPr>
        <w:tc>
          <w:tcPr>
            <w:tcW w:w="16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32,758</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64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Foreign currency</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0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1"/>
                <w:szCs w:val="11"/>
                <w:color w:val="auto"/>
              </w:rPr>
              <w:t>(45 )</w:t>
            </w:r>
          </w:p>
        </w:tc>
        <w:tc>
          <w:tcPr>
            <w:tcW w:w="16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28"/>
        </w:trPr>
        <w:tc>
          <w:tcPr>
            <w:tcW w:w="16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Stock-based</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compensation</w:t>
            </w: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4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8,437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8,437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loss</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(23,797 )</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(23,797 )</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shd w:val="clear" w:color="auto" w:fill="CFF0FC"/>
          </w:tcPr>
          <w:p>
            <w:pPr>
              <w:ind w:left="20"/>
              <w:spacing w:after="0" w:line="122" w:lineRule="exact"/>
              <w:rPr>
                <w:sz w:val="20"/>
                <w:szCs w:val="20"/>
                <w:color w:val="auto"/>
              </w:rPr>
            </w:pPr>
            <w:r>
              <w:rPr>
                <w:rFonts w:ascii="Arial" w:cs="Arial" w:eastAsia="Arial" w:hAnsi="Arial"/>
                <w:sz w:val="11"/>
                <w:szCs w:val="11"/>
                <w:b w:val="1"/>
                <w:bCs w:val="1"/>
                <w:color w:val="auto"/>
              </w:rPr>
              <w:t>Balances at June 30, 2022</w:t>
            </w:r>
          </w:p>
        </w:tc>
        <w:tc>
          <w:tcPr>
            <w:tcW w:w="100" w:type="dxa"/>
            <w:vAlign w:val="bottom"/>
            <w:shd w:val="clear" w:color="auto" w:fill="CFF0FC"/>
          </w:tcPr>
          <w:p>
            <w:pPr>
              <w:spacing w:after="0"/>
              <w:rPr>
                <w:sz w:val="10"/>
                <w:szCs w:val="10"/>
                <w:color w:val="auto"/>
              </w:rPr>
            </w:pPr>
          </w:p>
        </w:tc>
        <w:tc>
          <w:tcPr>
            <w:tcW w:w="7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spacing w:after="0" w:line="122" w:lineRule="exact"/>
              <w:rPr>
                <w:sz w:val="20"/>
                <w:szCs w:val="20"/>
                <w:color w:val="auto"/>
              </w:rPr>
            </w:pPr>
            <w:r>
              <w:rPr>
                <w:rFonts w:ascii="Arial" w:cs="Arial" w:eastAsia="Arial" w:hAnsi="Arial"/>
                <w:sz w:val="11"/>
                <w:szCs w:val="11"/>
                <w:color w:val="auto"/>
              </w:rPr>
              <w:t>5,988,37</w:t>
            </w: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104,230,946</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(2,317,722 )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623,611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(534 )</w:t>
            </w:r>
          </w:p>
        </w:tc>
        <w:tc>
          <w:tcPr>
            <w:tcW w:w="1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(159,803 )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462,537</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-2134235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-2134235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-2134235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-2134235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-2134235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-2134235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-2134235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-2134235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-2134235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-2134235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-7620</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-7620</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7"/>
          </w:tcPr>
          <w:p>
            <w:pPr>
              <w:jc w:val="right"/>
              <w:ind w:right="366"/>
              <w:spacing w:after="0"/>
              <w:rPr>
                <w:sz w:val="20"/>
                <w:szCs w:val="20"/>
                <w:color w:val="auto"/>
              </w:rPr>
            </w:pPr>
            <w:r>
              <w:rPr>
                <w:rFonts w:ascii="Arial" w:cs="Arial" w:eastAsia="Arial" w:hAnsi="Arial"/>
                <w:sz w:val="11"/>
                <w:szCs w:val="11"/>
                <w:b w:val="1"/>
                <w:bCs w:val="1"/>
                <w:color w:val="auto"/>
              </w:rPr>
              <w:t>Six Months Ended June 30, 2023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4"/>
              </w:rPr>
              <w:t>Non-Voting</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6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360"/>
              <w:spacing w:after="0" w:line="110"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left="506"/>
              <w:spacing w:after="0" w:line="122" w:lineRule="exact"/>
              <w:rPr>
                <w:sz w:val="20"/>
                <w:szCs w:val="20"/>
                <w:color w:val="auto"/>
              </w:rPr>
            </w:pPr>
            <w:r>
              <w:rPr>
                <w:rFonts w:ascii="Arial" w:cs="Arial" w:eastAsia="Arial" w:hAnsi="Arial"/>
                <w:sz w:val="11"/>
                <w:szCs w:val="11"/>
                <w:b w:val="1"/>
                <w:bCs w:val="1"/>
                <w:color w:val="auto"/>
                <w:w w:val="99"/>
              </w:rPr>
              <w:t>Voting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Common</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gridSpan w:val="5"/>
          </w:tcPr>
          <w:p>
            <w:pPr>
              <w:jc w:val="right"/>
              <w:ind w:right="640"/>
              <w:spacing w:after="0" w:line="122" w:lineRule="exact"/>
              <w:rPr>
                <w:sz w:val="20"/>
                <w:szCs w:val="20"/>
                <w:color w:val="auto"/>
              </w:rPr>
            </w:pPr>
            <w:r>
              <w:rPr>
                <w:rFonts w:ascii="Arial" w:cs="Arial" w:eastAsia="Arial" w:hAnsi="Arial"/>
                <w:sz w:val="11"/>
                <w:szCs w:val="11"/>
                <w:b w:val="1"/>
                <w:bCs w:val="1"/>
                <w:color w:val="auto"/>
              </w:rPr>
              <w:t>Treasury Voting</w:t>
            </w:r>
          </w:p>
        </w:tc>
        <w:tc>
          <w:tcPr>
            <w:tcW w:w="6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10"/>
                <w:szCs w:val="10"/>
                <w:color w:val="auto"/>
              </w:rPr>
            </w:pPr>
          </w:p>
        </w:tc>
        <w:tc>
          <w:tcPr>
            <w:tcW w:w="118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8"/>
        </w:trPr>
        <w:tc>
          <w:tcPr>
            <w:tcW w:w="16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240" w:type="dxa"/>
            <w:vAlign w:val="bottom"/>
          </w:tcPr>
          <w:p>
            <w:pPr>
              <w:spacing w:after="0"/>
              <w:rPr>
                <w:sz w:val="12"/>
                <w:szCs w:val="12"/>
                <w:color w:val="auto"/>
              </w:rPr>
            </w:pPr>
          </w:p>
        </w:tc>
        <w:tc>
          <w:tcPr>
            <w:tcW w:w="880" w:type="dxa"/>
            <w:vAlign w:val="bottom"/>
            <w:gridSpan w:val="2"/>
          </w:tcPr>
          <w:p>
            <w:pPr>
              <w:jc w:val="center"/>
              <w:ind w:left="506"/>
              <w:spacing w:after="0"/>
              <w:rPr>
                <w:sz w:val="20"/>
                <w:szCs w:val="20"/>
                <w:color w:val="auto"/>
              </w:rPr>
            </w:pPr>
            <w:r>
              <w:rPr>
                <w:rFonts w:ascii="Arial" w:cs="Arial" w:eastAsia="Arial" w:hAnsi="Arial"/>
                <w:sz w:val="11"/>
                <w:szCs w:val="11"/>
                <w:b w:val="1"/>
                <w:bCs w:val="1"/>
                <w:color w:val="auto"/>
                <w:w w:val="93"/>
              </w:rPr>
              <w:t>Stock</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52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Paid-In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Income</w:t>
            </w:r>
          </w:p>
        </w:tc>
        <w:tc>
          <w:tcPr>
            <w:tcW w:w="10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142"/>
        </w:trPr>
        <w:tc>
          <w:tcPr>
            <w:tcW w:w="16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1"/>
              </w:rPr>
              <w:t>Amount</w:t>
            </w:r>
          </w:p>
        </w:tc>
        <w:tc>
          <w:tcPr>
            <w:tcW w:w="2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2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6"/>
              </w:rPr>
              <w:t>Amount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8"/>
              </w:rPr>
              <w:t>Capital</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6"/>
              </w:rPr>
              <w:t>(Loss)</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Deficit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620" w:type="dxa"/>
            <w:vAlign w:val="bottom"/>
            <w:tcBorders>
              <w:right w:val="single" w:sz="8" w:color="auto"/>
            </w:tcBorders>
            <w:shd w:val="clear" w:color="auto" w:fill="CFF0FC"/>
          </w:tcPr>
          <w:p>
            <w:pPr>
              <w:ind w:left="20"/>
              <w:spacing w:after="0" w:line="113" w:lineRule="exact"/>
              <w:rPr>
                <w:sz w:val="20"/>
                <w:szCs w:val="20"/>
                <w:color w:val="auto"/>
              </w:rPr>
            </w:pPr>
            <w:r>
              <w:rPr>
                <w:rFonts w:ascii="Arial" w:cs="Arial" w:eastAsia="Arial" w:hAnsi="Arial"/>
                <w:sz w:val="11"/>
                <w:szCs w:val="11"/>
                <w:b w:val="1"/>
                <w:bCs w:val="1"/>
                <w:color w:val="auto"/>
              </w:rPr>
              <w:t>Balances at</w:t>
            </w:r>
          </w:p>
        </w:tc>
        <w:tc>
          <w:tcPr>
            <w:tcW w:w="120" w:type="dxa"/>
            <w:vAlign w:val="bottom"/>
            <w:shd w:val="clear" w:color="auto" w:fill="CFF0FC"/>
          </w:tcPr>
          <w:p>
            <w:pPr>
              <w:spacing w:after="0"/>
              <w:rPr>
                <w:sz w:val="9"/>
                <w:szCs w:val="9"/>
                <w:color w:val="auto"/>
              </w:rPr>
            </w:pPr>
          </w:p>
        </w:tc>
        <w:tc>
          <w:tcPr>
            <w:tcW w:w="780" w:type="dxa"/>
            <w:vAlign w:val="bottom"/>
            <w:tcBorders>
              <w:right w:val="single" w:sz="8" w:color="CFF0FC"/>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86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1"/>
                <w:szCs w:val="11"/>
                <w:color w:val="auto"/>
              </w:rPr>
              <w:t>1,873,32</w:t>
            </w:r>
          </w:p>
        </w:tc>
        <w:tc>
          <w:tcPr>
            <w:tcW w:w="26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 2022</w:t>
            </w:r>
          </w:p>
        </w:tc>
        <w:tc>
          <w:tcPr>
            <w:tcW w:w="12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109,790,702</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8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(2,317,722 )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649,756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(1,912 )</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(165,204 )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481,903</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of stock options</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1,533,199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6,044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6,044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821,725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6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under employee</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stock purchase plan</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55,232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864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864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for retention</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bonus</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28,332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6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Foreign currency</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2,082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2,082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Stock-based</w:t>
            </w: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compensation</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19,979</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19,979</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(20,496 )</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(20,496 )</w:t>
            </w:r>
          </w:p>
        </w:tc>
        <w:tc>
          <w:tcPr>
            <w:tcW w:w="0" w:type="dxa"/>
            <w:vAlign w:val="bottom"/>
          </w:tcPr>
          <w:p>
            <w:pPr>
              <w:spacing w:after="0"/>
              <w:rPr>
                <w:sz w:val="1"/>
                <w:szCs w:val="1"/>
                <w:color w:val="auto"/>
              </w:rPr>
            </w:pPr>
          </w:p>
        </w:tc>
      </w:tr>
      <w:tr>
        <w:trPr>
          <w:trHeight w:val="118"/>
        </w:trPr>
        <w:tc>
          <w:tcPr>
            <w:tcW w:w="1620" w:type="dxa"/>
            <w:vAlign w:val="bottom"/>
            <w:tcBorders>
              <w:right w:val="single" w:sz="8" w:color="auto"/>
            </w:tcBorders>
            <w:shd w:val="clear" w:color="auto" w:fill="CFF0FC"/>
          </w:tcPr>
          <w:p>
            <w:pPr>
              <w:ind w:left="20"/>
              <w:spacing w:after="0" w:line="117" w:lineRule="exact"/>
              <w:rPr>
                <w:sz w:val="20"/>
                <w:szCs w:val="20"/>
                <w:color w:val="auto"/>
              </w:rPr>
            </w:pPr>
            <w:r>
              <w:rPr>
                <w:rFonts w:ascii="Arial" w:cs="Arial" w:eastAsia="Arial" w:hAnsi="Arial"/>
                <w:sz w:val="11"/>
                <w:szCs w:val="11"/>
                <w:b w:val="1"/>
                <w:bCs w:val="1"/>
                <w:color w:val="auto"/>
              </w:rPr>
              <w:t>Balances at June 30,</w:t>
            </w:r>
          </w:p>
        </w:tc>
        <w:tc>
          <w:tcPr>
            <w:tcW w:w="120" w:type="dxa"/>
            <w:vAlign w:val="bottom"/>
            <w:shd w:val="clear" w:color="auto" w:fill="CFF0FC"/>
          </w:tcPr>
          <w:p>
            <w:pPr>
              <w:spacing w:after="0"/>
              <w:rPr>
                <w:sz w:val="10"/>
                <w:szCs w:val="10"/>
                <w:color w:val="auto"/>
              </w:rPr>
            </w:pPr>
          </w:p>
        </w:tc>
        <w:tc>
          <w:tcPr>
            <w:tcW w:w="780" w:type="dxa"/>
            <w:vAlign w:val="bottom"/>
            <w:tcBorders>
              <w:top w:val="single" w:sz="8" w:color="auto"/>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7" w:lineRule="exact"/>
              <w:rPr>
                <w:sz w:val="20"/>
                <w:szCs w:val="20"/>
                <w:color w:val="auto"/>
              </w:rPr>
            </w:pPr>
            <w:r>
              <w:rPr>
                <w:rFonts w:ascii="Arial" w:cs="Arial" w:eastAsia="Arial" w:hAnsi="Arial"/>
                <w:sz w:val="11"/>
                <w:szCs w:val="11"/>
                <w:color w:val="auto"/>
              </w:rPr>
              <w:t>1,873,32</w:t>
            </w:r>
          </w:p>
        </w:tc>
        <w:tc>
          <w:tcPr>
            <w:tcW w:w="260" w:type="dxa"/>
            <w:vAlign w:val="bottom"/>
            <w:tcBorders>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2023</w:t>
            </w:r>
          </w:p>
        </w:tc>
        <w:tc>
          <w:tcPr>
            <w:tcW w:w="12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112,229,190</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(2,317,722 )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677,343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(185,700 )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491,076</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4"/>
            <w:vMerge w:val="restart"/>
          </w:tcPr>
          <w:p>
            <w:pPr>
              <w:jc w:val="center"/>
              <w:spacing w:after="0"/>
              <w:rPr>
                <w:sz w:val="20"/>
                <w:szCs w:val="20"/>
                <w:color w:val="auto"/>
              </w:rPr>
            </w:pPr>
            <w:r>
              <w:rPr>
                <w:rFonts w:ascii="Arial" w:cs="Arial" w:eastAsia="Arial" w:hAnsi="Arial"/>
                <w:sz w:val="11"/>
                <w:szCs w:val="11"/>
                <w:b w:val="1"/>
                <w:bCs w:val="1"/>
                <w:color w:val="auto"/>
                <w:w w:val="97"/>
              </w:rPr>
              <w:t>Non-Voting</w:t>
            </w:r>
          </w:p>
        </w:tc>
        <w:tc>
          <w:tcPr>
            <w:tcW w:w="260" w:type="dxa"/>
            <w:vAlign w:val="bottom"/>
          </w:tcPr>
          <w:p>
            <w:pPr>
              <w:spacing w:after="0"/>
              <w:rPr>
                <w:sz w:val="22"/>
                <w:szCs w:val="22"/>
                <w:color w:val="auto"/>
              </w:rPr>
            </w:pPr>
          </w:p>
        </w:tc>
        <w:tc>
          <w:tcPr>
            <w:tcW w:w="2400" w:type="dxa"/>
            <w:vAlign w:val="bottom"/>
            <w:gridSpan w:val="7"/>
          </w:tcPr>
          <w:p>
            <w:pPr>
              <w:jc w:val="right"/>
              <w:ind w:right="366"/>
              <w:spacing w:after="0"/>
              <w:rPr>
                <w:sz w:val="20"/>
                <w:szCs w:val="20"/>
                <w:color w:val="auto"/>
              </w:rPr>
            </w:pPr>
            <w:r>
              <w:rPr>
                <w:rFonts w:ascii="Arial" w:cs="Arial" w:eastAsia="Arial" w:hAnsi="Arial"/>
                <w:sz w:val="11"/>
                <w:szCs w:val="11"/>
                <w:b w:val="1"/>
                <w:bCs w:val="1"/>
                <w:color w:val="auto"/>
              </w:rPr>
              <w:t>Six Months Ended June 30, 2022</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left="506"/>
              <w:spacing w:after="0" w:line="122" w:lineRule="exact"/>
              <w:rPr>
                <w:sz w:val="20"/>
                <w:szCs w:val="20"/>
                <w:color w:val="auto"/>
              </w:rPr>
            </w:pPr>
            <w:r>
              <w:rPr>
                <w:rFonts w:ascii="Arial" w:cs="Arial" w:eastAsia="Arial" w:hAnsi="Arial"/>
                <w:sz w:val="11"/>
                <w:szCs w:val="11"/>
                <w:b w:val="1"/>
                <w:bCs w:val="1"/>
                <w:color w:val="auto"/>
                <w:w w:val="99"/>
              </w:rPr>
              <w:t>Voting</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3"/>
          </w:tcPr>
          <w:p>
            <w:pPr>
              <w:jc w:val="right"/>
              <w:spacing w:after="0" w:line="122" w:lineRule="exact"/>
              <w:rPr>
                <w:sz w:val="20"/>
                <w:szCs w:val="20"/>
                <w:color w:val="auto"/>
              </w:rPr>
            </w:pPr>
            <w:r>
              <w:rPr>
                <w:rFonts w:ascii="Arial" w:cs="Arial" w:eastAsia="Arial" w:hAnsi="Arial"/>
                <w:sz w:val="11"/>
                <w:szCs w:val="11"/>
                <w:b w:val="1"/>
                <w:bCs w:val="1"/>
                <w:color w:val="auto"/>
              </w:rPr>
              <w:t>Common</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gridSpan w:val="5"/>
          </w:tcPr>
          <w:p>
            <w:pPr>
              <w:jc w:val="right"/>
              <w:ind w:right="640"/>
              <w:spacing w:after="0" w:line="122" w:lineRule="exact"/>
              <w:rPr>
                <w:sz w:val="20"/>
                <w:szCs w:val="20"/>
                <w:color w:val="auto"/>
              </w:rPr>
            </w:pPr>
            <w:r>
              <w:rPr>
                <w:rFonts w:ascii="Arial" w:cs="Arial" w:eastAsia="Arial" w:hAnsi="Arial"/>
                <w:sz w:val="11"/>
                <w:szCs w:val="11"/>
                <w:b w:val="1"/>
                <w:bCs w:val="1"/>
                <w:color w:val="auto"/>
              </w:rPr>
              <w:t>Treasury Voting</w:t>
            </w:r>
          </w:p>
        </w:tc>
        <w:tc>
          <w:tcPr>
            <w:tcW w:w="6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rPr>
              <w:t>Additional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48"/>
        </w:trPr>
        <w:tc>
          <w:tcPr>
            <w:tcW w:w="16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spacing w:after="0"/>
              <w:rPr>
                <w:sz w:val="20"/>
                <w:szCs w:val="20"/>
                <w:color w:val="auto"/>
              </w:rPr>
            </w:pPr>
            <w:r>
              <w:rPr>
                <w:rFonts w:ascii="Arial" w:cs="Arial" w:eastAsia="Arial" w:hAnsi="Arial"/>
                <w:sz w:val="11"/>
                <w:szCs w:val="11"/>
                <w:b w:val="1"/>
                <w:bCs w:val="1"/>
                <w:color w:val="auto"/>
                <w:w w:val="96"/>
              </w:rPr>
              <w:t>Common Stock</w:t>
            </w:r>
          </w:p>
        </w:tc>
        <w:tc>
          <w:tcPr>
            <w:tcW w:w="240" w:type="dxa"/>
            <w:vAlign w:val="bottom"/>
          </w:tcPr>
          <w:p>
            <w:pPr>
              <w:spacing w:after="0"/>
              <w:rPr>
                <w:sz w:val="12"/>
                <w:szCs w:val="12"/>
                <w:color w:val="auto"/>
              </w:rPr>
            </w:pPr>
          </w:p>
        </w:tc>
        <w:tc>
          <w:tcPr>
            <w:tcW w:w="880" w:type="dxa"/>
            <w:vAlign w:val="bottom"/>
            <w:gridSpan w:val="2"/>
          </w:tcPr>
          <w:p>
            <w:pPr>
              <w:jc w:val="center"/>
              <w:ind w:left="486"/>
              <w:spacing w:after="0"/>
              <w:rPr>
                <w:sz w:val="20"/>
                <w:szCs w:val="20"/>
                <w:color w:val="auto"/>
              </w:rPr>
            </w:pPr>
            <w:r>
              <w:rPr>
                <w:rFonts w:ascii="Arial" w:cs="Arial" w:eastAsia="Arial" w:hAnsi="Arial"/>
                <w:sz w:val="11"/>
                <w:szCs w:val="11"/>
                <w:b w:val="1"/>
                <w:bCs w:val="1"/>
                <w:color w:val="auto"/>
                <w:w w:val="99"/>
              </w:rPr>
              <w:t>Stock</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gridSpan w:val="5"/>
          </w:tcPr>
          <w:p>
            <w:pPr>
              <w:jc w:val="right"/>
              <w:ind w:right="64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2"/>
                <w:szCs w:val="12"/>
                <w:color w:val="auto"/>
              </w:rPr>
            </w:pPr>
          </w:p>
        </w:tc>
        <w:tc>
          <w:tcPr>
            <w:tcW w:w="52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Paid-In</w:t>
            </w:r>
          </w:p>
        </w:tc>
        <w:tc>
          <w:tcPr>
            <w:tcW w:w="260" w:type="dxa"/>
            <w:vAlign w:val="bottom"/>
          </w:tcPr>
          <w:p>
            <w:pPr>
              <w:spacing w:after="0"/>
              <w:rPr>
                <w:sz w:val="12"/>
                <w:szCs w:val="12"/>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1"/>
                <w:szCs w:val="11"/>
                <w:b w:val="1"/>
                <w:bCs w:val="1"/>
                <w:color w:val="auto"/>
                <w:w w:val="96"/>
              </w:rPr>
              <w:t>Comprehensive</w:t>
            </w:r>
          </w:p>
        </w:tc>
        <w:tc>
          <w:tcPr>
            <w:tcW w:w="104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142"/>
        </w:trPr>
        <w:tc>
          <w:tcPr>
            <w:tcW w:w="16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1"/>
              </w:rPr>
              <w:t>Amount</w:t>
            </w:r>
          </w:p>
        </w:tc>
        <w:tc>
          <w:tcPr>
            <w:tcW w:w="2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2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6"/>
              </w:rPr>
              <w:t>Amount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8"/>
              </w:rPr>
              <w:t>Capital</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rPr>
              <w:t>Loss</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rPr>
              <w:t>Deficit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620" w:type="dxa"/>
            <w:vAlign w:val="bottom"/>
            <w:tcBorders>
              <w:right w:val="single" w:sz="8" w:color="auto"/>
            </w:tcBorders>
            <w:shd w:val="clear" w:color="auto" w:fill="CFF0FC"/>
          </w:tcPr>
          <w:p>
            <w:pPr>
              <w:ind w:left="20"/>
              <w:spacing w:after="0" w:line="113" w:lineRule="exact"/>
              <w:rPr>
                <w:sz w:val="20"/>
                <w:szCs w:val="20"/>
                <w:color w:val="auto"/>
              </w:rPr>
            </w:pPr>
            <w:r>
              <w:rPr>
                <w:rFonts w:ascii="Arial" w:cs="Arial" w:eastAsia="Arial" w:hAnsi="Arial"/>
                <w:sz w:val="11"/>
                <w:szCs w:val="11"/>
                <w:b w:val="1"/>
                <w:bCs w:val="1"/>
                <w:color w:val="auto"/>
              </w:rPr>
              <w:t>Balances at</w:t>
            </w:r>
          </w:p>
        </w:tc>
        <w:tc>
          <w:tcPr>
            <w:tcW w:w="120" w:type="dxa"/>
            <w:vAlign w:val="bottom"/>
            <w:shd w:val="clear" w:color="auto" w:fill="CFF0FC"/>
          </w:tcPr>
          <w:p>
            <w:pPr>
              <w:spacing w:after="0"/>
              <w:rPr>
                <w:sz w:val="9"/>
                <w:szCs w:val="9"/>
                <w:color w:val="auto"/>
              </w:rPr>
            </w:pPr>
          </w:p>
        </w:tc>
        <w:tc>
          <w:tcPr>
            <w:tcW w:w="780" w:type="dxa"/>
            <w:vAlign w:val="bottom"/>
            <w:tcBorders>
              <w:right w:val="single" w:sz="8" w:color="CFF0FC"/>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tcBorders>
              <w:right w:val="single" w:sz="8" w:color="CFF0FC"/>
            </w:tcBorders>
            <w:shd w:val="clear" w:color="auto" w:fill="CFF0FC"/>
          </w:tcPr>
          <w:p>
            <w:pPr>
              <w:spacing w:after="0"/>
              <w:rPr>
                <w:sz w:val="9"/>
                <w:szCs w:val="9"/>
                <w:color w:val="auto"/>
              </w:rPr>
            </w:pPr>
          </w:p>
        </w:tc>
        <w:tc>
          <w:tcPr>
            <w:tcW w:w="860" w:type="dxa"/>
            <w:vAlign w:val="bottom"/>
            <w:gridSpan w:val="2"/>
            <w:shd w:val="clear" w:color="auto" w:fill="CFF0FC"/>
          </w:tcPr>
          <w:p>
            <w:pPr>
              <w:jc w:val="right"/>
              <w:spacing w:after="0" w:line="113" w:lineRule="exact"/>
              <w:rPr>
                <w:sz w:val="20"/>
                <w:szCs w:val="20"/>
                <w:color w:val="auto"/>
              </w:rPr>
            </w:pPr>
            <w:r>
              <w:rPr>
                <w:rFonts w:ascii="Arial" w:cs="Arial" w:eastAsia="Arial" w:hAnsi="Arial"/>
                <w:sz w:val="11"/>
                <w:szCs w:val="11"/>
                <w:color w:val="auto"/>
              </w:rPr>
              <w:t>5,988,37</w:t>
            </w:r>
          </w:p>
        </w:tc>
        <w:tc>
          <w:tcPr>
            <w:tcW w:w="26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60" w:type="dxa"/>
            <w:vAlign w:val="bottom"/>
            <w:tcBorders>
              <w:right w:val="single" w:sz="8" w:color="CFF0FC"/>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b w:val="1"/>
                <w:bCs w:val="1"/>
                <w:color w:val="auto"/>
              </w:rPr>
              <w:t>December 31, 2021</w:t>
            </w:r>
          </w:p>
        </w:tc>
        <w:tc>
          <w:tcPr>
            <w:tcW w:w="12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102,771,899</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18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(2,317,722 )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609,194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(399 )</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(125,857 )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482,201</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Issuance of common</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stock upon exercise</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of stock options,</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tcPr>
          <w:p>
            <w:pPr>
              <w:ind w:left="120"/>
              <w:spacing w:after="0" w:line="122" w:lineRule="exact"/>
              <w:rPr>
                <w:sz w:val="20"/>
                <w:szCs w:val="20"/>
                <w:color w:val="auto"/>
              </w:rPr>
            </w:pPr>
            <w:r>
              <w:rPr>
                <w:rFonts w:ascii="Arial" w:cs="Arial" w:eastAsia="Arial" w:hAnsi="Arial"/>
                <w:sz w:val="11"/>
                <w:szCs w:val="11"/>
                <w:color w:val="auto"/>
              </w:rPr>
              <w:t>net of shares</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withheld</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1,405,685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485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485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Issuance of common</w:t>
            </w: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stock upon settlement</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of restricted stock</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units</w:t>
            </w:r>
          </w:p>
        </w:tc>
        <w:tc>
          <w:tcPr>
            <w:tcW w:w="120" w:type="dxa"/>
            <w:vAlign w:val="bottom"/>
            <w:shd w:val="clear" w:color="auto" w:fill="CFF0FC"/>
          </w:tcPr>
          <w:p>
            <w:pPr>
              <w:spacing w:after="0"/>
              <w:rPr>
                <w:sz w:val="12"/>
                <w:szCs w:val="12"/>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53,362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162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Foreign currency</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translation adjustment</w:t>
            </w:r>
          </w:p>
        </w:tc>
        <w:tc>
          <w:tcPr>
            <w:tcW w:w="12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1"/>
                <w:szCs w:val="11"/>
                <w:color w:val="auto"/>
              </w:rPr>
              <w:t>(135 )</w:t>
            </w:r>
          </w:p>
        </w:tc>
        <w:tc>
          <w:tcPr>
            <w:tcW w:w="14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(135 )</w:t>
            </w:r>
          </w:p>
        </w:tc>
        <w:tc>
          <w:tcPr>
            <w:tcW w:w="0" w:type="dxa"/>
            <w:vAlign w:val="bottom"/>
          </w:tcPr>
          <w:p>
            <w:pPr>
              <w:spacing w:after="0"/>
              <w:rPr>
                <w:sz w:val="1"/>
                <w:szCs w:val="1"/>
                <w:color w:val="auto"/>
              </w:rPr>
            </w:pPr>
          </w:p>
        </w:tc>
      </w:tr>
      <w:tr>
        <w:trPr>
          <w:trHeight w:val="128"/>
        </w:trPr>
        <w:tc>
          <w:tcPr>
            <w:tcW w:w="1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Stock-based</w:t>
            </w:r>
          </w:p>
        </w:tc>
        <w:tc>
          <w:tcPr>
            <w:tcW w:w="120" w:type="dxa"/>
            <w:vAlign w:val="bottom"/>
            <w:shd w:val="clear" w:color="auto" w:fill="CFF0FC"/>
          </w:tcPr>
          <w:p>
            <w:pPr>
              <w:spacing w:after="0"/>
              <w:rPr>
                <w:sz w:val="11"/>
                <w:szCs w:val="11"/>
                <w:color w:val="auto"/>
              </w:rPr>
            </w:pPr>
          </w:p>
        </w:tc>
        <w:tc>
          <w:tcPr>
            <w:tcW w:w="78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tcBorders>
              <w:right w:val="single" w:sz="8" w:color="CFF0FC"/>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20" w:type="dxa"/>
            <w:vAlign w:val="bottom"/>
            <w:tcBorders>
              <w:right w:val="single" w:sz="8" w:color="auto"/>
            </w:tcBorders>
            <w:shd w:val="clear" w:color="auto" w:fill="CFF0FC"/>
          </w:tcPr>
          <w:p>
            <w:pPr>
              <w:ind w:left="120"/>
              <w:spacing w:after="0" w:line="122" w:lineRule="exact"/>
              <w:rPr>
                <w:sz w:val="20"/>
                <w:szCs w:val="20"/>
                <w:color w:val="auto"/>
              </w:rPr>
            </w:pPr>
            <w:r>
              <w:rPr>
                <w:rFonts w:ascii="Arial" w:cs="Arial" w:eastAsia="Arial" w:hAnsi="Arial"/>
                <w:sz w:val="11"/>
                <w:szCs w:val="11"/>
                <w:color w:val="auto"/>
              </w:rPr>
              <w:t>compensation</w:t>
            </w:r>
          </w:p>
        </w:tc>
        <w:tc>
          <w:tcPr>
            <w:tcW w:w="120" w:type="dxa"/>
            <w:vAlign w:val="bottom"/>
            <w:shd w:val="clear" w:color="auto" w:fill="CFF0FC"/>
          </w:tcPr>
          <w:p>
            <w:pPr>
              <w:spacing w:after="0"/>
              <w:rPr>
                <w:sz w:val="10"/>
                <w:szCs w:val="10"/>
                <w:color w:val="auto"/>
              </w:rPr>
            </w:pPr>
          </w:p>
        </w:tc>
        <w:tc>
          <w:tcPr>
            <w:tcW w:w="78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tcBorders>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62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1"/>
                <w:szCs w:val="11"/>
                <w:color w:val="auto"/>
              </w:rPr>
              <w:t>expense</w:t>
            </w:r>
          </w:p>
        </w:tc>
        <w:tc>
          <w:tcPr>
            <w:tcW w:w="1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13,932</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13,932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Net loss</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1"/>
                <w:szCs w:val="11"/>
                <w:color w:val="auto"/>
              </w:rPr>
              <w:t>(33,946 )</w:t>
            </w:r>
          </w:p>
        </w:tc>
        <w:tc>
          <w:tcPr>
            <w:tcW w:w="1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(33,946 )</w:t>
            </w:r>
          </w:p>
        </w:tc>
        <w:tc>
          <w:tcPr>
            <w:tcW w:w="0" w:type="dxa"/>
            <w:vAlign w:val="bottom"/>
          </w:tcPr>
          <w:p>
            <w:pPr>
              <w:spacing w:after="0"/>
              <w:rPr>
                <w:sz w:val="1"/>
                <w:szCs w:val="1"/>
                <w:color w:val="auto"/>
              </w:rPr>
            </w:pPr>
          </w:p>
        </w:tc>
      </w:tr>
      <w:tr>
        <w:trPr>
          <w:trHeight w:val="118"/>
        </w:trPr>
        <w:tc>
          <w:tcPr>
            <w:tcW w:w="1620" w:type="dxa"/>
            <w:vAlign w:val="bottom"/>
            <w:tcBorders>
              <w:right w:val="single" w:sz="8" w:color="auto"/>
            </w:tcBorders>
            <w:shd w:val="clear" w:color="auto" w:fill="CFF0FC"/>
          </w:tcPr>
          <w:p>
            <w:pPr>
              <w:ind w:left="20"/>
              <w:spacing w:after="0" w:line="117" w:lineRule="exact"/>
              <w:rPr>
                <w:sz w:val="20"/>
                <w:szCs w:val="20"/>
                <w:color w:val="auto"/>
              </w:rPr>
            </w:pPr>
            <w:r>
              <w:rPr>
                <w:rFonts w:ascii="Arial" w:cs="Arial" w:eastAsia="Arial" w:hAnsi="Arial"/>
                <w:sz w:val="11"/>
                <w:szCs w:val="11"/>
                <w:b w:val="1"/>
                <w:bCs w:val="1"/>
                <w:color w:val="auto"/>
              </w:rPr>
              <w:t>Balances at June 30,</w:t>
            </w:r>
          </w:p>
        </w:tc>
        <w:tc>
          <w:tcPr>
            <w:tcW w:w="120" w:type="dxa"/>
            <w:vAlign w:val="bottom"/>
            <w:shd w:val="clear" w:color="auto" w:fill="CFF0FC"/>
          </w:tcPr>
          <w:p>
            <w:pPr>
              <w:spacing w:after="0"/>
              <w:rPr>
                <w:sz w:val="10"/>
                <w:szCs w:val="10"/>
                <w:color w:val="auto"/>
              </w:rPr>
            </w:pPr>
          </w:p>
        </w:tc>
        <w:tc>
          <w:tcPr>
            <w:tcW w:w="780" w:type="dxa"/>
            <w:vAlign w:val="bottom"/>
            <w:tcBorders>
              <w:top w:val="single" w:sz="8" w:color="auto"/>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right w:val="single" w:sz="8" w:color="CFF0FC"/>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17" w:lineRule="exact"/>
              <w:rPr>
                <w:sz w:val="20"/>
                <w:szCs w:val="20"/>
                <w:color w:val="auto"/>
              </w:rPr>
            </w:pPr>
            <w:r>
              <w:rPr>
                <w:rFonts w:ascii="Arial" w:cs="Arial" w:eastAsia="Arial" w:hAnsi="Arial"/>
                <w:sz w:val="11"/>
                <w:szCs w:val="11"/>
                <w:color w:val="auto"/>
              </w:rPr>
              <w:t>5,988,37</w:t>
            </w:r>
          </w:p>
        </w:tc>
        <w:tc>
          <w:tcPr>
            <w:tcW w:w="260" w:type="dxa"/>
            <w:vAlign w:val="bottom"/>
            <w:tcBorders>
              <w:right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60" w:type="dxa"/>
            <w:vAlign w:val="bottom"/>
            <w:tcBorders>
              <w:righ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4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62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2022</w:t>
            </w:r>
          </w:p>
        </w:tc>
        <w:tc>
          <w:tcPr>
            <w:tcW w:w="120" w:type="dxa"/>
            <w:vAlign w:val="bottom"/>
            <w:shd w:val="clear" w:color="auto" w:fill="CFF0FC"/>
          </w:tcPr>
          <w:p>
            <w:pPr>
              <w:spacing w:after="0"/>
              <w:rPr>
                <w:sz w:val="13"/>
                <w:szCs w:val="13"/>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104,230,946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26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2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(2,317,722 )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(748 )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623,611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(534 )</w:t>
            </w:r>
          </w:p>
        </w:tc>
        <w:tc>
          <w:tcPr>
            <w:tcW w:w="14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(159,803 )</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462,537</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-2142490</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-2142490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-2142490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-2142490</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-2142490</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-2142490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-2142490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-2142490</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-2142490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-2142490</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-8255</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-8255</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-8255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-8255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85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6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(20,496 )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(33,946 )</w:t>
            </w: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7,876</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5,784</w:t>
            </w:r>
          </w:p>
        </w:tc>
        <w:tc>
          <w:tcPr>
            <w:tcW w:w="140" w:type="dxa"/>
            <w:vAlign w:val="bottom"/>
          </w:tcPr>
          <w:p>
            <w:pPr>
              <w:spacing w:after="0"/>
              <w:rPr>
                <w:sz w:val="19"/>
                <w:szCs w:val="19"/>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19,979</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13,932</w:t>
            </w: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Amortization of deferred contract costs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(950 )</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Deferred tax benefit</w:t>
            </w:r>
          </w:p>
        </w:tc>
        <w:tc>
          <w:tcPr>
            <w:tcW w:w="3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(584 )</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(101 )</w:t>
            </w:r>
          </w:p>
        </w:tc>
      </w:tr>
      <w:tr>
        <w:trPr>
          <w:trHeight w:val="229"/>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Provision for uncollectible accounts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140"/>
              <w:spacing w:after="0"/>
              <w:rPr>
                <w:sz w:val="20"/>
                <w:szCs w:val="20"/>
                <w:color w:val="auto"/>
              </w:rPr>
            </w:pPr>
            <w:r>
              <w:rPr>
                <w:rFonts w:ascii="Arial" w:cs="Arial" w:eastAsia="Arial" w:hAnsi="Arial"/>
                <w:sz w:val="18"/>
                <w:szCs w:val="18"/>
                <w:color w:val="auto"/>
              </w:rPr>
              <w:t>Non-cash interest expense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(6,186 )</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(3,709 )</w:t>
            </w:r>
          </w:p>
        </w:tc>
      </w:tr>
      <w:tr>
        <w:trPr>
          <w:trHeight w:val="230"/>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Unbilled receivables</w:t>
            </w: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(1,511 )</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(620 )</w:t>
            </w:r>
          </w:p>
        </w:tc>
      </w:tr>
      <w:tr>
        <w:trPr>
          <w:trHeight w:val="229"/>
        </w:trPr>
        <w:tc>
          <w:tcPr>
            <w:tcW w:w="7600" w:type="dxa"/>
            <w:vAlign w:val="bottom"/>
          </w:tcPr>
          <w:p>
            <w:pPr>
              <w:ind w:left="280"/>
              <w:spacing w:after="0"/>
              <w:rPr>
                <w:sz w:val="20"/>
                <w:szCs w:val="20"/>
                <w:color w:val="auto"/>
              </w:rPr>
            </w:pPr>
            <w:r>
              <w:rPr>
                <w:rFonts w:ascii="Arial" w:cs="Arial" w:eastAsia="Arial" w:hAnsi="Arial"/>
                <w:sz w:val="18"/>
                <w:szCs w:val="18"/>
                <w:color w:val="auto"/>
              </w:rPr>
              <w:t>Funds receivable from payment partners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19,649</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8,104</w:t>
            </w: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 other current assets and other assets</w:t>
            </w: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(1,030 )</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(3,677 )</w:t>
            </w:r>
          </w:p>
        </w:tc>
      </w:tr>
      <w:tr>
        <w:trPr>
          <w:trHeight w:val="230"/>
        </w:trPr>
        <w:tc>
          <w:tcPr>
            <w:tcW w:w="7600" w:type="dxa"/>
            <w:vAlign w:val="bottom"/>
          </w:tcPr>
          <w:p>
            <w:pPr>
              <w:ind w:left="280"/>
              <w:spacing w:after="0"/>
              <w:rPr>
                <w:sz w:val="20"/>
                <w:szCs w:val="20"/>
                <w:color w:val="auto"/>
              </w:rPr>
            </w:pPr>
            <w:r>
              <w:rPr>
                <w:rFonts w:ascii="Arial" w:cs="Arial" w:eastAsia="Arial" w:hAnsi="Arial"/>
                <w:sz w:val="18"/>
                <w:szCs w:val="18"/>
                <w:color w:val="auto"/>
              </w:rPr>
              <w:t>Funds payable to clients</w:t>
            </w:r>
          </w:p>
        </w:tc>
        <w:tc>
          <w:tcPr>
            <w:tcW w:w="3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(42,347 )</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(8,988 )</w:t>
            </w:r>
          </w:p>
        </w:tc>
      </w:tr>
      <w:tr>
        <w:trPr>
          <w:trHeight w:val="229"/>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 accrued expenses and other current liabilities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(467 )</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(4,524 )</w:t>
            </w:r>
          </w:p>
        </w:tc>
      </w:tr>
      <w:tr>
        <w:trPr>
          <w:trHeight w:val="229"/>
        </w:trPr>
        <w:tc>
          <w:tcPr>
            <w:tcW w:w="76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liabilities</w:t>
            </w: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(574 )</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(764 )</w:t>
            </w:r>
          </w:p>
        </w:tc>
      </w:tr>
      <w:tr>
        <w:trPr>
          <w:trHeight w:val="229"/>
        </w:trPr>
        <w:tc>
          <w:tcPr>
            <w:tcW w:w="76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(2,463 )</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(25,652 )</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(27,591 )</w:t>
            </w:r>
          </w:p>
        </w:tc>
      </w:tr>
      <w:tr>
        <w:trPr>
          <w:trHeight w:val="223"/>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Capitalization of internally developed software</w:t>
            </w: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(2,812 )</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(2,888 )</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(671 )</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(745 )</w:t>
            </w:r>
          </w:p>
        </w:tc>
      </w:tr>
      <w:tr>
        <w:trPr>
          <w:trHeight w:val="20"/>
        </w:trPr>
        <w:tc>
          <w:tcPr>
            <w:tcW w:w="7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(3,483 )</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(3,633 )</w:t>
            </w:r>
          </w:p>
        </w:tc>
      </w:tr>
      <w:tr>
        <w:trPr>
          <w:trHeight w:val="223"/>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paid for acquisitions</w:t>
            </w: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(1,207 )</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(3,320 )</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Payments of tax withholdings for net settled stock option exercises</w:t>
            </w:r>
          </w:p>
        </w:tc>
        <w:tc>
          <w:tcPr>
            <w:tcW w:w="380" w:type="dxa"/>
            <w:vAlign w:val="bottom"/>
          </w:tcPr>
          <w:p>
            <w:pPr>
              <w:spacing w:after="0"/>
              <w:rPr>
                <w:sz w:val="19"/>
                <w:szCs w:val="19"/>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(756 )</w:t>
            </w: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the issuance of stock under Employee Stock Purchase Plan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w:t>
            </w:r>
          </w:p>
        </w:tc>
        <w:tc>
          <w:tcPr>
            <w:tcW w:w="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w:t>
            </w:r>
          </w:p>
        </w:tc>
        <w:tc>
          <w:tcPr>
            <w:tcW w:w="140" w:type="dxa"/>
            <w:vAlign w:val="bottom"/>
          </w:tcPr>
          <w:p>
            <w:pPr>
              <w:spacing w:after="0"/>
              <w:rPr>
                <w:sz w:val="19"/>
                <w:szCs w:val="19"/>
                <w:color w:val="auto"/>
              </w:rPr>
            </w:pPr>
          </w:p>
        </w:tc>
      </w:tr>
      <w:tr>
        <w:trPr>
          <w:trHeight w:val="223"/>
        </w:trPr>
        <w:tc>
          <w:tcPr>
            <w:tcW w:w="76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5,701</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(1,783 )</w:t>
            </w:r>
          </w:p>
        </w:tc>
      </w:tr>
      <w:tr>
        <w:trPr>
          <w:trHeight w:val="223"/>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Effect of exchange rates changes on cash and cash equivalents</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36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140" w:type="dxa"/>
            <w:vAlign w:val="bottom"/>
            <w:tcBorders>
              <w:top w:val="single" w:sz="8" w:color="CFF0FC"/>
            </w:tcBorders>
          </w:tcPr>
          <w:p>
            <w:pPr>
              <w:spacing w:after="0"/>
              <w:rPr>
                <w:sz w:val="19"/>
                <w:szCs w:val="19"/>
                <w:color w:val="auto"/>
              </w:rPr>
            </w:pPr>
          </w:p>
        </w:tc>
      </w:tr>
      <w:tr>
        <w:trPr>
          <w:trHeight w:val="187"/>
        </w:trPr>
        <w:tc>
          <w:tcPr>
            <w:tcW w:w="7600" w:type="dxa"/>
            <w:vAlign w:val="bottom"/>
            <w:shd w:val="clear" w:color="auto" w:fill="CFF0FC"/>
          </w:tcPr>
          <w:p>
            <w:pPr>
              <w:ind w:left="20"/>
              <w:spacing w:after="0" w:line="187" w:lineRule="exact"/>
              <w:rPr>
                <w:sz w:val="20"/>
                <w:szCs w:val="20"/>
                <w:color w:val="auto"/>
              </w:rPr>
            </w:pPr>
            <w:r>
              <w:rPr>
                <w:rFonts w:ascii="Arial" w:cs="Arial" w:eastAsia="Arial" w:hAnsi="Arial"/>
                <w:sz w:val="18"/>
                <w:szCs w:val="18"/>
                <w:b w:val="1"/>
                <w:bCs w:val="1"/>
                <w:color w:val="auto"/>
              </w:rPr>
              <w:t>Net decrease in cash, cash equivalents and restricted</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r>
      <w:tr>
        <w:trPr>
          <w:trHeight w:val="239"/>
        </w:trPr>
        <w:tc>
          <w:tcPr>
            <w:tcW w:w="760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cash</w:t>
            </w:r>
          </w:p>
        </w:tc>
        <w:tc>
          <w:tcPr>
            <w:tcW w:w="3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(23,114 )</w:t>
            </w:r>
          </w:p>
        </w:tc>
        <w:tc>
          <w:tcPr>
            <w:tcW w:w="3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(26,776 )</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351,177</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389,360</w:t>
            </w:r>
          </w:p>
        </w:tc>
        <w:tc>
          <w:tcPr>
            <w:tcW w:w="140" w:type="dxa"/>
            <w:vAlign w:val="bottom"/>
          </w:tcPr>
          <w:p>
            <w:pPr>
              <w:spacing w:after="0"/>
              <w:rPr>
                <w:sz w:val="19"/>
                <w:szCs w:val="19"/>
                <w:color w:val="auto"/>
              </w:rPr>
            </w:pP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328,063</w:t>
            </w:r>
          </w:p>
        </w:tc>
        <w:tc>
          <w:tcPr>
            <w:tcW w:w="3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362,584</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-2253615</wp:posOffset>
            </wp:positionV>
            <wp:extent cx="85725"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-2253615</wp:posOffset>
            </wp:positionV>
            <wp:extent cx="8572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-1653540</wp:posOffset>
            </wp:positionV>
            <wp:extent cx="8572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-1653540</wp:posOffset>
            </wp:positionV>
            <wp:extent cx="8572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-762635</wp:posOffset>
            </wp:positionV>
            <wp:extent cx="85725"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-762635</wp:posOffset>
            </wp:positionV>
            <wp:extent cx="85725"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 OF CASH FLOWS</w:t>
      </w:r>
    </w:p>
    <w:p>
      <w:pPr>
        <w:jc w:val="center"/>
        <w:ind w:right="40"/>
        <w:spacing w:after="0"/>
        <w:rPr>
          <w:sz w:val="20"/>
          <w:szCs w:val="20"/>
          <w:color w:val="auto"/>
        </w:rPr>
      </w:pPr>
      <w:r>
        <w:rPr>
          <w:rFonts w:ascii="Arial" w:cs="Arial" w:eastAsia="Arial" w:hAnsi="Arial"/>
          <w:sz w:val="18"/>
          <w:szCs w:val="18"/>
          <w:color w:val="auto"/>
        </w:rPr>
        <w:t>(Unaudited) (Amounts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6"/>
                <w:szCs w:val="16"/>
                <w:color w:val="auto"/>
              </w:rPr>
            </w:pPr>
          </w:p>
        </w:tc>
      </w:tr>
      <w:tr>
        <w:trPr>
          <w:trHeight w:val="183"/>
        </w:trPr>
        <w:tc>
          <w:tcPr>
            <w:tcW w:w="76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and noncash information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Cash paid during the period for interest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9"/>
                <w:szCs w:val="19"/>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 of property and equipment in accounts payable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Issuance of common stock upon settlement of restricted stock units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22,490</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for retention bonus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328,063</w:t>
            </w:r>
          </w:p>
        </w:tc>
        <w:tc>
          <w:tcPr>
            <w:tcW w:w="7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360,584</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r>
      <w:tr>
        <w:trPr>
          <w:trHeight w:val="263"/>
        </w:trPr>
        <w:tc>
          <w:tcPr>
            <w:tcW w:w="760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8"/>
                <w:szCs w:val="18"/>
                <w:color w:val="auto"/>
              </w:rPr>
              <w:t>Cash, cash equivalents and restricted cash</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328,063</w:t>
            </w:r>
          </w:p>
        </w:tc>
        <w:tc>
          <w:tcPr>
            <w:tcW w:w="3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362,584</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4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Business Overview and Summary of Significant Accounting Policies</w:t>
      </w:r>
    </w:p>
    <w:p>
      <w:pPr>
        <w:spacing w:after="0" w:line="181" w:lineRule="exact"/>
        <w:rPr>
          <w:sz w:val="20"/>
          <w:szCs w:val="20"/>
          <w:color w:val="auto"/>
        </w:rPr>
      </w:pPr>
    </w:p>
    <w:p>
      <w:pPr>
        <w:jc w:val="both"/>
        <w:ind w:right="40" w:firstLine="509"/>
        <w:spacing w:after="0" w:line="247" w:lineRule="auto"/>
        <w:rPr>
          <w:sz w:val="20"/>
          <w:szCs w:val="20"/>
          <w:color w:val="auto"/>
        </w:rPr>
      </w:pPr>
      <w:r>
        <w:rPr>
          <w:rFonts w:ascii="Arial" w:cs="Arial" w:eastAsia="Arial" w:hAnsi="Arial"/>
          <w:sz w:val="18"/>
          <w:szCs w:val="18"/>
          <w:color w:val="auto"/>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14 countries across 5 continents.</w:t>
      </w:r>
    </w:p>
    <w:p>
      <w:pPr>
        <w:spacing w:after="0" w:line="157"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Securities and Exchange Commission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changes in stockholders’ equity, and its cash flows for the periods presented.</w:t>
      </w:r>
    </w:p>
    <w:p>
      <w:pPr>
        <w:spacing w:after="0" w:line="16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The results of operations for the three and six months ended June 30, 2023, are not necessarily indicative of results to be expected for the year ended December 31, 2023, any other interim periods or any future year or period. The accompanying consolidated balance sheet as of December 31, 2022 was derived from the Company’s audited consolidated financial statements for the year ended December 31, 2022.</w:t>
      </w:r>
    </w:p>
    <w:p>
      <w:pPr>
        <w:spacing w:after="0" w:line="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Certain information and note disclosures normally included in the annual consolidated financial statements prepared in accordance with GAAP have been condensed or omitted from the interim unaudited condensed consolidated financial statements.</w:t>
      </w:r>
    </w:p>
    <w:p>
      <w:pPr>
        <w:spacing w:after="0" w:line="14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Beginning with the quarter ended June 30, 2023, we included Contingent consideration and Contingent consideration, net of current portion within Accrued expenses and other current liabilities and Other liabilities, respectively, in the Company's condensed consolidated balance sheet. Accrued expenses and other current liabilities and Other liabilities for the year ended December 31, 2022 were recast to conform to the updated presentation.</w:t>
      </w:r>
    </w:p>
    <w:p>
      <w:pPr>
        <w:spacing w:after="0" w:line="147" w:lineRule="exact"/>
        <w:rPr>
          <w:sz w:val="20"/>
          <w:szCs w:val="20"/>
          <w:color w:val="auto"/>
        </w:rPr>
      </w:pPr>
    </w:p>
    <w:p>
      <w:pPr>
        <w:ind w:right="180" w:firstLine="509"/>
        <w:spacing w:after="0" w:line="260" w:lineRule="auto"/>
        <w:rPr>
          <w:sz w:val="20"/>
          <w:szCs w:val="20"/>
          <w:color w:val="auto"/>
        </w:rPr>
      </w:pPr>
      <w:r>
        <w:rPr>
          <w:rFonts w:ascii="Arial" w:cs="Arial" w:eastAsia="Arial" w:hAnsi="Arial"/>
          <w:sz w:val="18"/>
          <w:szCs w:val="18"/>
          <w:color w:val="auto"/>
        </w:rPr>
        <w:t>These condensed consolidated financial statements should be read in conjunction with the audited consolidated financial statements and notes included in the Company’s Annual Report on Form 10-K for the year ended December 31, 2022.</w:t>
      </w:r>
    </w:p>
    <w:p>
      <w:pPr>
        <w:spacing w:after="0" w:line="146" w:lineRule="exact"/>
        <w:rPr>
          <w:sz w:val="20"/>
          <w:szCs w:val="20"/>
          <w:color w:val="auto"/>
        </w:rPr>
      </w:pPr>
    </w:p>
    <w:p>
      <w:pPr>
        <w:ind w:right="120" w:firstLine="509"/>
        <w:spacing w:after="0" w:line="260" w:lineRule="auto"/>
        <w:rPr>
          <w:sz w:val="20"/>
          <w:szCs w:val="20"/>
          <w:color w:val="auto"/>
        </w:rPr>
      </w:pPr>
      <w:r>
        <w:rPr>
          <w:rFonts w:ascii="Arial" w:cs="Arial" w:eastAsia="Arial" w:hAnsi="Arial"/>
          <w:sz w:val="18"/>
          <w:szCs w:val="18"/>
          <w:color w:val="auto"/>
        </w:rPr>
        <w:t>The condensed consolidated financial statements include the accounts of Flywire and its wholly owned subsidiaries. All intercompany accounts and transactions have been eliminated upon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cs="Arial" w:eastAsia="Arial" w:hAnsi="Arial"/>
          <w:sz w:val="18"/>
          <w:szCs w:val="18"/>
          <w:i w:val="1"/>
          <w:iCs w:val="1"/>
          <w:color w:val="auto"/>
        </w:rPr>
        <w:t>Note 2 - Revenue and Recognition</w:t>
      </w:r>
      <w:r>
        <w:rPr>
          <w:rFonts w:ascii="Arial" w:cs="Arial" w:eastAsia="Arial" w:hAnsi="Arial"/>
          <w:sz w:val="18"/>
          <w:szCs w:val="18"/>
          <w:color w:val="auto"/>
        </w:rPr>
        <w:t xml:space="preserve"> for information regarding the Company's revenue by geographic area.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1"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certain stock-based compensation awards, the valuation of contingent consideration, the valuation of acquired intangible assets and their useful lives, the estimate of credit losses on accounts receivable and unbilled receivables, the impairment assessment of goodwill, intangibles and other long-lived assets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color w:val="auto"/>
        </w:rPr>
        <w:t>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81"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The Company does not have any operations, including long-lived assets, in Ukraine or Russia. As of the issuance date of these condensed consolidated financial statements, the current conflict between Russia and Ukraine has not had a material impact on the Company’s revenue, results of operations or financial position. However, the Company notes Ukraine is a major engineering hub and the conflict may create a global challenge in outsourcing or hiring engineering talent. In addition, a prolonged conflict or the spill-over of war into other European countries may in the future have an impact on macroeconomic conditions which could significantly impact the verticals in which the Company has been predominantly focused over the last decade. The Company’s payment volumes, sales cycles and time to implementation could be negatively affected and consequently, the Company’s revenue or results of operations or financial position could be adversely impacted as well.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95" w:lineRule="exact"/>
        <w:rPr>
          <w:sz w:val="20"/>
          <w:szCs w:val="20"/>
          <w:color w:val="auto"/>
        </w:rPr>
      </w:pPr>
    </w:p>
    <w:p>
      <w:pPr>
        <w:ind w:right="240" w:firstLine="509"/>
        <w:spacing w:after="0" w:line="260" w:lineRule="auto"/>
        <w:rPr>
          <w:sz w:val="20"/>
          <w:szCs w:val="20"/>
          <w:color w:val="auto"/>
        </w:rPr>
      </w:pPr>
      <w:r>
        <w:rPr>
          <w:rFonts w:ascii="Arial" w:cs="Arial" w:eastAsia="Arial" w:hAnsi="Arial"/>
          <w:sz w:val="18"/>
          <w:szCs w:val="18"/>
          <w:color w:val="auto"/>
        </w:rPr>
        <w:t>Inflation did not have a material effect on the Company's cash flows and results of operations during the three and six months ended June 30,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Clients</w:t>
      </w:r>
    </w:p>
    <w:p>
      <w:pPr>
        <w:spacing w:after="0" w:line="181" w:lineRule="exact"/>
        <w:rPr>
          <w:sz w:val="20"/>
          <w:szCs w:val="20"/>
          <w:color w:val="auto"/>
        </w:rPr>
      </w:pPr>
    </w:p>
    <w:p>
      <w:pPr>
        <w:ind w:right="100" w:firstLine="509"/>
        <w:spacing w:after="0" w:line="260"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unbilled receivables and funds receivable from payment partners.</w:t>
      </w:r>
    </w:p>
    <w:p>
      <w:pPr>
        <w:spacing w:after="0" w:line="146"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Company maintains its cash and cash equivalents with financial institutions that management believes are of high credit quality. The Company's cash and cash equivalents deposited with these financial institutions exceed the Federal Deposit Insurance Corporation (FDIC) insurance limit of $250,000. As part of its cash management process, the Company performs periodic reviews of the credit standing of the financial institutions holding its cash and cash equivalents.</w:t>
      </w:r>
    </w:p>
    <w:p>
      <w:pPr>
        <w:spacing w:after="0" w:line="147"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for the three and six months ended June 30, 2023.</w:t>
      </w:r>
    </w:p>
    <w:p>
      <w:pPr>
        <w:spacing w:after="0" w:line="149" w:lineRule="exact"/>
        <w:rPr>
          <w:sz w:val="20"/>
          <w:szCs w:val="20"/>
          <w:color w:val="auto"/>
        </w:rPr>
      </w:pPr>
    </w:p>
    <w:p>
      <w:pPr>
        <w:ind w:right="200" w:firstLine="509"/>
        <w:spacing w:after="0" w:line="260" w:lineRule="auto"/>
        <w:rPr>
          <w:sz w:val="20"/>
          <w:szCs w:val="20"/>
          <w:color w:val="auto"/>
        </w:rPr>
      </w:pPr>
      <w:r>
        <w:rPr>
          <w:rFonts w:ascii="Arial" w:cs="Arial" w:eastAsia="Arial" w:hAnsi="Arial"/>
          <w:sz w:val="18"/>
          <w:szCs w:val="18"/>
          <w:color w:val="auto"/>
        </w:rPr>
        <w:t>Accounts receivable are derived from revenue earned from clients located in the U.S. and internationally. Significant clients are those that represent 10% or more of accounts receivable, net as set forth in the following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1260" w:type="dxa"/>
            <w:vAlign w:val="bottom"/>
          </w:tcPr>
          <w:p>
            <w:pPr>
              <w:jc w:val="center"/>
              <w:ind w:left="288"/>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500" w:type="dxa"/>
            <w:vAlign w:val="bottom"/>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8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Client A</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19 %</w:t>
            </w:r>
          </w:p>
        </w:tc>
        <w:tc>
          <w:tcPr>
            <w:tcW w:w="1780" w:type="dxa"/>
            <w:vAlign w:val="bottom"/>
            <w:gridSpan w:val="2"/>
            <w:shd w:val="clear" w:color="auto" w:fill="CFF0FC"/>
          </w:tcPr>
          <w:p>
            <w:pPr>
              <w:ind w:left="1420"/>
              <w:spacing w:after="0"/>
              <w:rPr>
                <w:sz w:val="20"/>
                <w:szCs w:val="20"/>
                <w:color w:val="auto"/>
              </w:rPr>
            </w:pPr>
            <w:r>
              <w:rPr>
                <w:rFonts w:ascii="Arial" w:cs="Arial" w:eastAsia="Arial" w:hAnsi="Arial"/>
                <w:sz w:val="18"/>
                <w:szCs w:val="18"/>
                <w:color w:val="auto"/>
                <w:w w:val="82"/>
              </w:rPr>
              <w:t>13 %</w:t>
            </w:r>
          </w:p>
        </w:tc>
        <w:tc>
          <w:tcPr>
            <w:tcW w:w="40" w:type="dxa"/>
            <w:vAlign w:val="bottom"/>
          </w:tcPr>
          <w:p>
            <w:pPr>
              <w:spacing w:after="0"/>
              <w:rPr>
                <w:sz w:val="19"/>
                <w:szCs w:val="19"/>
                <w:color w:val="auto"/>
              </w:rPr>
            </w:pP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Client B</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20" w:type="dxa"/>
            <w:vAlign w:val="bottom"/>
            <w:gridSpan w:val="3"/>
          </w:tcPr>
          <w:p>
            <w:pPr>
              <w:ind w:left="1420"/>
              <w:spacing w:after="0"/>
              <w:rPr>
                <w:sz w:val="20"/>
                <w:szCs w:val="20"/>
                <w:color w:val="auto"/>
              </w:rPr>
            </w:pPr>
            <w:r>
              <w:rPr>
                <w:rFonts w:ascii="Arial" w:cs="Arial" w:eastAsia="Arial" w:hAnsi="Arial"/>
                <w:sz w:val="18"/>
                <w:szCs w:val="18"/>
                <w:color w:val="auto"/>
                <w:w w:val="92"/>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69" w:lineRule="exact"/>
        <w:rPr>
          <w:sz w:val="20"/>
          <w:szCs w:val="20"/>
          <w:color w:val="auto"/>
        </w:rPr>
      </w:pPr>
    </w:p>
    <w:p>
      <w:pPr>
        <w:ind w:right="100" w:firstLine="559"/>
        <w:spacing w:after="0" w:line="241" w:lineRule="auto"/>
        <w:rPr>
          <w:sz w:val="20"/>
          <w:szCs w:val="20"/>
          <w:color w:val="auto"/>
        </w:rPr>
      </w:pPr>
      <w:r>
        <w:rPr>
          <w:rFonts w:ascii="Arial" w:cs="Arial" w:eastAsia="Arial" w:hAnsi="Arial"/>
          <w:sz w:val="18"/>
          <w:szCs w:val="18"/>
          <w:color w:val="auto"/>
        </w:rPr>
        <w:t>In May 2023, Client A filed for voluntary petitions for reorganization under Chapter 11 of the U.S. Bankruptcy Code (Chapter 11). As of June 30, 2023, the Company had $3.8 million recorded within accounts receivable, net of allowance. Client A may take actions in its Chapter 11 proceeding to terminate or renegotiate its agreements with the Company and/or seek to reduce the Company's claims for services to which it may be entitled. As of June 30, 2023, the Company expected Client A to exit Chapter 11 and continue as a going concern and client of Flywire.</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jc w:val="both"/>
        <w:ind w:right="440" w:firstLine="509"/>
        <w:spacing w:after="0" w:line="247" w:lineRule="auto"/>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1260" w:type="dxa"/>
            <w:vAlign w:val="bottom"/>
          </w:tcPr>
          <w:p>
            <w:pPr>
              <w:jc w:val="center"/>
              <w:ind w:left="288"/>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7500" w:type="dxa"/>
            <w:vAlign w:val="bottom"/>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3"/>
        </w:trPr>
        <w:tc>
          <w:tcPr>
            <w:tcW w:w="8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Partner A</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ind w:left="1420"/>
              <w:spacing w:after="0"/>
              <w:rPr>
                <w:sz w:val="20"/>
                <w:szCs w:val="20"/>
                <w:color w:val="auto"/>
              </w:rPr>
            </w:pPr>
            <w:r>
              <w:rPr>
                <w:rFonts w:ascii="Arial" w:cs="Arial" w:eastAsia="Arial" w:hAnsi="Arial"/>
                <w:sz w:val="18"/>
                <w:szCs w:val="18"/>
                <w:color w:val="auto"/>
                <w:w w:val="82"/>
              </w:rPr>
              <w:t>12 %</w:t>
            </w:r>
          </w:p>
        </w:tc>
        <w:tc>
          <w:tcPr>
            <w:tcW w:w="40" w:type="dxa"/>
            <w:vAlign w:val="bottom"/>
          </w:tcPr>
          <w:p>
            <w:pPr>
              <w:spacing w:after="0"/>
              <w:rPr>
                <w:sz w:val="19"/>
                <w:szCs w:val="19"/>
                <w:color w:val="auto"/>
              </w:rPr>
            </w:pP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Partner B</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20" w:type="dxa"/>
            <w:vAlign w:val="bottom"/>
            <w:gridSpan w:val="3"/>
          </w:tcPr>
          <w:p>
            <w:pPr>
              <w:ind w:left="1420"/>
              <w:spacing w:after="0"/>
              <w:rPr>
                <w:sz w:val="20"/>
                <w:szCs w:val="20"/>
                <w:color w:val="auto"/>
              </w:rPr>
            </w:pPr>
            <w:r>
              <w:rPr>
                <w:rFonts w:ascii="Arial" w:cs="Arial" w:eastAsia="Arial" w:hAnsi="Arial"/>
                <w:sz w:val="18"/>
                <w:szCs w:val="18"/>
                <w:color w:val="auto"/>
                <w:w w:val="92"/>
              </w:rPr>
              <w:t>16 %</w:t>
            </w:r>
          </w:p>
        </w:tc>
      </w:tr>
      <w:tr>
        <w:trPr>
          <w:trHeight w:val="230"/>
        </w:trPr>
        <w:tc>
          <w:tcPr>
            <w:tcW w:w="8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Partner C</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12 %</w:t>
            </w:r>
          </w:p>
        </w:tc>
        <w:tc>
          <w:tcPr>
            <w:tcW w:w="1780" w:type="dxa"/>
            <w:vAlign w:val="bottom"/>
            <w:gridSpan w:val="2"/>
            <w:shd w:val="clear" w:color="auto" w:fill="CFF0FC"/>
          </w:tcPr>
          <w:p>
            <w:pPr>
              <w:ind w:left="1420"/>
              <w:spacing w:after="0"/>
              <w:rPr>
                <w:sz w:val="20"/>
                <w:szCs w:val="20"/>
                <w:color w:val="auto"/>
              </w:rPr>
            </w:pPr>
            <w:r>
              <w:rPr>
                <w:rFonts w:ascii="Arial" w:cs="Arial" w:eastAsia="Arial" w:hAnsi="Arial"/>
                <w:sz w:val="18"/>
                <w:szCs w:val="18"/>
                <w:color w:val="auto"/>
                <w:w w:val="82"/>
              </w:rPr>
              <w:t>17 %</w:t>
            </w:r>
          </w:p>
        </w:tc>
        <w:tc>
          <w:tcPr>
            <w:tcW w:w="40" w:type="dxa"/>
            <w:vAlign w:val="bottom"/>
          </w:tcPr>
          <w:p>
            <w:pPr>
              <w:spacing w:after="0"/>
              <w:rPr>
                <w:sz w:val="19"/>
                <w:szCs w:val="19"/>
                <w:color w:val="auto"/>
              </w:rPr>
            </w:pP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Partner D</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c>
          <w:tcPr>
            <w:tcW w:w="1820" w:type="dxa"/>
            <w:vAlign w:val="bottom"/>
            <w:gridSpan w:val="3"/>
          </w:tcPr>
          <w:p>
            <w:pPr>
              <w:ind w:left="1420"/>
              <w:spacing w:after="0"/>
              <w:rPr>
                <w:sz w:val="20"/>
                <w:szCs w:val="20"/>
                <w:color w:val="auto"/>
              </w:rPr>
            </w:pPr>
            <w:r>
              <w:rPr>
                <w:rFonts w:ascii="Arial" w:cs="Arial" w:eastAsia="Arial" w:hAnsi="Arial"/>
                <w:sz w:val="18"/>
                <w:szCs w:val="18"/>
                <w:color w:val="auto"/>
                <w:w w:val="92"/>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total balance.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and six months ended June 30, 2023 and 2022, no clients accounted for 10% or more of revenue.</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During the three months ended June 30, 2023, revenue from clients located in the United States and Canada (Americas), Europe, the Middle East and Africa (EMEA) and the Asia and Pacific region (APAC) in the aggregate accounted for 51.0%, 33.6% and 15.4% of the Company’s total revenues, respectively. During the three months ended June 30, 2022, revenue from clients located in Americas, EMEA and APAC in the aggregate accounted for 67.3%, 27.5% and 5.2% of the Company’s total revenues, respectively.</w:t>
      </w:r>
    </w:p>
    <w:p>
      <w:pPr>
        <w:spacing w:after="0" w:line="161"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During the six months ended June 30, 2023, revenue from clients located in Americas, EMEA and APAC in the aggregate accounted for 57.7%, 28.0% and 14.3% of the Company’s total revenues, respectively. During the six months ended June 30, 2022, revenue from clients located in Americas, EMEA and APAC in the aggregate accounted for 71.6%, 23.2% and 5.2% of the Company’s total revenues,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ind w:right="280" w:firstLine="509"/>
        <w:spacing w:after="0" w:line="272" w:lineRule="auto"/>
        <w:rPr>
          <w:sz w:val="20"/>
          <w:szCs w:val="20"/>
          <w:color w:val="auto"/>
        </w:rPr>
      </w:pPr>
      <w:r>
        <w:rPr>
          <w:rFonts w:ascii="Arial" w:cs="Arial" w:eastAsia="Arial" w:hAnsi="Arial"/>
          <w:sz w:val="17"/>
          <w:szCs w:val="17"/>
          <w:color w:val="auto"/>
        </w:rPr>
        <w:t xml:space="preserve">The Company’s significant accounting policies are discussed in </w:t>
      </w:r>
      <w:r>
        <w:rPr>
          <w:rFonts w:ascii="Arial" w:cs="Arial" w:eastAsia="Arial" w:hAnsi="Arial"/>
          <w:sz w:val="17"/>
          <w:szCs w:val="17"/>
          <w:i w:val="1"/>
          <w:iCs w:val="1"/>
          <w:color w:val="auto"/>
        </w:rPr>
        <w:t>Note 1 - Business Overview and 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w:t>
      </w:r>
      <w:r>
        <w:rPr>
          <w:rFonts w:ascii="Arial" w:cs="Arial" w:eastAsia="Arial" w:hAnsi="Arial"/>
          <w:sz w:val="17"/>
          <w:szCs w:val="17"/>
          <w:color w:val="auto"/>
        </w:rPr>
        <w:t>in the notes to the audited consolidated financial statements in the Company’s Annual Report on Form 10-K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2022. There have been no material changes to these policies during the three and six months ended June 30,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1" w:lineRule="exact"/>
        <w:rPr>
          <w:sz w:val="20"/>
          <w:szCs w:val="20"/>
          <w:color w:val="auto"/>
        </w:rPr>
      </w:pPr>
    </w:p>
    <w:p>
      <w:pPr>
        <w:ind w:right="460" w:firstLine="509"/>
        <w:spacing w:after="0" w:line="243" w:lineRule="auto"/>
        <w:rPr>
          <w:sz w:val="20"/>
          <w:szCs w:val="20"/>
          <w:color w:val="auto"/>
        </w:rPr>
      </w:pPr>
      <w:r>
        <w:rPr>
          <w:rFonts w:ascii="Arial" w:cs="Arial" w:eastAsia="Arial" w:hAnsi="Arial"/>
          <w:sz w:val="18"/>
          <w:szCs w:val="18"/>
          <w:color w:val="auto"/>
        </w:rPr>
        <w:t>Advertising costs are expensed as incurred and are included in selling and marketing expenses in the condensed consolidated statements of operations and comprehensive loss. Advertising expenses for the three months ended June 30, 2023 and 2022 were $2.0 million and $1.7 million, respectively. Advertising expenses for the six months ended June 30, 2023 and 2022 were $3.1 million and $2.9 million,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accounting standards update (ASU) was issued by the Financial Accounting Standards Board (FASB) and adopted by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Flywire as of June 30, 2023:</w:t>
      </w:r>
    </w:p>
    <w:p>
      <w:pPr>
        <w:spacing w:after="0" w:line="153"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 xml:space="preserve">ASU 2020-04, </w:t>
      </w:r>
      <w:r>
        <w:rPr>
          <w:rFonts w:ascii="Arial" w:cs="Arial" w:eastAsia="Arial" w:hAnsi="Arial"/>
          <w:sz w:val="18"/>
          <w:szCs w:val="18"/>
          <w:i w:val="1"/>
          <w:iCs w:val="1"/>
          <w:color w:val="auto"/>
        </w:rPr>
        <w:t>Reference Rate Reform (Topic 848): Facilitation of the Effects of Reference Rate Reform on Financial Reporting:</w:t>
      </w:r>
      <w:r>
        <w:rPr>
          <w:rFonts w:ascii="Arial" w:cs="Arial" w:eastAsia="Arial" w:hAnsi="Arial"/>
          <w:sz w:val="18"/>
          <w:szCs w:val="18"/>
          <w:color w:val="auto"/>
        </w:rPr>
        <w:t xml:space="preserve"> ASU 202-04 provides optional guidance to ease the potential burden in accounting for (or recognizing the effects of) reference rate reform on financial reporting in response to concerns about structural risks of the cessation of London Interbank Offered Rate (LIBOR). It also provides optional expedients and exceptions for applying GAAP to contracts, hedging relationships and other transactions affected by reference rate reform if certain criteria are met. ASU 2020-04 applies only to contracts and hedging relationships that reference LIBOR or another reference rate expected to be discontinued due to reference rate reform. The adoption of this standard did not have a material impact on Flywire's consolidated financial statements. Refer to </w:t>
      </w:r>
      <w:r>
        <w:rPr>
          <w:rFonts w:ascii="Arial" w:cs="Arial" w:eastAsia="Arial" w:hAnsi="Arial"/>
          <w:sz w:val="18"/>
          <w:szCs w:val="18"/>
          <w:i w:val="1"/>
          <w:iCs w:val="1"/>
          <w:color w:val="auto"/>
        </w:rPr>
        <w:t>Note 10 - Debt</w:t>
      </w:r>
      <w:r>
        <w:rPr>
          <w:rFonts w:ascii="Arial" w:cs="Arial" w:eastAsia="Arial" w:hAnsi="Arial"/>
          <w:sz w:val="18"/>
          <w:szCs w:val="18"/>
          <w:color w:val="auto"/>
        </w:rPr>
        <w:t xml:space="preserve"> for additional details on the transition from the LIBOR benchmark rate to the Secured Overnight Financing Rate (SOFR) benchmark rate.</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95" w:lineRule="exact"/>
        <w:rPr>
          <w:sz w:val="20"/>
          <w:szCs w:val="20"/>
          <w:color w:val="auto"/>
        </w:rPr>
      </w:pPr>
    </w:p>
    <w:p>
      <w:pPr>
        <w:ind w:right="100" w:firstLine="509"/>
        <w:spacing w:after="0" w:line="260" w:lineRule="auto"/>
        <w:rPr>
          <w:sz w:val="20"/>
          <w:szCs w:val="20"/>
          <w:color w:val="auto"/>
        </w:rPr>
      </w:pPr>
      <w:r>
        <w:rPr>
          <w:rFonts w:ascii="Arial" w:cs="Arial" w:eastAsia="Arial" w:hAnsi="Arial"/>
          <w:sz w:val="18"/>
          <w:szCs w:val="18"/>
          <w:color w:val="auto"/>
        </w:rPr>
        <w:t>As of June 30, 2023, there are no new accounting pronouncements recently issued by the FASB but not yet adopted by Flywire which would be expected to have a material impact on the Company’s consolidated financial statements and disclosures.</w:t>
      </w:r>
    </w:p>
    <w:p>
      <w:pPr>
        <w:spacing w:after="0" w:line="2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Revenue and Recognition</w:t>
      </w:r>
    </w:p>
    <w:p>
      <w:pPr>
        <w:spacing w:after="0" w:line="181" w:lineRule="exact"/>
        <w:rPr>
          <w:sz w:val="20"/>
          <w:szCs w:val="20"/>
          <w:color w:val="auto"/>
        </w:rPr>
      </w:pPr>
    </w:p>
    <w:p>
      <w:pPr>
        <w:ind w:right="540" w:firstLine="509"/>
        <w:spacing w:after="0" w:line="260" w:lineRule="auto"/>
        <w:rPr>
          <w:sz w:val="20"/>
          <w:szCs w:val="20"/>
          <w:color w:val="auto"/>
        </w:rPr>
      </w:pPr>
      <w:r>
        <w:rPr>
          <w:rFonts w:ascii="Arial" w:cs="Arial" w:eastAsia="Arial" w:hAnsi="Arial"/>
          <w:sz w:val="18"/>
          <w:szCs w:val="18"/>
          <w:color w:val="auto"/>
        </w:rPr>
        <w:t>The following table presents revenue disaggregated by geographical area and major solutions. The categorization of revenue by geographical location is determined based on the location of where the client resides.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r>
      <w:tr>
        <w:trPr>
          <w:trHeight w:val="189"/>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Primary geographical markets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320"/>
              <w:spacing w:after="0"/>
              <w:rPr>
                <w:sz w:val="20"/>
                <w:szCs w:val="20"/>
                <w:color w:val="auto"/>
              </w:rPr>
            </w:pPr>
            <w:r>
              <w:rPr>
                <w:rFonts w:ascii="Arial" w:cs="Arial" w:eastAsia="Arial" w:hAnsi="Arial"/>
                <w:sz w:val="18"/>
                <w:szCs w:val="18"/>
                <w:color w:val="auto"/>
                <w:w w:val="98"/>
              </w:rPr>
              <w:t>43,296</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38,030</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103,461</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86,744</w:t>
            </w:r>
          </w:p>
        </w:tc>
        <w:tc>
          <w:tcPr>
            <w:tcW w:w="140" w:type="dxa"/>
            <w:vAlign w:val="bottom"/>
          </w:tcPr>
          <w:p>
            <w:pPr>
              <w:spacing w:after="0"/>
              <w:rPr>
                <w:sz w:val="19"/>
                <w:szCs w:val="19"/>
                <w:color w:val="auto"/>
              </w:rPr>
            </w:pPr>
          </w:p>
        </w:tc>
      </w:tr>
      <w:tr>
        <w:trPr>
          <w:trHeight w:val="230"/>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EMEA</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8"/>
              </w:rPr>
              <w:t>28,534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28,108</w:t>
            </w:r>
          </w:p>
        </w:tc>
        <w:tc>
          <w:tcPr>
            <w:tcW w:w="140" w:type="dxa"/>
            <w:vAlign w:val="bottom"/>
            <w:shd w:val="clear" w:color="auto" w:fill="CFF0FC"/>
          </w:tcPr>
          <w:p>
            <w:pPr>
              <w:spacing w:after="0"/>
              <w:rPr>
                <w:sz w:val="19"/>
                <w:szCs w:val="19"/>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APAC</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8"/>
              </w:rPr>
              <w:t>13,039</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25,570</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6,238</w:t>
            </w:r>
          </w:p>
        </w:tc>
        <w:tc>
          <w:tcPr>
            <w:tcW w:w="140" w:type="dxa"/>
            <w:vAlign w:val="bottom"/>
          </w:tcPr>
          <w:p>
            <w:pPr>
              <w:spacing w:after="0"/>
              <w:rPr>
                <w:sz w:val="19"/>
                <w:szCs w:val="19"/>
                <w:color w:val="auto"/>
              </w:rPr>
            </w:pPr>
          </w:p>
        </w:tc>
      </w:tr>
      <w:tr>
        <w:trPr>
          <w:trHeight w:val="263"/>
        </w:trPr>
        <w:tc>
          <w:tcPr>
            <w:tcW w:w="5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b w:val="1"/>
                <w:bCs w:val="1"/>
                <w:color w:val="auto"/>
                <w:w w:val="98"/>
              </w:rPr>
              <w:t>84,869</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56,537</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179,226</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121,090</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Major solutions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320"/>
              <w:spacing w:after="0"/>
              <w:rPr>
                <w:sz w:val="20"/>
                <w:szCs w:val="20"/>
                <w:color w:val="auto"/>
              </w:rPr>
            </w:pPr>
            <w:r>
              <w:rPr>
                <w:rFonts w:ascii="Arial" w:cs="Arial" w:eastAsia="Arial" w:hAnsi="Arial"/>
                <w:sz w:val="18"/>
                <w:szCs w:val="18"/>
                <w:color w:val="auto"/>
                <w:w w:val="98"/>
              </w:rPr>
              <w:t>66,847</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41,659</w:t>
            </w:r>
          </w:p>
        </w:tc>
        <w:tc>
          <w:tcPr>
            <w:tcW w:w="5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143,149</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90,346</w:t>
            </w:r>
          </w:p>
        </w:tc>
        <w:tc>
          <w:tcPr>
            <w:tcW w:w="140" w:type="dxa"/>
            <w:vAlign w:val="bottom"/>
            <w:shd w:val="clear" w:color="auto" w:fill="CFF0FC"/>
          </w:tcPr>
          <w:p>
            <w:pPr>
              <w:spacing w:after="0"/>
              <w:rPr>
                <w:sz w:val="19"/>
                <w:szCs w:val="19"/>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Platform and usage-based fees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8"/>
              </w:rPr>
              <w:t>18,022</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30,744</w:t>
            </w:r>
          </w:p>
        </w:tc>
        <w:tc>
          <w:tcPr>
            <w:tcW w:w="140" w:type="dxa"/>
            <w:vAlign w:val="bottom"/>
          </w:tcPr>
          <w:p>
            <w:pPr>
              <w:spacing w:after="0"/>
              <w:rPr>
                <w:sz w:val="19"/>
                <w:szCs w:val="19"/>
                <w:color w:val="auto"/>
              </w:rPr>
            </w:pPr>
          </w:p>
        </w:tc>
      </w:tr>
      <w:tr>
        <w:trPr>
          <w:trHeight w:val="263"/>
        </w:trPr>
        <w:tc>
          <w:tcPr>
            <w:tcW w:w="5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b w:val="1"/>
                <w:bCs w:val="1"/>
                <w:color w:val="auto"/>
                <w:w w:val="98"/>
              </w:rPr>
              <w:t>84,869</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56,537</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179,226</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121,090</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-642620</wp:posOffset>
            </wp:positionV>
            <wp:extent cx="282067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20670" cy="17145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-25400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Clients</w:t>
      </w:r>
    </w:p>
    <w:p>
      <w:pPr>
        <w:spacing w:after="0" w:line="181" w:lineRule="exact"/>
        <w:rPr>
          <w:sz w:val="20"/>
          <w:szCs w:val="20"/>
          <w:color w:val="auto"/>
        </w:rPr>
      </w:pPr>
    </w:p>
    <w:p>
      <w:pPr>
        <w:ind w:right="400" w:firstLine="509"/>
        <w:spacing w:after="0" w:line="260"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clients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416"/>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r>
      <w:tr>
        <w:trPr>
          <w:trHeight w:val="189"/>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 of allowance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19,284</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40" w:type="dxa"/>
            <w:vAlign w:val="bottom"/>
            <w:shd w:val="clear" w:color="auto" w:fill="CFF0FC"/>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6,779</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5,268</w:t>
            </w:r>
          </w:p>
        </w:tc>
        <w:tc>
          <w:tcPr>
            <w:tcW w:w="140" w:type="dxa"/>
            <w:vAlign w:val="bottom"/>
          </w:tcPr>
          <w:p>
            <w:pPr>
              <w:spacing w:after="0"/>
              <w:rPr>
                <w:sz w:val="19"/>
                <w:szCs w:val="19"/>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 current</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5,223</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Deferred revenue – non-current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r>
    </w:tbl>
    <w:p>
      <w:pPr>
        <w:spacing w:after="0" w:line="176"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For the three months ended June 30, 2023 and 2022, the Company recognized $1.5 million and $1.6 million, respectively, of revenue from amounts that were included in deferred revenue as of March 31, 2023 and 2022. For the six months ended June 30, 2023 and 2022, the Company recognized $3.7 million and $3.6 million, respectively, of revenue from amounts that were included in deferred revenue as of December 31, 2022 and 2021.</w:t>
      </w:r>
    </w:p>
    <w:p>
      <w:pPr>
        <w:spacing w:after="0" w:line="28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Allowance for Credit Losses</w:t>
      </w:r>
    </w:p>
    <w:p>
      <w:pPr>
        <w:spacing w:after="0" w:line="181" w:lineRule="exact"/>
        <w:rPr>
          <w:sz w:val="20"/>
          <w:szCs w:val="20"/>
          <w:color w:val="auto"/>
        </w:rPr>
      </w:pPr>
    </w:p>
    <w:p>
      <w:pPr>
        <w:ind w:right="60" w:firstLine="509"/>
        <w:spacing w:after="0" w:line="260" w:lineRule="auto"/>
        <w:rPr>
          <w:sz w:val="20"/>
          <w:szCs w:val="20"/>
          <w:color w:val="auto"/>
        </w:rPr>
      </w:pPr>
      <w:r>
        <w:rPr>
          <w:rFonts w:ascii="Arial" w:cs="Arial" w:eastAsia="Arial" w:hAnsi="Arial"/>
          <w:sz w:val="18"/>
          <w:szCs w:val="18"/>
          <w:color w:val="auto"/>
        </w:rPr>
        <w:t>The Company maintains an allowance for credit losses for accounts receivable and unbilled receivables. Changes in the allowance for credit losses for the three and six months ended June 30, 2023 and 2022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1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566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at the beginning of the period</w:t>
            </w:r>
          </w:p>
        </w:tc>
        <w:tc>
          <w:tcPr>
            <w:tcW w:w="74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(297 )</w:t>
            </w:r>
          </w:p>
        </w:tc>
        <w:tc>
          <w:tcPr>
            <w:tcW w:w="7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(101 )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(212 )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(106 )</w:t>
            </w:r>
          </w:p>
        </w:tc>
      </w:tr>
      <w:tr>
        <w:trPr>
          <w:trHeight w:val="230"/>
        </w:trPr>
        <w:tc>
          <w:tcPr>
            <w:tcW w:w="5660" w:type="dxa"/>
            <w:vAlign w:val="bottom"/>
          </w:tcPr>
          <w:p>
            <w:pPr>
              <w:ind w:left="140"/>
              <w:spacing w:after="0"/>
              <w:rPr>
                <w:sz w:val="20"/>
                <w:szCs w:val="20"/>
                <w:color w:val="auto"/>
              </w:rPr>
            </w:pPr>
            <w:r>
              <w:rPr>
                <w:rFonts w:ascii="Arial" w:cs="Arial" w:eastAsia="Arial" w:hAnsi="Arial"/>
                <w:sz w:val="18"/>
                <w:szCs w:val="18"/>
                <w:color w:val="auto"/>
              </w:rPr>
              <w:t>Provision for expected credit losses</w:t>
            </w:r>
          </w:p>
        </w:tc>
        <w:tc>
          <w:tcPr>
            <w:tcW w:w="7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(516 )</w:t>
            </w:r>
          </w:p>
        </w:tc>
        <w:tc>
          <w:tcPr>
            <w:tcW w:w="7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(53 )</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(599 )</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(73 )</w:t>
            </w:r>
          </w:p>
        </w:tc>
      </w:tr>
      <w:tr>
        <w:trPr>
          <w:trHeight w:val="229"/>
        </w:trPr>
        <w:tc>
          <w:tcPr>
            <w:tcW w:w="5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Write-offs, net of recoveries</w:t>
            </w:r>
          </w:p>
        </w:tc>
        <w:tc>
          <w:tcPr>
            <w:tcW w:w="7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(2 )</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(4 )</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Allowance for credit losses at the end of the period</w:t>
            </w: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 xml:space="preserve">(815 </w:t>
            </w:r>
            <w:r>
              <w:rPr>
                <w:rFonts w:ascii="Arial" w:cs="Arial" w:eastAsia="Arial" w:hAnsi="Arial"/>
                <w:sz w:val="18"/>
                <w:szCs w:val="18"/>
                <w:color w:val="auto"/>
                <w:highlight w:val="white"/>
                <w:w w:val="93"/>
              </w:rPr>
              <w:t>)</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(149 )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color w:val="auto"/>
                <w:highlight w:val="white"/>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(149 )</w:t>
            </w:r>
          </w:p>
        </w:tc>
      </w:tr>
      <w:tr>
        <w:trPr>
          <w:trHeight w:val="20"/>
        </w:trPr>
        <w:tc>
          <w:tcPr>
            <w:tcW w:w="5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-179705</wp:posOffset>
            </wp:positionV>
            <wp:extent cx="85725"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95"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w:t>
      </w:r>
    </w:p>
    <w:p>
      <w:pPr>
        <w:spacing w:after="0" w:line="195" w:lineRule="exact"/>
        <w:rPr>
          <w:sz w:val="20"/>
          <w:szCs w:val="20"/>
          <w:color w:val="auto"/>
        </w:rPr>
      </w:pPr>
    </w:p>
    <w:p>
      <w:pPr>
        <w:ind w:right="200" w:firstLine="509"/>
        <w:spacing w:after="0" w:line="260"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an orderly transaction between market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4" w:lineRule="exact"/>
        <w:rPr>
          <w:sz w:val="20"/>
          <w:szCs w:val="20"/>
          <w:color w:val="auto"/>
        </w:rPr>
      </w:pPr>
    </w:p>
    <w:p>
      <w:pPr>
        <w:ind w:right="240" w:firstLine="509"/>
        <w:spacing w:after="0" w:line="260"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46" w:lineRule="exact"/>
        <w:rPr>
          <w:sz w:val="20"/>
          <w:szCs w:val="20"/>
          <w:color w:val="auto"/>
        </w:rPr>
      </w:pPr>
    </w:p>
    <w:p>
      <w:pPr>
        <w:ind w:right="60" w:firstLine="509"/>
        <w:spacing w:after="0" w:line="258" w:lineRule="auto"/>
        <w:rPr>
          <w:sz w:val="20"/>
          <w:szCs w:val="20"/>
          <w:color w:val="auto"/>
        </w:rPr>
      </w:pPr>
      <w:r>
        <w:rPr>
          <w:rFonts w:ascii="Arial" w:cs="Arial" w:eastAsia="Arial" w:hAnsi="Arial"/>
          <w:sz w:val="17"/>
          <w:szCs w:val="17"/>
          <w:color w:val="auto"/>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carrying values of accounts receivable, funds receivable from</w:t>
      </w:r>
    </w:p>
    <w:p>
      <w:pPr>
        <w:spacing w:after="0" w:line="2" w:lineRule="exact"/>
        <w:rPr>
          <w:sz w:val="20"/>
          <w:szCs w:val="20"/>
          <w:color w:val="auto"/>
        </w:rPr>
      </w:pPr>
    </w:p>
    <w:p>
      <w:pPr>
        <w:ind w:right="480"/>
        <w:spacing w:after="0" w:line="247" w:lineRule="auto"/>
        <w:rPr>
          <w:sz w:val="20"/>
          <w:szCs w:val="20"/>
          <w:color w:val="auto"/>
        </w:rPr>
      </w:pPr>
      <w:r>
        <w:rPr>
          <w:rFonts w:ascii="Arial" w:cs="Arial" w:eastAsia="Arial" w:hAnsi="Arial"/>
          <w:sz w:val="18"/>
          <w:szCs w:val="18"/>
          <w:color w:val="auto"/>
        </w:rPr>
        <w:t>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spacing w:after="0" w:line="144" w:lineRule="exact"/>
        <w:rPr>
          <w:sz w:val="20"/>
          <w:szCs w:val="20"/>
          <w:color w:val="auto"/>
        </w:rPr>
      </w:pPr>
    </w:p>
    <w:p>
      <w:pPr>
        <w:ind w:right="80" w:firstLine="509"/>
        <w:spacing w:after="0" w:line="260"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as of June 30, 2023 and December 31, 2022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Measured at NAV</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of June 30,</w:t>
            </w:r>
          </w:p>
        </w:tc>
        <w:tc>
          <w:tcPr>
            <w:tcW w:w="740" w:type="dxa"/>
            <w:vAlign w:val="bottom"/>
          </w:tcPr>
          <w:p>
            <w:pPr>
              <w:spacing w:after="0"/>
              <w:rPr>
                <w:sz w:val="14"/>
                <w:szCs w:val="14"/>
                <w:color w:val="auto"/>
              </w:rPr>
            </w:pPr>
          </w:p>
        </w:tc>
        <w:tc>
          <w:tcPr>
            <w:tcW w:w="3280" w:type="dxa"/>
            <w:vAlign w:val="bottom"/>
            <w:gridSpan w:val="9"/>
            <w:vMerge w:val="restart"/>
          </w:tcPr>
          <w:p>
            <w:pPr>
              <w:jc w:val="center"/>
              <w:ind w:right="80"/>
              <w:spacing w:after="0"/>
              <w:rPr>
                <w:sz w:val="20"/>
                <w:szCs w:val="20"/>
                <w:color w:val="auto"/>
              </w:rPr>
            </w:pPr>
            <w:r>
              <w:rPr>
                <w:rFonts w:ascii="Arial" w:cs="Arial" w:eastAsia="Arial" w:hAnsi="Arial"/>
                <w:sz w:val="14"/>
                <w:szCs w:val="14"/>
                <w:b w:val="1"/>
                <w:bCs w:val="1"/>
                <w:color w:val="auto"/>
              </w:rPr>
              <w:t>Measured at Fair Value as of June 30, 2023:</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9"/>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90,844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FF0FC"/>
          </w:tcPr>
          <w:p>
            <w:pPr>
              <w:jc w:val="right"/>
              <w:ind w:right="556"/>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90,844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Foreign exchange contracts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90,844</w:t>
            </w:r>
          </w:p>
        </w:tc>
        <w:tc>
          <w:tcPr>
            <w:tcW w:w="28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90,862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2"/>
                <w:szCs w:val="22"/>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900" w:type="dxa"/>
            <w:vAlign w:val="bottom"/>
          </w:tcPr>
          <w:p>
            <w:pPr>
              <w:spacing w:after="0"/>
              <w:rPr>
                <w:sz w:val="24"/>
                <w:szCs w:val="2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Measured at NAV</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December</w:t>
            </w:r>
          </w:p>
        </w:tc>
        <w:tc>
          <w:tcPr>
            <w:tcW w:w="4020" w:type="dxa"/>
            <w:vAlign w:val="bottom"/>
            <w:gridSpan w:val="10"/>
            <w:vMerge w:val="restart"/>
          </w:tcPr>
          <w:p>
            <w:pPr>
              <w:jc w:val="center"/>
              <w:ind w:left="575"/>
              <w:spacing w:after="0"/>
              <w:rPr>
                <w:sz w:val="20"/>
                <w:szCs w:val="20"/>
                <w:color w:val="auto"/>
              </w:rPr>
            </w:pPr>
            <w:r>
              <w:rPr>
                <w:rFonts w:ascii="Arial" w:cs="Arial" w:eastAsia="Arial" w:hAnsi="Arial"/>
                <w:sz w:val="14"/>
                <w:szCs w:val="14"/>
                <w:b w:val="1"/>
                <w:bCs w:val="1"/>
                <w:color w:val="auto"/>
              </w:rPr>
              <w:t>Measured at Fair Value as of December 31, 2022:</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13"/>
              <w:spacing w:after="0"/>
              <w:rPr>
                <w:sz w:val="20"/>
                <w:szCs w:val="20"/>
                <w:color w:val="auto"/>
              </w:rPr>
            </w:pPr>
            <w:r>
              <w:rPr>
                <w:rFonts w:ascii="Arial" w:cs="Arial" w:eastAsia="Arial" w:hAnsi="Arial"/>
                <w:sz w:val="14"/>
                <w:szCs w:val="14"/>
                <w:b w:val="1"/>
                <w:bCs w:val="1"/>
                <w:color w:val="auto"/>
              </w:rPr>
              <w:t>31, 2022:</w:t>
            </w:r>
          </w:p>
        </w:tc>
        <w:tc>
          <w:tcPr>
            <w:tcW w:w="280" w:type="dxa"/>
            <w:vAlign w:val="bottom"/>
          </w:tcPr>
          <w:p>
            <w:pPr>
              <w:spacing w:after="0"/>
              <w:rPr>
                <w:sz w:val="15"/>
                <w:szCs w:val="15"/>
                <w:color w:val="auto"/>
              </w:rPr>
            </w:pPr>
          </w:p>
        </w:tc>
        <w:tc>
          <w:tcPr>
            <w:tcW w:w="4020" w:type="dxa"/>
            <w:vAlign w:val="bottom"/>
            <w:tcBorders>
              <w:bottom w:val="single" w:sz="8" w:color="auto"/>
            </w:tcBorders>
            <w:gridSpan w:val="10"/>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9,145</w:t>
            </w:r>
          </w:p>
        </w:tc>
        <w:tc>
          <w:tcPr>
            <w:tcW w:w="280" w:type="dxa"/>
            <w:vAlign w:val="bottom"/>
          </w:tcPr>
          <w:p>
            <w:pPr>
              <w:spacing w:after="0"/>
              <w:rPr>
                <w:sz w:val="19"/>
                <w:szCs w:val="19"/>
                <w:color w:val="auto"/>
              </w:rPr>
            </w:pP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FF0FC"/>
          </w:tcPr>
          <w:p>
            <w:pPr>
              <w:jc w:val="right"/>
              <w:ind w:right="556"/>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5"/>
              <w:spacing w:after="0"/>
              <w:rPr>
                <w:sz w:val="20"/>
                <w:szCs w:val="20"/>
                <w:color w:val="auto"/>
              </w:rPr>
            </w:pPr>
            <w:r>
              <w:rPr>
                <w:rFonts w:ascii="Arial" w:cs="Arial" w:eastAsia="Arial" w:hAnsi="Arial"/>
                <w:sz w:val="18"/>
                <w:szCs w:val="18"/>
                <w:color w:val="auto"/>
                <w:w w:val="79"/>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ind w:right="556"/>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1,465</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-814070</wp:posOffset>
            </wp:positionV>
            <wp:extent cx="85725" cy="3257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-814070</wp:posOffset>
            </wp:positionV>
            <wp:extent cx="85725" cy="3257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-814070</wp:posOffset>
            </wp:positionV>
            <wp:extent cx="85725" cy="3257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-814070</wp:posOffset>
            </wp:positionV>
            <wp:extent cx="85725" cy="3257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-814070</wp:posOffset>
            </wp:positionV>
            <wp:extent cx="85725" cy="3257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325755"/>
                    </a:xfrm>
                    <a:prstGeom prst="rect">
                      <a:avLst/>
                    </a:prstGeom>
                    <a:noFill/>
                  </pic:spPr>
                </pic:pic>
              </a:graphicData>
            </a:graphic>
          </wp:anchor>
        </w:drawing>
      </w:r>
    </w:p>
    <w:p>
      <w:pPr>
        <w:spacing w:after="0" w:line="156" w:lineRule="exact"/>
        <w:rPr>
          <w:sz w:val="20"/>
          <w:szCs w:val="20"/>
          <w:color w:val="auto"/>
        </w:rPr>
      </w:pPr>
    </w:p>
    <w:p>
      <w:pPr>
        <w:ind w:right="120" w:firstLine="509"/>
        <w:spacing w:after="0" w:line="260" w:lineRule="auto"/>
        <w:rPr>
          <w:sz w:val="20"/>
          <w:szCs w:val="20"/>
          <w:color w:val="auto"/>
        </w:rPr>
      </w:pPr>
      <w:r>
        <w:rPr>
          <w:rFonts w:ascii="Arial" w:cs="Arial" w:eastAsia="Arial" w:hAnsi="Arial"/>
          <w:sz w:val="18"/>
          <w:szCs w:val="18"/>
          <w:color w:val="auto"/>
        </w:rPr>
        <w:t>During the six months ended June 30, 2023 and year ended December 31, 2022, there were no transfers between Level 1, Level 2 or Level 3.</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Cohort Solutions Pty Ltd. (Cohort Go)</w:t>
      </w:r>
    </w:p>
    <w:p>
      <w:pPr>
        <w:spacing w:after="0" w:line="177"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 xml:space="preserve">During March 2023, the Company made a payment of contingent consideration of $1.7 million, in the form of cash, based on Cohort Go's successful and timely achievement of the contracted milestones. No additional contingent consideration is due or payable with respect to the Cohort Go acquisition.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Cohort Go acquisition.</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contingent consideration related to the Cohort Go acquisition was determined using a scenario-based method.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 as of December 31,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00" w:type="dxa"/>
            <w:vAlign w:val="bottom"/>
          </w:tcPr>
          <w:p>
            <w:pPr>
              <w:spacing w:after="0"/>
              <w:rPr>
                <w:sz w:val="16"/>
                <w:szCs w:val="16"/>
                <w:color w:val="auto"/>
              </w:rPr>
            </w:pPr>
          </w:p>
        </w:tc>
        <w:tc>
          <w:tcPr>
            <w:tcW w:w="2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gridSpan w:val="2"/>
          </w:tcPr>
          <w:p>
            <w:pPr>
              <w:spacing w:after="0"/>
              <w:rPr>
                <w:sz w:val="16"/>
                <w:szCs w:val="16"/>
                <w:color w:val="auto"/>
              </w:rPr>
            </w:pPr>
          </w:p>
        </w:tc>
      </w:tr>
      <w:tr>
        <w:trPr>
          <w:trHeight w:val="223"/>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Discount rate</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11.2 %</w:t>
            </w:r>
          </w:p>
        </w:tc>
        <w:tc>
          <w:tcPr>
            <w:tcW w:w="40" w:type="dxa"/>
            <w:vAlign w:val="bottom"/>
          </w:tcPr>
          <w:p>
            <w:pPr>
              <w:spacing w:after="0"/>
              <w:rPr>
                <w:sz w:val="19"/>
                <w:szCs w:val="19"/>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Probability of successful achievement *</w:t>
            </w:r>
          </w:p>
        </w:tc>
        <w:tc>
          <w:tcPr>
            <w:tcW w:w="2700" w:type="dxa"/>
            <w:vAlign w:val="bottom"/>
          </w:tcPr>
          <w:p>
            <w:pPr>
              <w:jc w:val="right"/>
              <w:spacing w:after="0"/>
              <w:rPr>
                <w:sz w:val="20"/>
                <w:szCs w:val="20"/>
                <w:color w:val="auto"/>
              </w:rPr>
            </w:pPr>
            <w:r>
              <w:rPr>
                <w:rFonts w:ascii="Arial" w:cs="Arial" w:eastAsia="Arial" w:hAnsi="Arial"/>
                <w:sz w:val="18"/>
                <w:szCs w:val="18"/>
                <w:color w:val="auto"/>
              </w:rPr>
              <w:t>75% - 100%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69"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Increases or decreases in any of the probabilities of success in which the specific post-acquisition milestones were expected to be achieved would result in a higher or lower fair value measurement, respectively. Increases or decreases in the discount rate would result in a lower or higher fair value measurement,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WPM Group Ltd. (WPM)</w:t>
      </w:r>
    </w:p>
    <w:p>
      <w:pPr>
        <w:spacing w:after="0" w:line="191"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 xml:space="preserve">Pursuant to the terms of the business combination agreement, contingent consideration is potentially payable at various intervals through March 2024 in the form of cash or up to approximately 225,000 shares of common stock, at Flywire's option, and is dependent upon the Company's achievement of specified minimum payment volume targets and integration targets. The first payment volume target was based on a period of fifteen months from January 1, 2022 to March 31, 2023 and the second payment volume target is based on a period of twelve months from April 1, 2023 to March 31, 2024. Integration targets were established through a period ending April 1, 2022. As of June 30, 2023, the Company expects a potential contingent consideration payment of less than $0.1 million will be payable with respect to the WPM acquisition. Refer to </w:t>
      </w:r>
      <w:r>
        <w:rPr>
          <w:rFonts w:ascii="Arial" w:cs="Arial" w:eastAsia="Arial" w:hAnsi="Arial"/>
          <w:sz w:val="18"/>
          <w:szCs w:val="18"/>
          <w:i w:val="1"/>
          <w:iCs w:val="1"/>
          <w:color w:val="auto"/>
        </w:rPr>
        <w:t>Note 8 - Business Combinations</w:t>
      </w:r>
      <w:r>
        <w:rPr>
          <w:rFonts w:ascii="Arial" w:cs="Arial" w:eastAsia="Arial" w:hAnsi="Arial"/>
          <w:sz w:val="18"/>
          <w:szCs w:val="18"/>
          <w:color w:val="auto"/>
        </w:rPr>
        <w:t xml:space="preserve"> for additional details on the WPM acquisition.</w:t>
      </w:r>
    </w:p>
    <w:p>
      <w:pPr>
        <w:spacing w:after="0" w:line="150"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fair value of the contingent consideration related to the payment volume targets was determined using an option pricing model and the fair value of the contingent consideration related to the integration targets was determined using a scenario-based method. The following table presents the unobservable inputs incorporated into the valuation of contingent consideration related to the WPM acquisition as of December 31,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00" w:type="dxa"/>
            <w:vAlign w:val="bottom"/>
          </w:tcPr>
          <w:p>
            <w:pPr>
              <w:spacing w:after="0"/>
              <w:rPr>
                <w:sz w:val="17"/>
                <w:szCs w:val="17"/>
                <w:color w:val="auto"/>
              </w:rPr>
            </w:pPr>
          </w:p>
        </w:tc>
        <w:tc>
          <w:tcPr>
            <w:tcW w:w="28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December 31, 2022</w:t>
            </w:r>
          </w:p>
        </w:tc>
      </w:tr>
      <w:tr>
        <w:trPr>
          <w:trHeight w:val="29"/>
        </w:trPr>
        <w:tc>
          <w:tcPr>
            <w:tcW w:w="84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 price of risk adjustment for revenue</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6.7 %</w:t>
            </w:r>
          </w:p>
        </w:tc>
        <w:tc>
          <w:tcPr>
            <w:tcW w:w="40" w:type="dxa"/>
            <w:vAlign w:val="bottom"/>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Revenue volatility</w:t>
            </w:r>
          </w:p>
        </w:tc>
        <w:tc>
          <w:tcPr>
            <w:tcW w:w="2880" w:type="dxa"/>
            <w:vAlign w:val="bottom"/>
            <w:gridSpan w:val="3"/>
          </w:tcPr>
          <w:p>
            <w:pPr>
              <w:jc w:val="right"/>
              <w:spacing w:after="0"/>
              <w:rPr>
                <w:sz w:val="20"/>
                <w:szCs w:val="20"/>
                <w:color w:val="auto"/>
              </w:rPr>
            </w:pPr>
            <w:r>
              <w:rPr>
                <w:rFonts w:ascii="Arial" w:cs="Arial" w:eastAsia="Arial" w:hAnsi="Arial"/>
                <w:sz w:val="18"/>
                <w:szCs w:val="18"/>
                <w:color w:val="auto"/>
              </w:rPr>
              <w:t>22.7 %</w:t>
            </w:r>
          </w:p>
        </w:tc>
      </w:tr>
      <w:tr>
        <w:trPr>
          <w:trHeight w:val="230"/>
        </w:trPr>
        <w:tc>
          <w:tcPr>
            <w:tcW w:w="8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Probability of successful achievement*</w:t>
            </w:r>
          </w:p>
        </w:tc>
        <w:tc>
          <w:tcPr>
            <w:tcW w:w="2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 - 100%</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Performance period</w:t>
            </w:r>
          </w:p>
        </w:tc>
        <w:tc>
          <w:tcPr>
            <w:tcW w:w="2880" w:type="dxa"/>
            <w:vAlign w:val="bottom"/>
            <w:gridSpan w:val="3"/>
          </w:tcPr>
          <w:p>
            <w:pPr>
              <w:jc w:val="right"/>
              <w:ind w:right="200"/>
              <w:spacing w:after="0"/>
              <w:rPr>
                <w:sz w:val="20"/>
                <w:szCs w:val="20"/>
                <w:color w:val="auto"/>
              </w:rPr>
            </w:pPr>
            <w:r>
              <w:rPr>
                <w:rFonts w:ascii="Arial" w:cs="Arial" w:eastAsia="Arial" w:hAnsi="Arial"/>
                <w:sz w:val="18"/>
                <w:szCs w:val="18"/>
                <w:color w:val="auto"/>
              </w:rPr>
              <w:t>1.25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 Probability of successful achievement was set at different targets based on the Company’s best estimates on achieving them.</w:t>
      </w:r>
    </w:p>
    <w:p>
      <w:pPr>
        <w:spacing w:after="0" w:line="16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Increases or decreases in expectations regarding the level at which payment volumes are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spacing w:after="0" w:line="16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Changes in the fair value of contingent consideration are included as a component of general and administrative expense within the condensed consolidated statements of operations and comprehensive loss. Contingent consideration ending balance consists of a potential contingent consideration payment of less than $0.1 million with respect to the WPM</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acquisition. The following table summarizes the changes in the carrying value of the contingent consideration for the three and six months ended June 30, 2023 and 2022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78"/>
              <w:spacing w:after="0"/>
              <w:rPr>
                <w:sz w:val="20"/>
                <w:szCs w:val="20"/>
                <w:color w:val="auto"/>
              </w:rPr>
            </w:pPr>
            <w:r>
              <w:rPr>
                <w:rFonts w:ascii="Arial" w:cs="Arial" w:eastAsia="Arial" w:hAnsi="Arial"/>
                <w:sz w:val="13"/>
                <w:szCs w:val="13"/>
                <w:b w:val="1"/>
                <w:bCs w:val="1"/>
                <w:color w:val="auto"/>
              </w:rPr>
              <w:t>Three Months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Three Months</w:t>
            </w:r>
          </w:p>
        </w:tc>
        <w:tc>
          <w:tcPr>
            <w:tcW w:w="120" w:type="dxa"/>
            <w:vAlign w:val="bottom"/>
          </w:tcPr>
          <w:p>
            <w:pPr>
              <w:spacing w:after="0"/>
              <w:rPr>
                <w:sz w:val="13"/>
                <w:szCs w:val="13"/>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Six Months</w:t>
            </w:r>
          </w:p>
        </w:tc>
        <w:tc>
          <w:tcPr>
            <w:tcW w:w="12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Six Months</w:t>
            </w:r>
          </w:p>
        </w:tc>
      </w:tr>
      <w:tr>
        <w:trPr>
          <w:trHeight w:val="148"/>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78"/>
              <w:spacing w:after="0"/>
              <w:rPr>
                <w:sz w:val="20"/>
                <w:szCs w:val="20"/>
                <w:color w:val="auto"/>
              </w:rPr>
            </w:pPr>
            <w:r>
              <w:rPr>
                <w:rFonts w:ascii="Arial" w:cs="Arial" w:eastAsia="Arial" w:hAnsi="Arial"/>
                <w:sz w:val="13"/>
                <w:szCs w:val="13"/>
                <w:b w:val="1"/>
                <w:bCs w:val="1"/>
                <w:color w:val="auto"/>
              </w:rPr>
              <w:t>Ended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Ended</w:t>
            </w:r>
          </w:p>
        </w:tc>
        <w:tc>
          <w:tcPr>
            <w:tcW w:w="12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Ended</w:t>
            </w:r>
          </w:p>
        </w:tc>
      </w:tr>
      <w:tr>
        <w:trPr>
          <w:trHeight w:val="179"/>
        </w:trPr>
        <w:tc>
          <w:tcPr>
            <w:tcW w:w="5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rPr>
              <w:t>June 30, 2023</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rPr>
              <w:t>June 30, 2022</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rPr>
              <w:t>June 30, 2023</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rPr>
              <w:t>June 30, 2022</w:t>
            </w:r>
          </w:p>
        </w:tc>
        <w:tc>
          <w:tcPr>
            <w:tcW w:w="140" w:type="dxa"/>
            <w:vAlign w:val="bottom"/>
          </w:tcPr>
          <w:p>
            <w:pPr>
              <w:spacing w:after="0"/>
              <w:rPr>
                <w:sz w:val="15"/>
                <w:szCs w:val="15"/>
                <w:color w:val="auto"/>
              </w:rPr>
            </w:pPr>
          </w:p>
        </w:tc>
      </w:tr>
      <w:tr>
        <w:trPr>
          <w:trHeight w:val="22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11,309</w:t>
            </w:r>
          </w:p>
        </w:tc>
        <w:tc>
          <w:tcPr>
            <w:tcW w:w="140" w:type="dxa"/>
            <w:vAlign w:val="bottom"/>
            <w:shd w:val="clear" w:color="auto" w:fill="CFF0FC"/>
          </w:tcPr>
          <w:p>
            <w:pPr>
              <w:spacing w:after="0"/>
              <w:rPr>
                <w:sz w:val="19"/>
                <w:szCs w:val="19"/>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(880 )</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(950 )</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Contingent consideration paid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(1,674 )</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(7,844 )</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(216 )</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(311 )</w:t>
            </w:r>
          </w:p>
        </w:tc>
      </w:tr>
      <w:tr>
        <w:trPr>
          <w:trHeight w:val="223"/>
        </w:trPr>
        <w:tc>
          <w:tcPr>
            <w:tcW w:w="5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30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140" w:type="dxa"/>
            <w:vAlign w:val="bottom"/>
            <w:tcBorders>
              <w:top w:val="single" w:sz="8" w:color="CFF0FC"/>
            </w:tcBorders>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-179705</wp:posOffset>
            </wp:positionV>
            <wp:extent cx="85725"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-179705</wp:posOffset>
            </wp:positionV>
            <wp:extent cx="85725" cy="180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-179705</wp:posOffset>
            </wp:positionV>
            <wp:extent cx="85725" cy="180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8572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23" w:lineRule="exact"/>
        <w:rPr>
          <w:sz w:val="20"/>
          <w:szCs w:val="20"/>
          <w:color w:val="auto"/>
        </w:rPr>
      </w:pPr>
    </w:p>
    <w:p>
      <w:pPr>
        <w:ind w:right="600" w:firstLine="8"/>
        <w:spacing w:after="0" w:line="257" w:lineRule="auto"/>
        <w:tabs>
          <w:tab w:leader="none" w:pos="96"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six months ended June 30, 2023 and 2022, contingent consideration paid has been bifurcated between the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Derivative Instruments</w:t>
      </w:r>
    </w:p>
    <w:p>
      <w:pPr>
        <w:spacing w:after="0" w:line="18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June 30, 2023 and December 31, 2022, the Company had 8,156 and 11,816 open foreign exchange contracts, respectively. As of June 30, 2023 and December 31, 2022, the Company had foreign currency forward contracts outstanding with a notional amount of $35.3 million and $54.7 million, respectively.</w:t>
      </w:r>
    </w:p>
    <w:p>
      <w:pPr>
        <w:spacing w:after="0" w:line="167"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 Company records all derivative instruments in the condensed consolidated balance sheets at their fair values. For the six months ended June 30, 2023, the Company recorded an asset of less than $0.1 million and for the year ended December 31, 2022, the Company recorded a liability of $0.1 million related to outstanding foreign exchange contracts. The Company recognized a gain of $0.3 million and a loss of $1.0 million during the three and six months ended June 30, 2023, respectively. The Company recognized a loss of $0.3 million and $0.6 million during the three and six months ended June 30, 2022, respectively. Gains and losses are included as a component of general and administrative expense within the condensed consolidated statements of operations and comprehensive loss.</w:t>
      </w:r>
    </w:p>
    <w:p>
      <w:pPr>
        <w:spacing w:after="0" w:line="29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Accrued Expenses and Other Current Liabilities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as of the dates presented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254"/>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r>
      <w:tr>
        <w:trPr>
          <w:trHeight w:val="189"/>
        </w:trPr>
        <w:tc>
          <w:tcPr>
            <w:tcW w:w="8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23"/>
        </w:trPr>
        <w:tc>
          <w:tcPr>
            <w:tcW w:w="8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 and related taxes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16,944</w:t>
            </w:r>
          </w:p>
        </w:tc>
        <w:tc>
          <w:tcPr>
            <w:tcW w:w="140" w:type="dxa"/>
            <w:vAlign w:val="bottom"/>
            <w:shd w:val="clear" w:color="auto" w:fill="CFF0FC"/>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Accrued vendor liabilities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3,104</w:t>
            </w:r>
          </w:p>
        </w:tc>
        <w:tc>
          <w:tcPr>
            <w:tcW w:w="140" w:type="dxa"/>
            <w:vAlign w:val="bottom"/>
          </w:tcPr>
          <w:p>
            <w:pPr>
              <w:spacing w:after="0"/>
              <w:rPr>
                <w:sz w:val="19"/>
                <w:szCs w:val="19"/>
                <w:color w:val="auto"/>
              </w:rPr>
            </w:pPr>
          </w:p>
        </w:tc>
      </w:tr>
      <w:tr>
        <w:trPr>
          <w:trHeight w:val="230"/>
        </w:trPr>
        <w:tc>
          <w:tcPr>
            <w:tcW w:w="8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income and other non-employee related taxes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40" w:type="dxa"/>
            <w:vAlign w:val="bottom"/>
            <w:shd w:val="clear" w:color="auto" w:fill="CFF0FC"/>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1,723</w:t>
            </w:r>
          </w:p>
        </w:tc>
        <w:tc>
          <w:tcPr>
            <w:tcW w:w="140" w:type="dxa"/>
            <w:vAlign w:val="bottom"/>
          </w:tcPr>
          <w:p>
            <w:pPr>
              <w:spacing w:after="0"/>
              <w:rPr>
                <w:sz w:val="19"/>
                <w:szCs w:val="19"/>
                <w:color w:val="auto"/>
              </w:rPr>
            </w:pPr>
          </w:p>
        </w:tc>
      </w:tr>
      <w:tr>
        <w:trPr>
          <w:trHeight w:val="229"/>
        </w:trPr>
        <w:tc>
          <w:tcPr>
            <w:tcW w:w="8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140" w:type="dxa"/>
            <w:vAlign w:val="bottom"/>
            <w:shd w:val="clear" w:color="auto" w:fill="CFF0FC"/>
          </w:tcPr>
          <w:p>
            <w:pPr>
              <w:spacing w:after="0"/>
              <w:rPr>
                <w:sz w:val="19"/>
                <w:szCs w:val="19"/>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40" w:type="dxa"/>
            <w:vAlign w:val="bottom"/>
          </w:tcPr>
          <w:p>
            <w:pPr>
              <w:spacing w:after="0"/>
              <w:rPr>
                <w:sz w:val="19"/>
                <w:szCs w:val="19"/>
                <w:color w:val="auto"/>
              </w:rPr>
            </w:pPr>
          </w:p>
        </w:tc>
      </w:tr>
      <w:tr>
        <w:trPr>
          <w:trHeight w:val="263"/>
        </w:trPr>
        <w:tc>
          <w:tcPr>
            <w:tcW w:w="8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35,044</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34,423</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-25400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9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Property and Equipment, net</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as of the dates presented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13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23"/>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Computer equipment and software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140" w:type="dxa"/>
            <w:vAlign w:val="bottom"/>
            <w:shd w:val="clear" w:color="auto" w:fill="CFF0FC"/>
          </w:tcPr>
          <w:p>
            <w:pPr>
              <w:spacing w:after="0"/>
              <w:rPr>
                <w:sz w:val="19"/>
                <w:szCs w:val="19"/>
                <w:color w:val="auto"/>
              </w:rPr>
            </w:pP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Internal-use software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15,943</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13,131</w:t>
            </w:r>
          </w:p>
        </w:tc>
        <w:tc>
          <w:tcPr>
            <w:tcW w:w="140" w:type="dxa"/>
            <w:vAlign w:val="bottom"/>
          </w:tcPr>
          <w:p>
            <w:pPr>
              <w:spacing w:after="0"/>
              <w:rPr>
                <w:sz w:val="19"/>
                <w:szCs w:val="19"/>
                <w:color w:val="auto"/>
              </w:rPr>
            </w:pPr>
          </w:p>
        </w:tc>
      </w:tr>
      <w:tr>
        <w:trPr>
          <w:trHeight w:val="229"/>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4,704</w:t>
            </w:r>
          </w:p>
        </w:tc>
        <w:tc>
          <w:tcPr>
            <w:tcW w:w="140" w:type="dxa"/>
            <w:vAlign w:val="bottom"/>
          </w:tcPr>
          <w:p>
            <w:pPr>
              <w:spacing w:after="0"/>
              <w:rPr>
                <w:sz w:val="19"/>
                <w:szCs w:val="19"/>
                <w:color w:val="auto"/>
              </w:rPr>
            </w:pPr>
          </w:p>
        </w:tc>
      </w:tr>
      <w:tr>
        <w:trPr>
          <w:trHeight w:val="229"/>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FF0FC"/>
          </w:tcPr>
          <w:p>
            <w:pPr>
              <w:spacing w:after="0"/>
              <w:rPr>
                <w:sz w:val="19"/>
                <w:szCs w:val="19"/>
                <w:color w:val="auto"/>
              </w:rPr>
            </w:pPr>
          </w:p>
        </w:tc>
      </w:tr>
      <w:tr>
        <w:trPr>
          <w:trHeight w:val="223"/>
        </w:trPr>
        <w:tc>
          <w:tcPr>
            <w:tcW w:w="1360" w:type="dxa"/>
            <w:vAlign w:val="bottom"/>
            <w:tcBorders>
              <w:top w:val="single" w:sz="8" w:color="CFF0FC"/>
            </w:tcBorders>
          </w:tcPr>
          <w:p>
            <w:pPr>
              <w:spacing w:after="0"/>
              <w:rPr>
                <w:sz w:val="19"/>
                <w:szCs w:val="19"/>
                <w:color w:val="auto"/>
              </w:rPr>
            </w:pPr>
          </w:p>
        </w:tc>
        <w:tc>
          <w:tcPr>
            <w:tcW w:w="624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25,503</w:t>
            </w:r>
          </w:p>
        </w:tc>
        <w:tc>
          <w:tcPr>
            <w:tcW w:w="3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22,213</w:t>
            </w:r>
          </w:p>
        </w:tc>
        <w:tc>
          <w:tcPr>
            <w:tcW w:w="140" w:type="dxa"/>
            <w:vAlign w:val="bottom"/>
            <w:tcBorders>
              <w:top w:val="single" w:sz="8" w:color="CFF0FC"/>
            </w:tcBorders>
          </w:tcPr>
          <w:p>
            <w:pPr>
              <w:spacing w:after="0"/>
              <w:rPr>
                <w:sz w:val="19"/>
                <w:szCs w:val="19"/>
                <w:color w:val="auto"/>
              </w:rPr>
            </w:pPr>
          </w:p>
        </w:tc>
      </w:tr>
      <w:tr>
        <w:trPr>
          <w:trHeight w:val="229"/>
        </w:trPr>
        <w:tc>
          <w:tcPr>
            <w:tcW w:w="76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(10,802 )</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(8,896 )</w:t>
            </w:r>
          </w:p>
        </w:tc>
      </w:tr>
      <w:tr>
        <w:trPr>
          <w:trHeight w:val="223"/>
        </w:trPr>
        <w:tc>
          <w:tcPr>
            <w:tcW w:w="1360" w:type="dxa"/>
            <w:vAlign w:val="bottom"/>
            <w:tcBorders>
              <w:top w:val="single" w:sz="8" w:color="CFF0FC"/>
            </w:tcBorders>
          </w:tcPr>
          <w:p>
            <w:pPr>
              <w:spacing w:after="0"/>
              <w:rPr>
                <w:sz w:val="19"/>
                <w:szCs w:val="19"/>
                <w:color w:val="auto"/>
              </w:rPr>
            </w:pPr>
          </w:p>
        </w:tc>
        <w:tc>
          <w:tcPr>
            <w:tcW w:w="624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14,701</w:t>
            </w:r>
          </w:p>
        </w:tc>
        <w:tc>
          <w:tcPr>
            <w:tcW w:w="34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13,317</w:t>
            </w:r>
          </w:p>
        </w:tc>
        <w:tc>
          <w:tcPr>
            <w:tcW w:w="140" w:type="dxa"/>
            <w:vAlign w:val="bottom"/>
            <w:tcBorders>
              <w:top w:val="single" w:sz="8" w:color="CFF0FC"/>
            </w:tcBorders>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6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-574040</wp:posOffset>
            </wp:positionV>
            <wp:extent cx="85725"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-574040</wp:posOffset>
            </wp:positionV>
            <wp:extent cx="8572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-273685</wp:posOffset>
            </wp:positionV>
            <wp:extent cx="8572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-273685</wp:posOffset>
            </wp:positionV>
            <wp:extent cx="85725"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5" w:lineRule="exact"/>
        <w:rPr>
          <w:sz w:val="20"/>
          <w:szCs w:val="20"/>
          <w:color w:val="auto"/>
        </w:rPr>
      </w:pPr>
    </w:p>
    <w:p>
      <w:pPr>
        <w:ind w:right="260" w:firstLine="8"/>
        <w:spacing w:after="0" w:line="257" w:lineRule="auto"/>
        <w:tabs>
          <w:tab w:leader="none" w:pos="96"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six months ended June 30, 2023, accumulated depreciation and amortization expense included $93 thousand of computer disposals and $99 thousand of foreign currency translation adjustments. For the six months ended June 30, 2022, accumulated depreciation and amortization expense included $2 thousand of computer disposals and $102 thousand of foreign currency translation adjustments.</w:t>
      </w:r>
    </w:p>
    <w:p>
      <w:pPr>
        <w:spacing w:after="0" w:line="137" w:lineRule="exact"/>
        <w:rPr>
          <w:sz w:val="20"/>
          <w:szCs w:val="20"/>
          <w:color w:val="auto"/>
        </w:rPr>
      </w:pPr>
    </w:p>
    <w:p>
      <w:pPr>
        <w:ind w:right="380" w:firstLine="509"/>
        <w:spacing w:after="0" w:line="247" w:lineRule="auto"/>
        <w:rPr>
          <w:sz w:val="20"/>
          <w:szCs w:val="20"/>
          <w:color w:val="auto"/>
        </w:rPr>
      </w:pPr>
      <w:r>
        <w:rPr>
          <w:rFonts w:ascii="Arial" w:cs="Arial" w:eastAsia="Arial" w:hAnsi="Arial"/>
          <w:sz w:val="18"/>
          <w:szCs w:val="18"/>
          <w:color w:val="auto"/>
        </w:rPr>
        <w:t>Depreciation and amortization expense for the three months ended June 30, 2023 and 2022 was $1.2 million and $0.8 million, respectively. Depreciation and amortization expense for the six months ended June 30, 2023 and 2022 was $2.1 million and $1.5 million, respectively.</w:t>
      </w:r>
    </w:p>
    <w:p>
      <w:pPr>
        <w:spacing w:after="0" w:line="157"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The Company capitalized $2.8 million and $5.7 million in costs related to internal-use software during the six months ended June 30, 2023 and the year ended December 31, 2022, respectively. Software developed for internal use is amortized on a straight-line basis over its estimated useful life of five years.</w:t>
      </w:r>
    </w:p>
    <w:p>
      <w:pPr>
        <w:spacing w:after="0" w:line="14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As of June 30, 2023 and December 31, 2022, the carrying value of internal-use software was $12.1 million and $10.6 million, respectively. Amortization expense related to internal-use software for the three months ended June 30, 2023 and 2022 was $0.8 million and $0.3 million, respectively. Amortization expense related to internal-use software for the six months ended June 30, 2023 and 2022 was $1.3 million and $0.7 million, respectively.</w:t>
      </w:r>
    </w:p>
    <w:p>
      <w:pPr>
        <w:spacing w:after="0" w:line="1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Business Combinations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Cohort Go</w:t>
      </w:r>
    </w:p>
    <w:p>
      <w:pPr>
        <w:spacing w:after="0" w:line="181"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On July 13, 2022, Flywire acquired all of the issued and outstanding shares of Cohort Go, an Australian-based education payments provider that simplifies the student recruitment process by bringing together students, agents and essential student services such as health insurance into one platform. The acquisition of Cohort Go contributed to the Company's global expansion and accelerated the growth of Flywire's agent related revenue, in which Flywire partners with agents who refer students to the Company. The agent related revenue is reported as transaction revenue for Flywire, while the health insurance related revenue is reported as platform revenue. The acquisition of Cohort Go has been accounted for as a business combination.</w:t>
      </w:r>
    </w:p>
    <w:p>
      <w:pPr>
        <w:spacing w:after="0" w:line="15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During the fourth quarter of 2022, the cash consideration, net of cash acquired and the purchase price allocation was adjusted to reflect a working capital true-up and a change to the deferred tax liability, which was due to additional tax basis associated with the acquired technology intangible asset. This resulted in a $0.2 million increase in the cash consideration, net of cash acquired, a $1.4 million decrease to deferred tax liability and a $1.2 million decrease to goodwill from the quarter ended September 30, 2022 to the year ended December 31, 2022. The adjusted purchase price allocation is reflected in the consolidated balance sheet as of December 31, 2022 and purchase price allocation below.</w:t>
      </w:r>
    </w:p>
    <w:p>
      <w:pPr>
        <w:spacing w:after="0" w:line="167" w:lineRule="exact"/>
        <w:rPr>
          <w:sz w:val="20"/>
          <w:szCs w:val="20"/>
          <w:color w:val="auto"/>
        </w:rPr>
      </w:pPr>
    </w:p>
    <w:p>
      <w:pPr>
        <w:ind w:right="760" w:firstLine="509"/>
        <w:spacing w:after="0" w:line="260" w:lineRule="auto"/>
        <w:rPr>
          <w:sz w:val="20"/>
          <w:szCs w:val="20"/>
          <w:color w:val="auto"/>
        </w:rPr>
      </w:pPr>
      <w:r>
        <w:rPr>
          <w:rFonts w:ascii="Arial" w:cs="Arial" w:eastAsia="Arial" w:hAnsi="Arial"/>
          <w:sz w:val="18"/>
          <w:szCs w:val="18"/>
          <w:color w:val="auto"/>
        </w:rPr>
        <w:t>Pursuant to the terms of the business combination agreement, the Company acquired Cohort Go for estimated total purchase consideration of $33.0 million or $23.1 million, net of cash acquired, which consisted of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consideration, net of cash acquired</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17,140</w:t>
            </w:r>
          </w:p>
        </w:tc>
        <w:tc>
          <w:tcPr>
            <w:tcW w:w="140" w:type="dxa"/>
            <w:vAlign w:val="bottom"/>
            <w:shd w:val="clear" w:color="auto" w:fill="CFF0FC"/>
          </w:tcPr>
          <w:p>
            <w:pPr>
              <w:spacing w:after="0"/>
              <w:rPr>
                <w:sz w:val="19"/>
                <w:szCs w:val="19"/>
                <w:color w:val="auto"/>
              </w:rPr>
            </w:pP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Estimated fair value of shares of common stock</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4,287</w:t>
            </w:r>
          </w:p>
        </w:tc>
        <w:tc>
          <w:tcPr>
            <w:tcW w:w="140" w:type="dxa"/>
            <w:vAlign w:val="bottom"/>
          </w:tcPr>
          <w:p>
            <w:pPr>
              <w:spacing w:after="0"/>
              <w:rPr>
                <w:sz w:val="19"/>
                <w:szCs w:val="19"/>
                <w:color w:val="auto"/>
              </w:rPr>
            </w:pPr>
          </w:p>
        </w:tc>
      </w:tr>
      <w:tr>
        <w:trPr>
          <w:trHeight w:val="229"/>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Estimated fair value of contingent consideration</w:t>
            </w:r>
          </w:p>
        </w:tc>
        <w:tc>
          <w:tcPr>
            <w:tcW w:w="7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9140" w:type="dxa"/>
            <w:vAlign w:val="bottom"/>
          </w:tcPr>
          <w:p>
            <w:pPr>
              <w:ind w:left="280"/>
              <w:spacing w:after="0"/>
              <w:rPr>
                <w:sz w:val="20"/>
                <w:szCs w:val="20"/>
                <w:color w:val="auto"/>
              </w:rPr>
            </w:pPr>
            <w:r>
              <w:rPr>
                <w:rFonts w:ascii="Arial" w:cs="Arial" w:eastAsia="Arial" w:hAnsi="Arial"/>
                <w:sz w:val="18"/>
                <w:szCs w:val="18"/>
                <w:color w:val="auto"/>
              </w:rPr>
              <w:t>Total purchase consideration, net of cash acquired</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23,122</w:t>
            </w:r>
          </w:p>
        </w:tc>
        <w:tc>
          <w:tcPr>
            <w:tcW w:w="14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143"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Contingent consideration, which totaled up to $1.7 million represented additional payments that Flywire was required to make which was dependent upon Cohort Go's achievement of specific post-acquisition milestones and was subject to exchange rate fluctuation adjustment between the U.S. Dollar and Australian Dollar. During March 2023, the Company made a payment of contingent consideration of $1.7 million, in the form of cash, based on Cohort Go's successful and timely achievement of the contracted milestones. No additional contingent consideration is due or payable with respect to the Cohort Go acquisition.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table summarizes the allocation of the purchase consideration to the assets acquired and liabilities assumed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7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9,880</w:t>
            </w:r>
          </w:p>
        </w:tc>
        <w:tc>
          <w:tcPr>
            <w:tcW w:w="140" w:type="dxa"/>
            <w:vAlign w:val="bottom"/>
            <w:shd w:val="clear" w:color="auto" w:fill="CFF0FC"/>
          </w:tcPr>
          <w:p>
            <w:pPr>
              <w:spacing w:after="0"/>
              <w:rPr>
                <w:sz w:val="19"/>
                <w:szCs w:val="19"/>
                <w:color w:val="auto"/>
              </w:rPr>
            </w:pP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9"/>
                <w:szCs w:val="19"/>
                <w:color w:val="auto"/>
              </w:rPr>
            </w:pPr>
          </w:p>
        </w:tc>
      </w:tr>
      <w:tr>
        <w:trPr>
          <w:trHeight w:val="229"/>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receivable from payment partners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40" w:type="dxa"/>
            <w:vAlign w:val="bottom"/>
            <w:shd w:val="clear" w:color="auto" w:fill="CFF0FC"/>
          </w:tcPr>
          <w:p>
            <w:pPr>
              <w:spacing w:after="0"/>
              <w:rPr>
                <w:sz w:val="19"/>
                <w:szCs w:val="19"/>
                <w:color w:val="auto"/>
              </w:rPr>
            </w:pP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9"/>
                <w:szCs w:val="19"/>
                <w:color w:val="auto"/>
              </w:rPr>
            </w:pPr>
          </w:p>
        </w:tc>
      </w:tr>
      <w:tr>
        <w:trPr>
          <w:trHeight w:val="229"/>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FF0FC"/>
          </w:tcPr>
          <w:p>
            <w:pPr>
              <w:spacing w:after="0"/>
              <w:rPr>
                <w:sz w:val="19"/>
                <w:szCs w:val="19"/>
                <w:color w:val="auto"/>
              </w:rPr>
            </w:pP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16,197</w:t>
            </w:r>
          </w:p>
        </w:tc>
        <w:tc>
          <w:tcPr>
            <w:tcW w:w="140" w:type="dxa"/>
            <w:vAlign w:val="bottom"/>
          </w:tcPr>
          <w:p>
            <w:pPr>
              <w:spacing w:after="0"/>
              <w:rPr>
                <w:sz w:val="19"/>
                <w:szCs w:val="19"/>
                <w:color w:val="auto"/>
              </w:rPr>
            </w:pPr>
          </w:p>
        </w:tc>
      </w:tr>
      <w:tr>
        <w:trPr>
          <w:trHeight w:val="229"/>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7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9140" w:type="dxa"/>
            <w:vAlign w:val="bottom"/>
          </w:tcPr>
          <w:p>
            <w:pPr>
              <w:ind w:left="14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47,618</w:t>
            </w:r>
          </w:p>
        </w:tc>
        <w:tc>
          <w:tcPr>
            <w:tcW w:w="140" w:type="dxa"/>
            <w:vAlign w:val="bottom"/>
          </w:tcPr>
          <w:p>
            <w:pPr>
              <w:spacing w:after="0"/>
              <w:rPr>
                <w:sz w:val="19"/>
                <w:szCs w:val="19"/>
                <w:color w:val="auto"/>
              </w:rPr>
            </w:pPr>
          </w:p>
        </w:tc>
      </w:tr>
      <w:tr>
        <w:trPr>
          <w:trHeight w:val="22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5,012</w:t>
            </w:r>
          </w:p>
        </w:tc>
        <w:tc>
          <w:tcPr>
            <w:tcW w:w="140" w:type="dxa"/>
            <w:vAlign w:val="bottom"/>
            <w:shd w:val="clear" w:color="auto" w:fill="CFF0FC"/>
          </w:tcPr>
          <w:p>
            <w:pPr>
              <w:spacing w:after="0"/>
              <w:rPr>
                <w:sz w:val="19"/>
                <w:szCs w:val="19"/>
                <w:color w:val="auto"/>
              </w:rPr>
            </w:pPr>
          </w:p>
        </w:tc>
      </w:tr>
      <w:tr>
        <w:trPr>
          <w:trHeight w:val="230"/>
        </w:trPr>
        <w:tc>
          <w:tcPr>
            <w:tcW w:w="91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9"/>
                <w:szCs w:val="19"/>
                <w:color w:val="auto"/>
              </w:rPr>
            </w:pPr>
          </w:p>
        </w:tc>
      </w:tr>
      <w:tr>
        <w:trPr>
          <w:trHeight w:val="229"/>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Funds payable to clients</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140" w:type="dxa"/>
            <w:vAlign w:val="bottom"/>
            <w:shd w:val="clear" w:color="auto" w:fill="CFF0FC"/>
          </w:tcPr>
          <w:p>
            <w:pPr>
              <w:spacing w:after="0"/>
              <w:rPr>
                <w:sz w:val="19"/>
                <w:szCs w:val="19"/>
                <w:color w:val="auto"/>
              </w:rPr>
            </w:pPr>
          </w:p>
        </w:tc>
      </w:tr>
      <w:tr>
        <w:trPr>
          <w:trHeight w:val="229"/>
        </w:trPr>
        <w:tc>
          <w:tcPr>
            <w:tcW w:w="91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7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w:t>
            </w:r>
          </w:p>
        </w:tc>
        <w:tc>
          <w:tcPr>
            <w:tcW w:w="140" w:type="dxa"/>
            <w:vAlign w:val="bottom"/>
          </w:tcPr>
          <w:p>
            <w:pPr>
              <w:spacing w:after="0"/>
              <w:rPr>
                <w:sz w:val="19"/>
                <w:szCs w:val="19"/>
                <w:color w:val="auto"/>
              </w:rPr>
            </w:pPr>
          </w:p>
        </w:tc>
      </w:tr>
      <w:tr>
        <w:trPr>
          <w:trHeight w:val="230"/>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7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914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140" w:type="dxa"/>
            <w:vAlign w:val="bottom"/>
          </w:tcPr>
          <w:p>
            <w:pPr>
              <w:spacing w:after="0"/>
              <w:rPr>
                <w:sz w:val="19"/>
                <w:szCs w:val="19"/>
                <w:color w:val="auto"/>
              </w:rPr>
            </w:pPr>
          </w:p>
        </w:tc>
      </w:tr>
      <w:tr>
        <w:trPr>
          <w:trHeight w:val="223"/>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acquired</w:t>
            </w:r>
          </w:p>
        </w:tc>
        <w:tc>
          <w:tcPr>
            <w:tcW w:w="7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33,002</w:t>
            </w:r>
          </w:p>
        </w:tc>
        <w:tc>
          <w:tcPr>
            <w:tcW w:w="140" w:type="dxa"/>
            <w:vAlign w:val="bottom"/>
            <w:shd w:val="clear" w:color="auto" w:fill="CFF0FC"/>
          </w:tcPr>
          <w:p>
            <w:pPr>
              <w:spacing w:after="0"/>
              <w:rPr>
                <w:sz w:val="19"/>
                <w:szCs w:val="19"/>
                <w:color w:val="auto"/>
              </w:rPr>
            </w:pPr>
          </w:p>
        </w:tc>
      </w:tr>
      <w:tr>
        <w:trPr>
          <w:trHeight w:val="229"/>
        </w:trPr>
        <w:tc>
          <w:tcPr>
            <w:tcW w:w="9140" w:type="dxa"/>
            <w:vAlign w:val="bottom"/>
          </w:tcPr>
          <w:p>
            <w:pPr>
              <w:ind w:left="280"/>
              <w:spacing w:after="0"/>
              <w:rPr>
                <w:sz w:val="20"/>
                <w:szCs w:val="20"/>
                <w:color w:val="auto"/>
              </w:rPr>
            </w:pPr>
            <w:r>
              <w:rPr>
                <w:rFonts w:ascii="Arial" w:cs="Arial" w:eastAsia="Arial" w:hAnsi="Arial"/>
                <w:sz w:val="18"/>
                <w:szCs w:val="18"/>
                <w:color w:val="auto"/>
              </w:rPr>
              <w:t>Less: cash acquired</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w:t>
            </w:r>
          </w:p>
        </w:tc>
        <w:tc>
          <w:tcPr>
            <w:tcW w:w="140" w:type="dxa"/>
            <w:vAlign w:val="bottom"/>
          </w:tcPr>
          <w:p>
            <w:pPr>
              <w:spacing w:after="0"/>
              <w:rPr>
                <w:sz w:val="19"/>
                <w:szCs w:val="19"/>
                <w:color w:val="auto"/>
              </w:rPr>
            </w:pPr>
          </w:p>
        </w:tc>
      </w:tr>
      <w:tr>
        <w:trPr>
          <w:trHeight w:val="263"/>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 less cash acquired</w:t>
            </w: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23,122</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-1525270</wp:posOffset>
            </wp:positionV>
            <wp:extent cx="85725"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-633730</wp:posOffset>
            </wp:positionV>
            <wp:extent cx="85725"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3" w:lineRule="exact"/>
        <w:rPr>
          <w:sz w:val="20"/>
          <w:szCs w:val="20"/>
          <w:color w:val="auto"/>
        </w:rPr>
      </w:pPr>
    </w:p>
    <w:p>
      <w:pPr>
        <w:ind w:right="480" w:firstLine="509"/>
        <w:spacing w:after="0" w:line="247" w:lineRule="auto"/>
        <w:rPr>
          <w:sz w:val="20"/>
          <w:szCs w:val="20"/>
          <w:color w:val="auto"/>
        </w:rPr>
      </w:pPr>
      <w:r>
        <w:rPr>
          <w:rFonts w:ascii="Arial" w:cs="Arial" w:eastAsia="Arial" w:hAnsi="Arial"/>
          <w:sz w:val="18"/>
          <w:szCs w:val="18"/>
          <w:color w:val="auto"/>
        </w:rPr>
        <w:t>Goodwill arising from the acquisition of $16.2 million was attributable to the assembled workforce of Cohort Go and the synergies expected to arise from the acquisition. The Company expects that no goodwill from this acquisition will be deductible for income tax purposes.</w:t>
      </w:r>
    </w:p>
    <w:p>
      <w:pPr>
        <w:spacing w:after="0" w:line="144" w:lineRule="exact"/>
        <w:rPr>
          <w:sz w:val="20"/>
          <w:szCs w:val="20"/>
          <w:color w:val="auto"/>
        </w:rPr>
      </w:pPr>
    </w:p>
    <w:p>
      <w:pPr>
        <w:ind w:right="400" w:firstLine="509"/>
        <w:spacing w:after="0" w:line="260" w:lineRule="auto"/>
        <w:rPr>
          <w:sz w:val="20"/>
          <w:szCs w:val="20"/>
          <w:color w:val="auto"/>
        </w:rPr>
      </w:pPr>
      <w:r>
        <w:rPr>
          <w:rFonts w:ascii="Arial" w:cs="Arial" w:eastAsia="Arial" w:hAnsi="Arial"/>
          <w:sz w:val="18"/>
          <w:szCs w:val="18"/>
          <w:color w:val="auto"/>
        </w:rPr>
        <w:t>The following table reflects the estimated fair values of the identified intangible assets of Cohort Go and their respective weighted-average estimated amortization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79"/>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 Values</w:t>
            </w:r>
          </w:p>
        </w:tc>
        <w:tc>
          <w:tcPr>
            <w:tcW w:w="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r>
      <w:tr>
        <w:trPr>
          <w:trHeight w:val="189"/>
        </w:trPr>
        <w:tc>
          <w:tcPr>
            <w:tcW w:w="7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140" w:type="dxa"/>
            <w:vAlign w:val="bottom"/>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ind w:right="79"/>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w:t>
            </w:r>
          </w:p>
        </w:tc>
        <w:tc>
          <w:tcPr>
            <w:tcW w:w="1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Agent and customer relationships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16,408</w:t>
            </w:r>
          </w:p>
        </w:tc>
        <w:tc>
          <w:tcPr>
            <w:tcW w:w="28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-25400</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3" w:lineRule="exact"/>
        <w:rPr>
          <w:sz w:val="20"/>
          <w:szCs w:val="20"/>
          <w:color w:val="auto"/>
        </w:rPr>
      </w:pPr>
    </w:p>
    <w:p>
      <w:pPr>
        <w:ind w:right="460" w:firstLine="509"/>
        <w:spacing w:after="0" w:line="241" w:lineRule="auto"/>
        <w:rPr>
          <w:sz w:val="20"/>
          <w:szCs w:val="20"/>
          <w:color w:val="auto"/>
        </w:rPr>
      </w:pPr>
      <w:r>
        <w:rPr>
          <w:rFonts w:ascii="Arial" w:cs="Arial" w:eastAsia="Arial" w:hAnsi="Arial"/>
          <w:sz w:val="18"/>
          <w:szCs w:val="18"/>
          <w:color w:val="auto"/>
        </w:rPr>
        <w:t>The results of Cohort Go have been included in the consolidated financial statements since the date of the acquisition. Cohort Go contributed $4.3 million in transaction revenue and $3.0 million in platform revenue during the three months ended June 30, 2023, respectively, and $7.8 million in transaction revenue and $5.5 million in platform revenue during the six months ended June 30, 2023, respectively. The Company has not disclosed net income or loss since the acquisition date as the business was fully integrated into the consolidated Company’s operations and therefore it was impracticable to determine this amount.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Unaudited Pro Forma Financial Information</w:t>
      </w:r>
    </w:p>
    <w:p>
      <w:pPr>
        <w:spacing w:after="0" w:line="185"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following unaudited pro forma financial information shows the results of the Company’s operations for the three and six months ended June 30, 2022 as if the acquisition had occurred on January 1, 2021.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Cohort Go. The unaudited pro forma information reflects the effects of applying the Company’s accounting policies and a pro forma adjustment to the combined historical financial information of the Company and Cohort Go, which includes incremental amortization expense associated with the estimated fair value of identified intangible 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June 30, 2022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Six Months Ended June 30, 2022</w:t>
            </w:r>
          </w:p>
        </w:tc>
        <w:tc>
          <w:tcPr>
            <w:tcW w:w="140" w:type="dxa"/>
            <w:vAlign w:val="bottom"/>
          </w:tcPr>
          <w:p>
            <w:pPr>
              <w:spacing w:after="0"/>
              <w:rPr>
                <w:sz w:val="16"/>
                <w:szCs w:val="16"/>
                <w:color w:val="auto"/>
              </w:rPr>
            </w:pPr>
          </w:p>
        </w:tc>
      </w:tr>
      <w:tr>
        <w:trPr>
          <w:trHeight w:val="183"/>
        </w:trPr>
        <w:tc>
          <w:tcPr>
            <w:tcW w:w="31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Pro Forma</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5"/>
                <w:szCs w:val="15"/>
                <w:color w:val="auto"/>
              </w:rPr>
            </w:pPr>
          </w:p>
        </w:tc>
      </w:tr>
      <w:tr>
        <w:trPr>
          <w:trHeight w:val="183"/>
        </w:trPr>
        <w:tc>
          <w:tcPr>
            <w:tcW w:w="31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9"/>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7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61,438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121,090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130,091</w:t>
            </w:r>
          </w:p>
        </w:tc>
        <w:tc>
          <w:tcPr>
            <w:tcW w:w="140" w:type="dxa"/>
            <w:vAlign w:val="bottom"/>
            <w:shd w:val="clear" w:color="auto" w:fill="CFF0FC"/>
          </w:tcPr>
          <w:p>
            <w:pPr>
              <w:spacing w:after="0"/>
              <w:rPr>
                <w:sz w:val="19"/>
                <w:szCs w:val="19"/>
                <w:color w:val="auto"/>
              </w:rPr>
            </w:pP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7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(23,797 )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(22,528 )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(33,946 )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(32,230 )</w:t>
            </w:r>
          </w:p>
        </w:tc>
      </w:tr>
      <w:tr>
        <w:trPr>
          <w:trHeight w:val="432"/>
        </w:trPr>
        <w:tc>
          <w:tcPr>
            <w:tcW w:w="3140" w:type="dxa"/>
            <w:vAlign w:val="bottom"/>
          </w:tcPr>
          <w:p>
            <w:pPr>
              <w:spacing w:after="0"/>
              <w:rPr>
                <w:sz w:val="24"/>
                <w:szCs w:val="24"/>
                <w:color w:val="auto"/>
              </w:rPr>
            </w:pPr>
          </w:p>
        </w:tc>
        <w:tc>
          <w:tcPr>
            <w:tcW w:w="2760" w:type="dxa"/>
            <w:vAlign w:val="bottom"/>
            <w:gridSpan w:val="2"/>
          </w:tcPr>
          <w:p>
            <w:pPr>
              <w:jc w:val="right"/>
              <w:ind w:right="108"/>
              <w:spacing w:after="0"/>
              <w:rPr>
                <w:sz w:val="20"/>
                <w:szCs w:val="20"/>
                <w:color w:val="auto"/>
              </w:rPr>
            </w:pPr>
            <w:r>
              <w:rPr>
                <w:rFonts w:ascii="Arial" w:cs="Arial" w:eastAsia="Arial" w:hAnsi="Arial"/>
                <w:sz w:val="18"/>
                <w:szCs w:val="18"/>
                <w:color w:val="auto"/>
              </w:rPr>
              <w:t>18</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8"/>
        </w:trPr>
        <w:tc>
          <w:tcPr>
            <w:tcW w:w="314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WPM</w:t>
      </w:r>
    </w:p>
    <w:p>
      <w:pPr>
        <w:spacing w:after="0" w:line="195"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On December 14, 2021, Flywire completed its acquisition of WPM, a leading software provider that enables seamless and secure receivables payment experiences for universities and colleges across the U.K. The acquisition of WPM was intended to build on Flywire’s existing education payments business and to further accelerate the Company's market share in the U.K. education sector. The acquisition of WPM was accounted for as a business combination.</w:t>
      </w:r>
    </w:p>
    <w:p>
      <w:pPr>
        <w:spacing w:after="0" w:line="147"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Pursuant to the terms of the business combination agreement, the Company acquired all outstanding equity of WPM for estimated total purchase consideration of $59.6 million, which consisted of $ 56.1 million in cash, net of cash acquired and $3.5 million in estimated fair value of contingent consideration dependent upon the Company's achievement of specified minimum payment volume targets and integration targets. Certain amounts were also tied to continued employment of key employees. The Company expensed $0.6 million and $0.9 million in personnel costs associated with retention of key employees during the three and six months ended June 30, 2023, respectively. A portion of which has been paid through shares of Flywire common stock in the first half of 2023, with the remainder to be paid through shares of Flywire common stock in the second half of 2023.</w:t>
      </w:r>
    </w:p>
    <w:p>
      <w:pPr>
        <w:spacing w:after="0" w:line="2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Goodwill and Acquired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carrying amount of goodwill as of the dates presented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30, 2023</w:t>
            </w: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16"/>
                <w:szCs w:val="16"/>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97,766</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85,841</w:t>
            </w:r>
          </w:p>
        </w:tc>
        <w:tc>
          <w:tcPr>
            <w:tcW w:w="140" w:type="dxa"/>
            <w:vAlign w:val="bottom"/>
            <w:shd w:val="clear" w:color="auto" w:fill="CFF0FC"/>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Goodwill related to acquisitions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16,197</w:t>
            </w:r>
          </w:p>
        </w:tc>
        <w:tc>
          <w:tcPr>
            <w:tcW w:w="140" w:type="dxa"/>
            <w:vAlign w:val="bottom"/>
          </w:tcPr>
          <w:p>
            <w:pPr>
              <w:spacing w:after="0"/>
              <w:rPr>
                <w:sz w:val="19"/>
                <w:szCs w:val="19"/>
                <w:color w:val="auto"/>
              </w:rPr>
            </w:pPr>
          </w:p>
        </w:tc>
      </w:tr>
      <w:tr>
        <w:trPr>
          <w:trHeight w:val="22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(4,272 )</w:t>
            </w:r>
          </w:p>
        </w:tc>
      </w:tr>
      <w:tr>
        <w:trPr>
          <w:trHeight w:val="223"/>
        </w:trPr>
        <w:tc>
          <w:tcPr>
            <w:tcW w:w="7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98,967</w:t>
            </w:r>
          </w:p>
        </w:tc>
        <w:tc>
          <w:tcPr>
            <w:tcW w:w="36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97,766</w:t>
            </w:r>
          </w:p>
        </w:tc>
        <w:tc>
          <w:tcPr>
            <w:tcW w:w="140" w:type="dxa"/>
            <w:vAlign w:val="bottom"/>
            <w:tcBorders>
              <w:top w:val="single" w:sz="8" w:color="CFF0FC"/>
            </w:tcBorders>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-179070</wp:posOffset>
            </wp:positionV>
            <wp:extent cx="85725"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Acquired intangible assets subject to amortization consisted of the following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56"/>
        </w:trPr>
        <w:tc>
          <w:tcPr>
            <w:tcW w:w="13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r>
      <w:tr>
        <w:trPr>
          <w:trHeight w:val="162"/>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3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Net Carrying</w:t>
            </w: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r>
      <w:tr>
        <w:trPr>
          <w:trHeight w:val="189"/>
        </w:trPr>
        <w:tc>
          <w:tcPr>
            <w:tcW w:w="13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r>
      <w:tr>
        <w:trPr>
          <w:trHeight w:val="223"/>
        </w:trPr>
        <w:tc>
          <w:tcPr>
            <w:tcW w:w="56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(18,459 )</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13,173</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FF0FC"/>
          </w:tcPr>
          <w:p>
            <w:pPr>
              <w:spacing w:after="0"/>
              <w:rPr>
                <w:sz w:val="19"/>
                <w:szCs w:val="19"/>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91,587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(12,238 )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79,349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9"/>
                <w:szCs w:val="19"/>
                <w:color w:val="auto"/>
              </w:rPr>
            </w:pPr>
          </w:p>
        </w:tc>
      </w:tr>
      <w:tr>
        <w:trPr>
          <w:trHeight w:val="20"/>
        </w:trPr>
        <w:tc>
          <w:tcPr>
            <w:tcW w:w="1360" w:type="dxa"/>
            <w:vAlign w:val="bottom"/>
            <w:shd w:val="clear" w:color="auto" w:fill="CFF0FC"/>
          </w:tcPr>
          <w:p>
            <w:pPr>
              <w:spacing w:after="0" w:line="20" w:lineRule="exact"/>
              <w:rPr>
                <w:sz w:val="1"/>
                <w:szCs w:val="1"/>
                <w:color w:val="auto"/>
              </w:rPr>
            </w:pPr>
          </w:p>
        </w:tc>
        <w:tc>
          <w:tcPr>
            <w:tcW w:w="428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63"/>
        </w:trPr>
        <w:tc>
          <w:tcPr>
            <w:tcW w:w="1360" w:type="dxa"/>
            <w:vAlign w:val="bottom"/>
            <w:shd w:val="clear" w:color="auto" w:fill="CFF0FC"/>
          </w:tcPr>
          <w:p>
            <w:pPr>
              <w:spacing w:after="0"/>
              <w:rPr>
                <w:sz w:val="22"/>
                <w:szCs w:val="22"/>
                <w:color w:val="auto"/>
              </w:rPr>
            </w:pPr>
          </w:p>
        </w:tc>
        <w:tc>
          <w:tcPr>
            <w:tcW w:w="428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123,219</w:t>
            </w: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(30,697 )</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92,522</w:t>
            </w: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r>
      <w:tr>
        <w:trPr>
          <w:trHeight w:val="115"/>
        </w:trPr>
        <w:tc>
          <w:tcPr>
            <w:tcW w:w="1360" w:type="dxa"/>
            <w:vAlign w:val="bottom"/>
            <w:tcBorders>
              <w:top w:val="single" w:sz="8" w:color="CFF0FC"/>
              <w:bottom w:val="single" w:sz="8" w:color="auto"/>
            </w:tcBorders>
          </w:tcPr>
          <w:p>
            <w:pPr>
              <w:spacing w:after="0"/>
              <w:rPr>
                <w:sz w:val="10"/>
                <w:szCs w:val="10"/>
                <w:color w:val="auto"/>
              </w:rPr>
            </w:pPr>
          </w:p>
        </w:tc>
        <w:tc>
          <w:tcPr>
            <w:tcW w:w="42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2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r>
      <w:tr>
        <w:trPr>
          <w:trHeight w:val="225"/>
        </w:trPr>
        <w:tc>
          <w:tcPr>
            <w:tcW w:w="5640" w:type="dxa"/>
            <w:vAlign w:val="bottom"/>
            <w:gridSpan w:val="2"/>
          </w:tcPr>
          <w:p>
            <w:pPr>
              <w:spacing w:after="0"/>
              <w:rPr>
                <w:sz w:val="20"/>
                <w:szCs w:val="20"/>
                <w:color w:val="auto"/>
              </w:rPr>
            </w:pPr>
            <w:r>
              <w:rPr>
                <w:rFonts w:ascii="Arial" w:cs="Arial" w:eastAsia="Arial" w:hAnsi="Arial"/>
                <w:sz w:val="14"/>
                <w:szCs w:val="14"/>
                <w:color w:val="auto"/>
              </w:rPr>
              <w:t>* Includes $(2,532) thousand of foreign currency translation adjustments.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5640" w:type="dxa"/>
            <w:vAlign w:val="bottom"/>
            <w:gridSpan w:val="2"/>
          </w:tcPr>
          <w:p>
            <w:pPr>
              <w:spacing w:after="0"/>
              <w:rPr>
                <w:sz w:val="20"/>
                <w:szCs w:val="20"/>
                <w:color w:val="auto"/>
              </w:rPr>
            </w:pPr>
            <w:r>
              <w:rPr>
                <w:rFonts w:ascii="Arial" w:cs="Arial" w:eastAsia="Arial" w:hAnsi="Arial"/>
                <w:sz w:val="14"/>
                <w:szCs w:val="14"/>
                <w:color w:val="auto"/>
              </w:rPr>
              <w:t>** Includes $105 thousand of foreign currency translation adjustments.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6"/>
        </w:trPr>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56"/>
        </w:trPr>
        <w:tc>
          <w:tcPr>
            <w:tcW w:w="136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3"/>
                <w:szCs w:val="13"/>
                <w:color w:val="auto"/>
              </w:rPr>
            </w:pPr>
          </w:p>
        </w:tc>
      </w:tr>
      <w:tr>
        <w:trPr>
          <w:trHeight w:val="162"/>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r>
      <w:tr>
        <w:trPr>
          <w:trHeight w:val="189"/>
        </w:trPr>
        <w:tc>
          <w:tcPr>
            <w:tcW w:w="13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r>
      <w:tr>
        <w:trPr>
          <w:trHeight w:val="223"/>
        </w:trPr>
        <w:tc>
          <w:tcPr>
            <w:tcW w:w="56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31,848</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(15,429 )</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FF0FC"/>
          </w:tcPr>
          <w:p>
            <w:pPr>
              <w:spacing w:after="0"/>
              <w:rPr>
                <w:sz w:val="19"/>
                <w:szCs w:val="19"/>
                <w:color w:val="auto"/>
              </w:rPr>
            </w:pP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8"/>
                <w:szCs w:val="18"/>
                <w:color w:val="auto"/>
              </w:rPr>
              <w:t>Acquired Relationships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90,612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(9,423 )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81,189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140" w:type="dxa"/>
            <w:vAlign w:val="bottom"/>
          </w:tcPr>
          <w:p>
            <w:pPr>
              <w:spacing w:after="0"/>
              <w:rPr>
                <w:sz w:val="19"/>
                <w:szCs w:val="19"/>
                <w:color w:val="auto"/>
              </w:rPr>
            </w:pPr>
          </w:p>
        </w:tc>
      </w:tr>
      <w:tr>
        <w:trPr>
          <w:trHeight w:val="229"/>
        </w:trPr>
        <w:tc>
          <w:tcPr>
            <w:tcW w:w="564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Non-Compete Agreement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(461 )</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FF0FC"/>
          </w:tcPr>
          <w:p>
            <w:pPr>
              <w:spacing w:after="0"/>
              <w:rPr>
                <w:sz w:val="19"/>
                <w:szCs w:val="19"/>
                <w:color w:val="auto"/>
              </w:rPr>
            </w:pPr>
          </w:p>
        </w:tc>
      </w:tr>
      <w:tr>
        <w:trPr>
          <w:trHeight w:val="20"/>
        </w:trPr>
        <w:tc>
          <w:tcPr>
            <w:tcW w:w="1360" w:type="dxa"/>
            <w:vAlign w:val="bottom"/>
            <w:shd w:val="clear" w:color="auto" w:fill="CFF0FC"/>
          </w:tcPr>
          <w:p>
            <w:pPr>
              <w:spacing w:after="0" w:line="20" w:lineRule="exact"/>
              <w:rPr>
                <w:sz w:val="1"/>
                <w:szCs w:val="1"/>
                <w:color w:val="auto"/>
              </w:rPr>
            </w:pPr>
          </w:p>
        </w:tc>
        <w:tc>
          <w:tcPr>
            <w:tcW w:w="428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13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122,929</w:t>
            </w:r>
          </w:p>
        </w:tc>
        <w:tc>
          <w:tcPr>
            <w:tcW w:w="2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(25,313 )</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97,616</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-1893570</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-1876425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-2047875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-1893570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-1876425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-2047875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-1893570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-1876425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-2047875</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-273685</wp:posOffset>
            </wp:positionV>
            <wp:extent cx="85725"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-273685</wp:posOffset>
            </wp:positionV>
            <wp:extent cx="85725"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-273685</wp:posOffset>
            </wp:positionV>
            <wp:extent cx="85725"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 Includes $(3,416) thousand of foreign currency translation adjustments.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Includes $154 thousand of foreign currency translation adjustments.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0" w:firstLine="509"/>
        <w:spacing w:after="0" w:line="260" w:lineRule="auto"/>
        <w:rPr>
          <w:sz w:val="20"/>
          <w:szCs w:val="20"/>
          <w:color w:val="auto"/>
        </w:rPr>
      </w:pPr>
      <w:r>
        <w:rPr>
          <w:rFonts w:ascii="Arial" w:cs="Arial" w:eastAsia="Arial" w:hAnsi="Arial"/>
          <w:sz w:val="18"/>
          <w:szCs w:val="18"/>
          <w:color w:val="auto"/>
        </w:rPr>
        <w:t>Amortization expense for the three months ended June 30, 2023 and 2022 was $3.0 million and $2.2 million, respectively. Amortization expense for the six months ended June 30, 2023 and 2022 was $5.8 million and $4.3 million, respectively.</w:t>
      </w:r>
    </w:p>
    <w:p>
      <w:pPr>
        <w:spacing w:after="0" w:line="146" w:lineRule="exact"/>
        <w:rPr>
          <w:sz w:val="20"/>
          <w:szCs w:val="20"/>
          <w:color w:val="auto"/>
        </w:rPr>
      </w:pPr>
    </w:p>
    <w:p>
      <w:pPr>
        <w:ind w:right="240" w:firstLine="509"/>
        <w:spacing w:after="0" w:line="260" w:lineRule="auto"/>
        <w:rPr>
          <w:sz w:val="20"/>
          <w:szCs w:val="20"/>
          <w:color w:val="auto"/>
        </w:rPr>
      </w:pPr>
      <w:r>
        <w:rPr>
          <w:rFonts w:ascii="Arial" w:cs="Arial" w:eastAsia="Arial" w:hAnsi="Arial"/>
          <w:sz w:val="18"/>
          <w:szCs w:val="18"/>
          <w:color w:val="auto"/>
        </w:rPr>
        <w:t>As of June 30, 2023, the estimated annual amortization expense of intangible assets for each of the next five years and thereafter is expected to be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jc w:val="center"/>
              <w:ind w:right="235"/>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4"/>
                <w:szCs w:val="14"/>
                <w:color w:val="auto"/>
              </w:rPr>
            </w:pPr>
          </w:p>
        </w:tc>
      </w:tr>
      <w:tr>
        <w:trPr>
          <w:trHeight w:val="162"/>
        </w:trPr>
        <w:tc>
          <w:tcPr>
            <w:tcW w:w="9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jc w:val="center"/>
              <w:ind w:right="235"/>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r>
      <w:tr>
        <w:trPr>
          <w:trHeight w:val="189"/>
        </w:trPr>
        <w:tc>
          <w:tcPr>
            <w:tcW w:w="9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6"/>
                <w:szCs w:val="16"/>
                <w:color w:val="auto"/>
              </w:rPr>
            </w:pPr>
          </w:p>
        </w:tc>
      </w:tr>
      <w:tr>
        <w:trPr>
          <w:trHeight w:val="223"/>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Remaining of fiscal year 2023</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5,739</w:t>
            </w:r>
          </w:p>
        </w:tc>
        <w:tc>
          <w:tcPr>
            <w:tcW w:w="140" w:type="dxa"/>
            <w:vAlign w:val="bottom"/>
            <w:shd w:val="clear" w:color="auto" w:fill="CFF0FC"/>
          </w:tcPr>
          <w:p>
            <w:pPr>
              <w:spacing w:after="0"/>
              <w:rPr>
                <w:sz w:val="19"/>
                <w:szCs w:val="19"/>
                <w:color w:val="auto"/>
              </w:rPr>
            </w:pPr>
          </w:p>
        </w:tc>
      </w:tr>
      <w:tr>
        <w:trPr>
          <w:trHeight w:val="230"/>
        </w:trPr>
        <w:tc>
          <w:tcPr>
            <w:tcW w:w="9180" w:type="dxa"/>
            <w:vAlign w:val="bottom"/>
          </w:tcPr>
          <w:p>
            <w:pPr>
              <w:jc w:val="right"/>
              <w:ind w:right="861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10,977</w:t>
            </w:r>
          </w:p>
        </w:tc>
        <w:tc>
          <w:tcPr>
            <w:tcW w:w="140" w:type="dxa"/>
            <w:vAlign w:val="bottom"/>
          </w:tcPr>
          <w:p>
            <w:pPr>
              <w:spacing w:after="0"/>
              <w:rPr>
                <w:sz w:val="19"/>
                <w:szCs w:val="19"/>
                <w:color w:val="auto"/>
              </w:rPr>
            </w:pPr>
          </w:p>
        </w:tc>
      </w:tr>
      <w:tr>
        <w:trPr>
          <w:trHeight w:val="229"/>
        </w:trPr>
        <w:tc>
          <w:tcPr>
            <w:tcW w:w="9180" w:type="dxa"/>
            <w:vAlign w:val="bottom"/>
            <w:shd w:val="clear" w:color="auto" w:fill="CFF0FC"/>
          </w:tcPr>
          <w:p>
            <w:pPr>
              <w:jc w:val="right"/>
              <w:ind w:right="861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9,731</w:t>
            </w:r>
          </w:p>
        </w:tc>
        <w:tc>
          <w:tcPr>
            <w:tcW w:w="140" w:type="dxa"/>
            <w:vAlign w:val="bottom"/>
            <w:shd w:val="clear" w:color="auto" w:fill="CFF0FC"/>
          </w:tcPr>
          <w:p>
            <w:pPr>
              <w:spacing w:after="0"/>
              <w:rPr>
                <w:sz w:val="19"/>
                <w:szCs w:val="19"/>
                <w:color w:val="auto"/>
              </w:rPr>
            </w:pPr>
          </w:p>
        </w:tc>
      </w:tr>
      <w:tr>
        <w:trPr>
          <w:trHeight w:val="229"/>
        </w:trPr>
        <w:tc>
          <w:tcPr>
            <w:tcW w:w="9180" w:type="dxa"/>
            <w:vAlign w:val="bottom"/>
          </w:tcPr>
          <w:p>
            <w:pPr>
              <w:jc w:val="right"/>
              <w:ind w:right="861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8,967</w:t>
            </w:r>
          </w:p>
        </w:tc>
        <w:tc>
          <w:tcPr>
            <w:tcW w:w="140" w:type="dxa"/>
            <w:vAlign w:val="bottom"/>
          </w:tcPr>
          <w:p>
            <w:pPr>
              <w:spacing w:after="0"/>
              <w:rPr>
                <w:sz w:val="19"/>
                <w:szCs w:val="19"/>
                <w:color w:val="auto"/>
              </w:rPr>
            </w:pPr>
          </w:p>
        </w:tc>
      </w:tr>
      <w:tr>
        <w:trPr>
          <w:trHeight w:val="230"/>
        </w:trPr>
        <w:tc>
          <w:tcPr>
            <w:tcW w:w="9180" w:type="dxa"/>
            <w:vAlign w:val="bottom"/>
            <w:shd w:val="clear" w:color="auto" w:fill="CFF0FC"/>
          </w:tcPr>
          <w:p>
            <w:pPr>
              <w:jc w:val="right"/>
              <w:ind w:right="861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8,658</w:t>
            </w:r>
          </w:p>
        </w:tc>
        <w:tc>
          <w:tcPr>
            <w:tcW w:w="140" w:type="dxa"/>
            <w:vAlign w:val="bottom"/>
            <w:shd w:val="clear" w:color="auto" w:fill="CFF0FC"/>
          </w:tcPr>
          <w:p>
            <w:pPr>
              <w:spacing w:after="0"/>
              <w:rPr>
                <w:sz w:val="19"/>
                <w:szCs w:val="19"/>
                <w:color w:val="auto"/>
              </w:rPr>
            </w:pPr>
          </w:p>
        </w:tc>
      </w:tr>
      <w:tr>
        <w:trPr>
          <w:trHeight w:val="229"/>
        </w:trPr>
        <w:tc>
          <w:tcPr>
            <w:tcW w:w="9180" w:type="dxa"/>
            <w:vAlign w:val="bottom"/>
          </w:tcPr>
          <w:p>
            <w:pPr>
              <w:jc w:val="right"/>
              <w:ind w:right="8610"/>
              <w:spacing w:after="0"/>
              <w:rPr>
                <w:sz w:val="20"/>
                <w:szCs w:val="20"/>
                <w:color w:val="auto"/>
              </w:rPr>
            </w:pPr>
            <w:r>
              <w:rPr>
                <w:rFonts w:ascii="Arial" w:cs="Arial" w:eastAsia="Arial" w:hAnsi="Arial"/>
                <w:sz w:val="18"/>
                <w:szCs w:val="18"/>
                <w:color w:val="auto"/>
              </w:rPr>
              <w:t>2028</w:t>
            </w: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8,026</w:t>
            </w:r>
          </w:p>
        </w:tc>
        <w:tc>
          <w:tcPr>
            <w:tcW w:w="140" w:type="dxa"/>
            <w:vAlign w:val="bottom"/>
          </w:tcPr>
          <w:p>
            <w:pPr>
              <w:spacing w:after="0"/>
              <w:rPr>
                <w:sz w:val="19"/>
                <w:szCs w:val="19"/>
                <w:color w:val="auto"/>
              </w:rPr>
            </w:pPr>
          </w:p>
        </w:tc>
      </w:tr>
      <w:tr>
        <w:trPr>
          <w:trHeight w:val="230"/>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40,424</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9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92,522</w:t>
            </w:r>
          </w:p>
        </w:tc>
        <w:tc>
          <w:tcPr>
            <w:tcW w:w="14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tab/>
        <w:t>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Syndication Loan</w:t>
      </w:r>
    </w:p>
    <w:p>
      <w:pPr>
        <w:spacing w:after="0" w:line="19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On July 29, 2021, the Company entered into a three-year senior secured revolving credit syndication loan with three banks for a total commitment of $50.0 million (Revolving Credit Facility). The Revolving Credit Facility includes a $5.0 million letter of credit sub-facility and a $5.0 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Revolving Credit Facility consists of Alternate Base Rate (ABR) loans or Eurodollar Borrowings, at the Company’s option.</w:t>
      </w:r>
    </w:p>
    <w:p>
      <w:pPr>
        <w:spacing w:after="0" w:line="171" w:lineRule="exact"/>
        <w:rPr>
          <w:sz w:val="20"/>
          <w:szCs w:val="20"/>
          <w:color w:val="auto"/>
        </w:rPr>
      </w:pPr>
    </w:p>
    <w:p>
      <w:pPr>
        <w:ind w:right="880" w:firstLine="509"/>
        <w:spacing w:after="0" w:line="260" w:lineRule="auto"/>
        <w:rPr>
          <w:sz w:val="20"/>
          <w:szCs w:val="20"/>
          <w:color w:val="auto"/>
        </w:rPr>
      </w:pPr>
      <w:r>
        <w:rPr>
          <w:rFonts w:ascii="Arial" w:cs="Arial" w:eastAsia="Arial" w:hAnsi="Arial"/>
          <w:sz w:val="18"/>
          <w:szCs w:val="18"/>
          <w:color w:val="auto"/>
        </w:rPr>
        <w:t>On June 23, 2023, the Company executed the First Amendment to the Revolving Credit Facility to transition from the LIBOR benchmark rate to the SOFR benchmark rate effective June 30, 2023.</w:t>
      </w:r>
    </w:p>
    <w:p>
      <w:pPr>
        <w:spacing w:after="0" w:line="146" w:lineRule="exact"/>
        <w:rPr>
          <w:sz w:val="20"/>
          <w:szCs w:val="20"/>
          <w:color w:val="auto"/>
        </w:rPr>
      </w:pPr>
    </w:p>
    <w:p>
      <w:pPr>
        <w:ind w:right="320" w:firstLine="559"/>
        <w:spacing w:after="0" w:line="239" w:lineRule="auto"/>
        <w:rPr>
          <w:sz w:val="20"/>
          <w:szCs w:val="20"/>
          <w:color w:val="auto"/>
        </w:rPr>
      </w:pPr>
      <w:r>
        <w:rPr>
          <w:rFonts w:ascii="Arial" w:cs="Arial" w:eastAsia="Arial" w:hAnsi="Arial"/>
          <w:sz w:val="18"/>
          <w:szCs w:val="18"/>
          <w:color w:val="auto"/>
        </w:rPr>
        <w:t>In accordance with the First Amendment, ABR loans bear interest at the ABR plus the applicable rate. Eurodollar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the Company’s liquidity as of the most recent consolidated financial information and ranges from 0.75% to 2.25%.</w:t>
      </w:r>
    </w:p>
    <w:p>
      <w:pPr>
        <w:spacing w:after="0" w:line="15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Prior to the First Amendment, ABR loans borne interest at the ABR plus the applicable rate. Eurodollar Borrowings borne interest at the Adjusted LIBOR for the interest period plus the applicable rate. The ABR rate was based on the greatest of (a) the Prime Rate, (b) the Federal Funds Effective Rate plus 1/2 of 1%, or (c) the Adjusted LIBOR for a one-month interest period, plus 1%. The adjusted LIBOR was based on (x) the LIBOR for such interest period, multiplied by (y) the Statutory Reserve Rate. The applicable rate was based upon the Company’s liquidity as of the most recent consolidated financial information and ranged from 0.75% to 2.25%.</w:t>
      </w:r>
    </w:p>
    <w:p>
      <w:pPr>
        <w:spacing w:after="0" w:line="149" w:lineRule="exact"/>
        <w:rPr>
          <w:sz w:val="20"/>
          <w:szCs w:val="20"/>
          <w:color w:val="auto"/>
        </w:rPr>
      </w:pPr>
    </w:p>
    <w:p>
      <w:pPr>
        <w:ind w:right="420" w:firstLine="509"/>
        <w:spacing w:after="0" w:line="260" w:lineRule="auto"/>
        <w:rPr>
          <w:sz w:val="20"/>
          <w:szCs w:val="20"/>
          <w:color w:val="auto"/>
        </w:rPr>
      </w:pPr>
      <w:r>
        <w:rPr>
          <w:rFonts w:ascii="Arial" w:cs="Arial" w:eastAsia="Arial" w:hAnsi="Arial"/>
          <w:sz w:val="18"/>
          <w:szCs w:val="18"/>
          <w:color w:val="auto"/>
        </w:rPr>
        <w:t>The Revolving Credit Facility incurs a commitment fee ranging from 0.25% to 0.35% based upon the Company’s liquidity as of the most recent consolidated financial information assessed on the average undrawn portion of the available commitment.</w:t>
      </w:r>
    </w:p>
    <w:p>
      <w:pPr>
        <w:spacing w:after="0" w:line="14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jc w:val="both"/>
        <w:ind w:right="200"/>
        <w:spacing w:after="0" w:line="260" w:lineRule="auto"/>
        <w:rPr>
          <w:sz w:val="20"/>
          <w:szCs w:val="20"/>
          <w:color w:val="auto"/>
        </w:rPr>
      </w:pPr>
      <w:r>
        <w:rPr>
          <w:rFonts w:ascii="Arial" w:cs="Arial" w:eastAsia="Arial" w:hAnsi="Arial"/>
          <w:sz w:val="18"/>
          <w:szCs w:val="18"/>
          <w:color w:val="auto"/>
        </w:rPr>
        <w:t>balance of the Revolving Credit Facility becoming immediately due and payable and termination of the commitments. The Company was in compliance with all covenants associated with the Revolving Credit Facility as of June 30, 2023.</w:t>
      </w:r>
    </w:p>
    <w:p>
      <w:pPr>
        <w:spacing w:after="0" w:line="146" w:lineRule="exact"/>
        <w:rPr>
          <w:sz w:val="20"/>
          <w:szCs w:val="20"/>
          <w:color w:val="auto"/>
        </w:rPr>
      </w:pPr>
    </w:p>
    <w:p>
      <w:pPr>
        <w:jc w:val="both"/>
        <w:ind w:right="200" w:firstLine="509"/>
        <w:spacing w:after="0" w:line="262" w:lineRule="auto"/>
        <w:rPr>
          <w:sz w:val="20"/>
          <w:szCs w:val="20"/>
          <w:color w:val="auto"/>
        </w:rPr>
      </w:pPr>
      <w:r>
        <w:rPr>
          <w:rFonts w:ascii="Arial" w:cs="Arial" w:eastAsia="Arial" w:hAnsi="Arial"/>
          <w:sz w:val="17"/>
          <w:szCs w:val="17"/>
          <w:color w:val="auto"/>
        </w:rPr>
        <w:t>On July 29, 2021, the Company drew $25.9 million on the Revolving Credit Facility and used the proceeds to prepay its then existing Loan and Security Agreement of $25.0 million (LSA). In connection with the transaction, the Company incurred debt issuance costs of $0.3 million and debt discount of $0.1 million. Debt issuance costs and debt discount are amortized on a straight-line basis over the contractual term of the agreement and are presented as a component of other assets on the Company's condensed consolidated balance sheets.</w:t>
      </w:r>
    </w:p>
    <w:p>
      <w:pPr>
        <w:spacing w:after="0" w:line="132"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On October 28, 2022, the Company repaid the $25.9 million outstanding under the Revolving Credit Facility. Following the repayment, the Company continued to have access to a total commitment of $50.0 million under the Revolving Credit Facility. As of June 30, 2023 and December 31, 2022, there was no outstanding indebtedness under the Revolving Credit Facility.</w:t>
      </w:r>
    </w:p>
    <w:p>
      <w:pPr>
        <w:spacing w:after="0" w:line="144"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Interest expense for the three months ended June 30, 2023 and 2022 was $0.1 million and $0.3 million, respectively. Included in interest expense for the three months ended June 30, 2023 and 2022 is less than $ 0.1 million and $0.1 million, respectively, of amortization of debt issuance cost and debt discount. Interest expense for the six months ended June 30, 2023 and 2022 was $0.2 million and $0.5 million, respectively. Included in interest expense for the six months ended June 30, 2023 and 2022 is $0.1 million and $0.2 million, respectively, of amortization of debt issuance cost and debt discount.</w:t>
      </w:r>
    </w:p>
    <w:p>
      <w:pPr>
        <w:spacing w:after="0" w:line="28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The Company’s current amended and restated certificate of incorporation, which became effective on May 28, 2021, authorizes the issuance of 10,000,000 shares of undesignated preferred stock with a par value of $0.0001 per share with rights and preferences, including voting rights, designated from time to time by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5"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Company’s current amended and restated certificate of incorporation authorizes the issuance of 2,000,000,000 shares of voting common stock with a par value of $0.0001 per share and 10,000,000 shares of non-voting common stock with a par value of $0.0001 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p>
    <w:p>
      <w:pPr>
        <w:spacing w:after="0" w:line="15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Holders of the Company's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the Company had reserved shares of common stock for future issuance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Issued and outstanding stock options</w:t>
            </w:r>
          </w:p>
        </w:tc>
        <w:tc>
          <w:tcPr>
            <w:tcW w:w="5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10,430,580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Issued and outstanding restricted stock units</w:t>
            </w:r>
          </w:p>
        </w:tc>
        <w:tc>
          <w:tcPr>
            <w:tcW w:w="5920" w:type="dxa"/>
            <w:vAlign w:val="bottom"/>
            <w:gridSpan w:val="2"/>
          </w:tcPr>
          <w:p>
            <w:pPr>
              <w:jc w:val="right"/>
              <w:spacing w:after="0"/>
              <w:rPr>
                <w:sz w:val="20"/>
                <w:szCs w:val="20"/>
                <w:color w:val="auto"/>
              </w:rPr>
            </w:pPr>
            <w:r>
              <w:rPr>
                <w:rFonts w:ascii="Arial" w:cs="Arial" w:eastAsia="Arial" w:hAnsi="Arial"/>
                <w:sz w:val="18"/>
                <w:szCs w:val="18"/>
                <w:color w:val="auto"/>
              </w:rPr>
              <w:t>4,518,964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issuance under the 2021 Equity Incentive Plan</w:t>
            </w:r>
          </w:p>
        </w:tc>
        <w:tc>
          <w:tcPr>
            <w:tcW w:w="5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14,956,425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Available for issuance under Employee Stock Purchase Plan</w:t>
            </w:r>
          </w:p>
        </w:tc>
        <w:tc>
          <w:tcPr>
            <w:tcW w:w="5920" w:type="dxa"/>
            <w:vAlign w:val="bottom"/>
            <w:gridSpan w:val="2"/>
          </w:tcPr>
          <w:p>
            <w:pPr>
              <w:jc w:val="right"/>
              <w:spacing w:after="0"/>
              <w:rPr>
                <w:sz w:val="20"/>
                <w:szCs w:val="20"/>
                <w:color w:val="auto"/>
              </w:rPr>
            </w:pPr>
            <w:r>
              <w:rPr>
                <w:rFonts w:ascii="Arial" w:cs="Arial" w:eastAsia="Arial" w:hAnsi="Arial"/>
                <w:sz w:val="18"/>
                <w:szCs w:val="18"/>
                <w:color w:val="auto"/>
              </w:rPr>
              <w:t>3,766,959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Available for conversion of non-voting common stock</w:t>
            </w:r>
          </w:p>
        </w:tc>
        <w:tc>
          <w:tcPr>
            <w:tcW w:w="390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1,873,320</w:t>
            </w: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5920" w:type="dxa"/>
            <w:vAlign w:val="bottom"/>
            <w:gridSpan w:val="2"/>
          </w:tcPr>
          <w:p>
            <w:pPr>
              <w:jc w:val="right"/>
              <w:spacing w:after="0"/>
              <w:rPr>
                <w:sz w:val="20"/>
                <w:szCs w:val="20"/>
                <w:color w:val="auto"/>
              </w:rPr>
            </w:pPr>
            <w:r>
              <w:rPr>
                <w:rFonts w:ascii="Arial" w:cs="Arial" w:eastAsia="Arial" w:hAnsi="Arial"/>
                <w:sz w:val="18"/>
                <w:szCs w:val="18"/>
                <w:color w:val="auto"/>
              </w:rPr>
              <w:t>35,546,248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900" w:type="dxa"/>
            <w:vAlign w:val="bottom"/>
            <w:vMerge w:val="restart"/>
          </w:tcPr>
          <w:p>
            <w:pPr>
              <w:jc w:val="right"/>
              <w:ind w:right="3270"/>
              <w:spacing w:after="0"/>
              <w:rPr>
                <w:sz w:val="20"/>
                <w:szCs w:val="20"/>
                <w:color w:val="auto"/>
              </w:rPr>
            </w:pPr>
            <w:r>
              <w:rPr>
                <w:rFonts w:ascii="Arial" w:cs="Arial" w:eastAsia="Arial" w:hAnsi="Arial"/>
                <w:sz w:val="18"/>
                <w:szCs w:val="18"/>
                <w:color w:val="auto"/>
              </w:rPr>
              <w:t>21</w:t>
            </w: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8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-522605</wp:posOffset>
            </wp:positionV>
            <wp:extent cx="85725"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8"/>
          <w:szCs w:val="18"/>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95" w:lineRule="exact"/>
        <w:rPr>
          <w:sz w:val="20"/>
          <w:szCs w:val="20"/>
          <w:color w:val="auto"/>
        </w:rPr>
      </w:pPr>
    </w:p>
    <w:p>
      <w:pPr>
        <w:ind w:right="260" w:firstLine="509"/>
        <w:spacing w:after="0" w:line="260"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Equity Incentive Plan (the 2021 Plan).</w:t>
      </w:r>
    </w:p>
    <w:p>
      <w:pPr>
        <w:spacing w:after="0" w:line="132"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spacing w:after="0" w:line="149"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The 2021 Plan provides for the grant of incentive stock options, nonqualified stock options, stock appreciation rights, restricted stock awards, restricted stock units, performance awards and other forms of equity compensation (collectively, equity awards). A total of</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19,988,330 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under the 2021 Plan.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a total of 14,956,425 shares of the Company's common stock were available for future issuance under the 2021</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1" w:lineRule="exact"/>
        <w:rPr>
          <w:sz w:val="20"/>
          <w:szCs w:val="20"/>
          <w:color w:val="auto"/>
        </w:rPr>
      </w:pPr>
    </w:p>
    <w:p>
      <w:pPr>
        <w:jc w:val="both"/>
        <w:ind w:right="220" w:firstLine="509"/>
        <w:spacing w:after="0" w:line="247" w:lineRule="auto"/>
        <w:rPr>
          <w:sz w:val="20"/>
          <w:szCs w:val="20"/>
          <w:color w:val="auto"/>
        </w:rPr>
      </w:pPr>
      <w:r>
        <w:rPr>
          <w:rFonts w:ascii="Arial" w:cs="Arial" w:eastAsia="Arial" w:hAnsi="Arial"/>
          <w:sz w:val="18"/>
          <w:szCs w:val="18"/>
          <w:color w:val="auto"/>
        </w:rPr>
        <w:t>Stock options granted under the 2009 Plan, 2018 Plan and the 2021 Plan generally vest based on continued service over four years and expire within ten years from the date of grant. Any options that are canceled or forfeited before expiration become available for future grants.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grant any options to purchase shares of common stock during the three and six months ended June 30, 2023.</w:t>
      </w:r>
    </w:p>
    <w:p>
      <w:pPr>
        <w:spacing w:after="0" w:line="171" w:lineRule="exact"/>
        <w:rPr>
          <w:sz w:val="20"/>
          <w:szCs w:val="20"/>
          <w:color w:val="auto"/>
        </w:rPr>
      </w:pPr>
    </w:p>
    <w:p>
      <w:pPr>
        <w:ind w:right="120" w:firstLine="509"/>
        <w:spacing w:after="0" w:line="260" w:lineRule="auto"/>
        <w:rPr>
          <w:sz w:val="20"/>
          <w:szCs w:val="20"/>
          <w:color w:val="auto"/>
        </w:rPr>
      </w:pPr>
      <w:r>
        <w:rPr>
          <w:rFonts w:ascii="Arial" w:cs="Arial" w:eastAsia="Arial" w:hAnsi="Arial"/>
          <w:sz w:val="18"/>
          <w:szCs w:val="18"/>
          <w:color w:val="auto"/>
        </w:rPr>
        <w:t>As of June 30, 2023, there was $15.6 million of total unrecognized compensation expense related to unvested stock options, which is expected to be recognized over a weighted-average period of 1.73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195"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During 2018, the Company granted restricted stock awards to employees under the 2018 Plan. The restricted stock awards vested ratably over a four year period from the date of grant. The fair value of each restricted stock award was the estimated fair value of the common stock on the date of grant. All restricted stock awards were fully vested as of 2022.</w:t>
      </w:r>
    </w:p>
    <w:p>
      <w:pPr>
        <w:spacing w:after="0" w:line="14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Starting in 2021, the Company has awarded restricted stock units to employees and certain non-employee board members under the 2021 Plan. During the three and six months ended June 30, 2023, the Company awarded restricted stock units covering an aggregate of 123,251 and 2,536,481 shares of common stock, respectively. The fair value of each restricted stock unit is estimated based on the fair value of the Company's common stock on the date of the grant. The restricted stock units vest over the requisite service period, which range between one and four years from the date of the grant, subject to the continued employment of the employees and service of the non-employee board members.</w:t>
      </w:r>
    </w:p>
    <w:p>
      <w:pPr>
        <w:spacing w:after="0" w:line="154" w:lineRule="exact"/>
        <w:rPr>
          <w:sz w:val="20"/>
          <w:szCs w:val="20"/>
          <w:color w:val="auto"/>
        </w:rPr>
      </w:pPr>
    </w:p>
    <w:p>
      <w:pPr>
        <w:ind w:right="120" w:firstLine="509"/>
        <w:spacing w:after="0" w:line="260" w:lineRule="auto"/>
        <w:rPr>
          <w:sz w:val="20"/>
          <w:szCs w:val="20"/>
          <w:color w:val="auto"/>
        </w:rPr>
      </w:pPr>
      <w:r>
        <w:rPr>
          <w:rFonts w:ascii="Arial" w:cs="Arial" w:eastAsia="Arial" w:hAnsi="Arial"/>
          <w:sz w:val="18"/>
          <w:szCs w:val="18"/>
          <w:color w:val="auto"/>
        </w:rPr>
        <w:t>As of June 30, 2023, there was $100.0 million of total unrecognized compensation expense related to unvested restricted stock units, which is expected to be recognized over a weighted-average period of 3.33 years.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3,797,245 shares of common stock have been reserved for future issuance under the ESPP, in addition to any annual automatic evergreen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the lesser of up to 15% of their eligible compensation or IRS limit. Offering periods are generally 6 months long.</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a total of 3,766,959 shares of the Company's common stock were available for future issuance under the ESPP.</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there was no unrecognized compensation expense related to the ESPP.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Costs</w:t>
      </w:r>
    </w:p>
    <w:p>
      <w:pPr>
        <w:spacing w:after="0" w:line="195"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The following table summarizes the stock-based compensation expense for stock options, restricted stock units and ESPP granted to employees and non-employee board members that was recorded in the Company’s condensed consolidated statements of operations and comprehensive loss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74"/>
              <w:spacing w:after="0"/>
              <w:rPr>
                <w:sz w:val="20"/>
                <w:szCs w:val="20"/>
                <w:color w:val="auto"/>
              </w:rPr>
            </w:pPr>
            <w:r>
              <w:rPr>
                <w:rFonts w:ascii="Arial" w:cs="Arial" w:eastAsia="Arial" w:hAnsi="Arial"/>
                <w:sz w:val="14"/>
                <w:szCs w:val="14"/>
                <w:b w:val="1"/>
                <w:bCs w:val="1"/>
                <w:color w:val="auto"/>
              </w:rPr>
              <w:t>Three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54"/>
              <w:spacing w:after="0"/>
              <w:rPr>
                <w:sz w:val="20"/>
                <w:szCs w:val="20"/>
                <w:color w:val="auto"/>
              </w:rPr>
            </w:pPr>
            <w:r>
              <w:rPr>
                <w:rFonts w:ascii="Arial" w:cs="Arial" w:eastAsia="Arial" w:hAnsi="Arial"/>
                <w:sz w:val="14"/>
                <w:szCs w:val="14"/>
                <w:b w:val="1"/>
                <w:bCs w:val="1"/>
                <w:color w:val="auto"/>
              </w:rPr>
              <w:t>Three</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center"/>
              <w:ind w:right="234"/>
              <w:spacing w:after="0"/>
              <w:rPr>
                <w:sz w:val="20"/>
                <w:szCs w:val="20"/>
                <w:color w:val="auto"/>
              </w:rPr>
            </w:pPr>
            <w:r>
              <w:rPr>
                <w:rFonts w:ascii="Arial" w:cs="Arial" w:eastAsia="Arial" w:hAnsi="Arial"/>
                <w:sz w:val="14"/>
                <w:szCs w:val="14"/>
                <w:b w:val="1"/>
                <w:bCs w:val="1"/>
                <w:color w:val="auto"/>
              </w:rPr>
              <w:t>Six</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right="194"/>
              <w:spacing w:after="0"/>
              <w:rPr>
                <w:sz w:val="20"/>
                <w:szCs w:val="20"/>
                <w:color w:val="auto"/>
              </w:rPr>
            </w:pPr>
            <w:r>
              <w:rPr>
                <w:rFonts w:ascii="Arial" w:cs="Arial" w:eastAsia="Arial" w:hAnsi="Arial"/>
                <w:sz w:val="14"/>
                <w:szCs w:val="14"/>
                <w:b w:val="1"/>
                <w:bCs w:val="1"/>
                <w:color w:val="auto"/>
              </w:rPr>
              <w:t>Six</w:t>
            </w:r>
          </w:p>
        </w:tc>
        <w:tc>
          <w:tcPr>
            <w:tcW w:w="14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2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3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2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140" w:type="dxa"/>
            <w:vAlign w:val="bottom"/>
          </w:tcPr>
          <w:p>
            <w:pPr>
              <w:spacing w:after="0"/>
              <w:rPr>
                <w:sz w:val="14"/>
                <w:szCs w:val="14"/>
                <w:color w:val="auto"/>
              </w:rPr>
            </w:pPr>
          </w:p>
        </w:tc>
      </w:tr>
      <w:tr>
        <w:trPr>
          <w:trHeight w:val="189"/>
        </w:trPr>
        <w:tc>
          <w:tcPr>
            <w:tcW w:w="566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6"/>
                <w:szCs w:val="16"/>
                <w:color w:val="auto"/>
              </w:rPr>
            </w:pPr>
          </w:p>
        </w:tc>
      </w:tr>
      <w:tr>
        <w:trPr>
          <w:trHeight w:val="223"/>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w:t>
            </w:r>
          </w:p>
        </w:tc>
        <w:tc>
          <w:tcPr>
            <w:tcW w:w="5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60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3,968</w:t>
            </w:r>
          </w:p>
        </w:tc>
        <w:tc>
          <w:tcPr>
            <w:tcW w:w="5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140" w:type="dxa"/>
            <w:vAlign w:val="bottom"/>
            <w:shd w:val="clear" w:color="auto" w:fill="CFF0FC"/>
          </w:tcPr>
          <w:p>
            <w:pPr>
              <w:spacing w:after="0"/>
              <w:rPr>
                <w:sz w:val="19"/>
                <w:szCs w:val="19"/>
                <w:color w:val="auto"/>
              </w:rPr>
            </w:pP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3,515</w:t>
            </w:r>
          </w:p>
        </w:tc>
        <w:tc>
          <w:tcPr>
            <w:tcW w:w="140" w:type="dxa"/>
            <w:vAlign w:val="bottom"/>
          </w:tcPr>
          <w:p>
            <w:pPr>
              <w:spacing w:after="0"/>
              <w:rPr>
                <w:sz w:val="19"/>
                <w:szCs w:val="19"/>
                <w:color w:val="auto"/>
              </w:rPr>
            </w:pPr>
          </w:p>
        </w:tc>
      </w:tr>
      <w:tr>
        <w:trPr>
          <w:trHeight w:val="229"/>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11,376</w:t>
            </w:r>
          </w:p>
        </w:tc>
        <w:tc>
          <w:tcPr>
            <w:tcW w:w="5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8,437</w:t>
            </w:r>
          </w:p>
        </w:tc>
        <w:tc>
          <w:tcPr>
            <w:tcW w:w="6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19,979</w:t>
            </w: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13,932</w:t>
            </w:r>
          </w:p>
        </w:tc>
        <w:tc>
          <w:tcPr>
            <w:tcW w:w="1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-179070</wp:posOffset>
            </wp:positionV>
            <wp:extent cx="85725"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-179070</wp:posOffset>
            </wp:positionV>
            <wp:extent cx="85725"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-179070</wp:posOffset>
            </wp:positionV>
            <wp:extent cx="85725"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-179070</wp:posOffset>
            </wp:positionV>
            <wp:extent cx="85725"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Net Loss per Share</w:t>
      </w:r>
    </w:p>
    <w:p>
      <w:pPr>
        <w:spacing w:after="0" w:line="19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shares of common stock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weighted-average number of common shares outstanding, including all potentially dilutive common shares, if the effect of such shares is dilutive.</w:t>
      </w:r>
    </w:p>
    <w:p>
      <w:pPr>
        <w:spacing w:after="0" w:line="154" w:lineRule="exact"/>
        <w:rPr>
          <w:sz w:val="20"/>
          <w:szCs w:val="20"/>
          <w:color w:val="auto"/>
        </w:rPr>
      </w:pPr>
    </w:p>
    <w:p>
      <w:pPr>
        <w:ind w:right="320" w:firstLine="509"/>
        <w:spacing w:after="0" w:line="241"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and six months ended June 30, 2023 and 2022. For the three and six months ended June 30, 2023 and 2022, net loss per share attributable to common stockholders was the same as diluted net loss per share attributable to common stockholders.</w:t>
      </w:r>
    </w:p>
    <w:p>
      <w:pPr>
        <w:spacing w:after="0" w:line="14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spacing w:after="0" w:line="161" w:lineRule="exact"/>
        <w:rPr>
          <w:sz w:val="20"/>
          <w:szCs w:val="20"/>
          <w:color w:val="auto"/>
        </w:rPr>
      </w:pPr>
    </w:p>
    <w:p>
      <w:pPr>
        <w:ind w:right="260" w:firstLine="509"/>
        <w:spacing w:after="0" w:line="260"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2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6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Numerator:</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8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(16,813 )</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(23,797 )</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(20,496 )</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(33,946 )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40" w:type="dxa"/>
            <w:vAlign w:val="bottom"/>
            <w:shd w:val="clear" w:color="auto" w:fill="CFF0FC"/>
          </w:tcPr>
          <w:p>
            <w:pPr>
              <w:ind w:left="280"/>
              <w:spacing w:after="0" w:line="178" w:lineRule="exact"/>
              <w:rPr>
                <w:sz w:val="20"/>
                <w:szCs w:val="20"/>
                <w:color w:val="auto"/>
              </w:rPr>
            </w:pPr>
            <w:r>
              <w:rPr>
                <w:rFonts w:ascii="Arial" w:cs="Arial" w:eastAsia="Arial" w:hAnsi="Arial"/>
                <w:sz w:val="17"/>
                <w:szCs w:val="17"/>
                <w:color w:val="auto"/>
              </w:rPr>
              <w:t>Net loss attributable to common stockholders - basic</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7"/>
                <w:szCs w:val="17"/>
                <w:color w:val="auto"/>
              </w:rPr>
              <w:t>(16,813 )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7"/>
                <w:szCs w:val="17"/>
                <w:color w:val="auto"/>
              </w:rPr>
              <w:t>(23,797 )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7"/>
                <w:szCs w:val="17"/>
                <w:color w:val="auto"/>
              </w:rPr>
              <w:t>(20,496 )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7"/>
                <w:szCs w:val="17"/>
                <w:color w:val="auto"/>
              </w:rPr>
              <w:t>(33,946 )</w:t>
            </w:r>
          </w:p>
        </w:tc>
        <w:tc>
          <w:tcPr>
            <w:tcW w:w="0" w:type="dxa"/>
            <w:vAlign w:val="bottom"/>
          </w:tcPr>
          <w:p>
            <w:pPr>
              <w:spacing w:after="0"/>
              <w:rPr>
                <w:sz w:val="1"/>
                <w:szCs w:val="1"/>
                <w:color w:val="auto"/>
              </w:rPr>
            </w:pPr>
          </w:p>
        </w:tc>
      </w:tr>
      <w:tr>
        <w:trPr>
          <w:trHeight w:val="220"/>
        </w:trPr>
        <w:tc>
          <w:tcPr>
            <w:tcW w:w="5640" w:type="dxa"/>
            <w:vAlign w:val="bottom"/>
            <w:shd w:val="clear" w:color="auto" w:fill="CFF0FC"/>
          </w:tcPr>
          <w:p>
            <w:pPr>
              <w:ind w:left="420"/>
              <w:spacing w:after="0" w:line="180" w:lineRule="exact"/>
              <w:rPr>
                <w:sz w:val="20"/>
                <w:szCs w:val="20"/>
                <w:color w:val="auto"/>
              </w:rPr>
            </w:pPr>
            <w:r>
              <w:rPr>
                <w:rFonts w:ascii="Arial" w:cs="Arial" w:eastAsia="Arial" w:hAnsi="Arial"/>
                <w:sz w:val="17"/>
                <w:szCs w:val="17"/>
                <w:color w:val="auto"/>
              </w:rPr>
              <w:t>and diluted</w:t>
            </w:r>
          </w:p>
        </w:tc>
        <w:tc>
          <w:tcPr>
            <w:tcW w:w="160" w:type="dxa"/>
            <w:vAlign w:val="bottom"/>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16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64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Denominator:</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40" w:type="dxa"/>
            <w:vAlign w:val="bottom"/>
            <w:shd w:val="clear" w:color="auto" w:fill="CFF0FC"/>
          </w:tcPr>
          <w:p>
            <w:pPr>
              <w:ind w:left="280"/>
              <w:spacing w:after="0" w:line="185" w:lineRule="exact"/>
              <w:rPr>
                <w:sz w:val="20"/>
                <w:szCs w:val="20"/>
                <w:color w:val="auto"/>
              </w:rPr>
            </w:pPr>
            <w:r>
              <w:rPr>
                <w:rFonts w:ascii="Arial" w:cs="Arial" w:eastAsia="Arial" w:hAnsi="Arial"/>
                <w:sz w:val="17"/>
                <w:szCs w:val="17"/>
                <w:color w:val="auto"/>
              </w:rPr>
              <w:t>Weighted average common shares outstanding -</w:t>
            </w:r>
          </w:p>
        </w:tc>
        <w:tc>
          <w:tcPr>
            <w:tcW w:w="160" w:type="dxa"/>
            <w:vAlign w:val="bottom"/>
            <w:shd w:val="clear" w:color="auto" w:fill="CFF0FC"/>
          </w:tcPr>
          <w:p>
            <w:pPr>
              <w:spacing w:after="0"/>
              <w:rPr>
                <w:sz w:val="16"/>
                <w:szCs w:val="16"/>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111,133,221</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107,426,898</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110,464,092</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107,085,233</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40" w:type="dxa"/>
            <w:vAlign w:val="bottom"/>
            <w:tcBorders>
              <w:bottom w:val="single" w:sz="8" w:color="CFF0FC"/>
            </w:tcBorders>
            <w:shd w:val="clear" w:color="auto" w:fill="CFF0FC"/>
          </w:tcPr>
          <w:p>
            <w:pPr>
              <w:ind w:left="420"/>
              <w:spacing w:after="0" w:line="180" w:lineRule="exact"/>
              <w:rPr>
                <w:sz w:val="20"/>
                <w:szCs w:val="20"/>
                <w:color w:val="auto"/>
              </w:rPr>
            </w:pPr>
            <w:r>
              <w:rPr>
                <w:rFonts w:ascii="Arial" w:cs="Arial" w:eastAsia="Arial" w:hAnsi="Arial"/>
                <w:sz w:val="17"/>
                <w:szCs w:val="17"/>
                <w:color w:val="auto"/>
              </w:rPr>
              <w:t>basic and diluted</w:t>
            </w: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640" w:type="dxa"/>
            <w:vAlign w:val="bottom"/>
          </w:tcPr>
          <w:p>
            <w:pPr>
              <w:ind w:left="280"/>
              <w:spacing w:after="0" w:line="165" w:lineRule="exact"/>
              <w:rPr>
                <w:sz w:val="20"/>
                <w:szCs w:val="20"/>
                <w:color w:val="auto"/>
              </w:rPr>
            </w:pPr>
            <w:r>
              <w:rPr>
                <w:rFonts w:ascii="Arial" w:cs="Arial" w:eastAsia="Arial" w:hAnsi="Arial"/>
                <w:sz w:val="17"/>
                <w:szCs w:val="17"/>
                <w:color w:val="auto"/>
              </w:rPr>
              <w:t>Net loss per share attributable to common</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(0.15 )</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(0.22 )</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(0.19 )</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(0.32 )</w:t>
            </w:r>
          </w:p>
        </w:tc>
        <w:tc>
          <w:tcPr>
            <w:tcW w:w="0" w:type="dxa"/>
            <w:vAlign w:val="bottom"/>
          </w:tcPr>
          <w:p>
            <w:pPr>
              <w:spacing w:after="0"/>
              <w:rPr>
                <w:sz w:val="1"/>
                <w:szCs w:val="1"/>
                <w:color w:val="auto"/>
              </w:rPr>
            </w:pPr>
          </w:p>
        </w:tc>
      </w:tr>
      <w:tr>
        <w:trPr>
          <w:trHeight w:val="180"/>
        </w:trPr>
        <w:tc>
          <w:tcPr>
            <w:tcW w:w="5640" w:type="dxa"/>
            <w:vAlign w:val="bottom"/>
          </w:tcPr>
          <w:p>
            <w:pPr>
              <w:ind w:left="420"/>
              <w:spacing w:after="0" w:line="180" w:lineRule="exact"/>
              <w:rPr>
                <w:sz w:val="20"/>
                <w:szCs w:val="20"/>
                <w:color w:val="auto"/>
              </w:rPr>
            </w:pPr>
            <w:r>
              <w:rPr>
                <w:rFonts w:ascii="Arial" w:cs="Arial" w:eastAsia="Arial" w:hAnsi="Arial"/>
                <w:sz w:val="17"/>
                <w:szCs w:val="17"/>
                <w:color w:val="auto"/>
              </w:rPr>
              <w:t>stockholders - basic and diluted</w:t>
            </w:r>
          </w:p>
        </w:tc>
        <w:tc>
          <w:tcPr>
            <w:tcW w:w="16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-676910</wp:posOffset>
            </wp:positionV>
            <wp:extent cx="2828925"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28925" cy="1631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-282575</wp:posOffset>
            </wp:positionV>
            <wp:extent cx="2828925" cy="2832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28925" cy="283210"/>
                    </a:xfrm>
                    <a:prstGeom prst="rect">
                      <a:avLst/>
                    </a:prstGeom>
                    <a:noFill/>
                  </pic:spPr>
                </pic:pic>
              </a:graphicData>
            </a:graphic>
          </wp:anchor>
        </w:drawing>
      </w:r>
    </w:p>
    <w:p>
      <w:pPr>
        <w:spacing w:after="0" w:line="143" w:lineRule="exact"/>
        <w:rPr>
          <w:sz w:val="20"/>
          <w:szCs w:val="20"/>
          <w:color w:val="auto"/>
        </w:rPr>
      </w:pPr>
    </w:p>
    <w:p>
      <w:pPr>
        <w:ind w:right="300" w:firstLine="509"/>
        <w:spacing w:after="0" w:line="260" w:lineRule="auto"/>
        <w:rPr>
          <w:sz w:val="20"/>
          <w:szCs w:val="20"/>
          <w:color w:val="auto"/>
        </w:rPr>
      </w:pPr>
      <w:r>
        <w:rPr>
          <w:rFonts w:ascii="Arial" w:cs="Arial" w:eastAsia="Arial" w:hAnsi="Arial"/>
          <w:sz w:val="18"/>
          <w:szCs w:val="18"/>
          <w:color w:val="auto"/>
        </w:rPr>
        <w:t>Outstanding potentially dilutive securities, which were excluded from the diluted net loss per share calculations because they would have been antidilutive were as follows as of the dates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234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7520" w:type="dxa"/>
            <w:vAlign w:val="bottom"/>
          </w:tcPr>
          <w:p>
            <w:pPr>
              <w:spacing w:after="0"/>
              <w:rPr>
                <w:sz w:val="15"/>
                <w:szCs w:val="15"/>
                <w:color w:val="auto"/>
              </w:rPr>
            </w:pPr>
          </w:p>
        </w:tc>
        <w:tc>
          <w:tcPr>
            <w:tcW w:w="16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10"/>
        </w:trPr>
        <w:tc>
          <w:tcPr>
            <w:tcW w:w="752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restricted stock units</w:t>
            </w:r>
          </w:p>
        </w:tc>
        <w:tc>
          <w:tcPr>
            <w:tcW w:w="1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4,518,964</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2,795,230</w:t>
            </w:r>
          </w:p>
        </w:tc>
        <w:tc>
          <w:tcPr>
            <w:tcW w:w="14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Arial" w:cs="Arial" w:eastAsia="Arial" w:hAnsi="Arial"/>
                <w:sz w:val="17"/>
                <w:szCs w:val="17"/>
                <w:color w:val="auto"/>
              </w:rPr>
              <w:t>Stock options to purchase common stock</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10,430,580</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13,466,157</w:t>
            </w:r>
          </w:p>
        </w:tc>
        <w:tc>
          <w:tcPr>
            <w:tcW w:w="140" w:type="dxa"/>
            <w:vAlign w:val="bottom"/>
          </w:tcPr>
          <w:p>
            <w:pPr>
              <w:spacing w:after="0"/>
              <w:rPr>
                <w:sz w:val="18"/>
                <w:szCs w:val="18"/>
                <w:color w:val="auto"/>
              </w:rPr>
            </w:pPr>
          </w:p>
        </w:tc>
      </w:tr>
      <w:tr>
        <w:trPr>
          <w:trHeight w:val="249"/>
        </w:trPr>
        <w:tc>
          <w:tcPr>
            <w:tcW w:w="75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14,949,544</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16,261,387</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857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7"/>
          <w:szCs w:val="17"/>
          <w:b w:val="1"/>
          <w:bCs w:val="1"/>
          <w:color w:val="auto"/>
        </w:rPr>
        <w:t>Income Taxes</w:t>
      </w:r>
    </w:p>
    <w:p>
      <w:pPr>
        <w:spacing w:after="0" w:line="18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Company’s provision for income taxes during the interim periods is determined using an estimate of the Company’s annual effective tax rate, which is adjusted for certain discrete tax items during the interim period. The Company recorded an income tax expense of $1.1 million for the three months ended June 30, 2023 and 2022. The income tax expense for the three months ended June 30, 2023 and 2022 was primarily attributable to activity in the Company's foreign subsidiaries and U.S. state taxes. The Company recorded an income tax expense of $1.5 million and $ 1.6 million for the six months ended June 30, 2023 and 2022, respectively. The income tax expense for the six months ended June 30, 2023 and 2022 was primarily attributable to activity in the Company's foreign subsidiaries and U.S. state taxes.</w:t>
      </w:r>
    </w:p>
    <w:p>
      <w:pPr>
        <w:spacing w:after="0" w:line="15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Company’s effective tax rate differs from the U.S. federal statutory rate primarily due to the change in valuation allowance in the U.S. The Company is open to future tax examinations from 2018 to the present; however, carryforward attributes that were generated prior to 2018 may still be adjusted upon examination by federal, state or local tax authorities to the extent they will be used in a future period. In 2021, the U.S. Internal Revenue Service commenced a corporate income tax audit with respect to the 2018 calendar year, which was completed in 2022.</w:t>
      </w:r>
    </w:p>
    <w:p>
      <w:pPr>
        <w:spacing w:after="0" w:line="162"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June 30, 2023, the Company continues to maintain a full valuation allowance of the U.S. and United Kingdom net deferred tax assets.</w:t>
      </w:r>
    </w:p>
    <w:p>
      <w:pPr>
        <w:spacing w:after="0" w:line="14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On August 16, 2022, the Inflation Reduction Act of 2022 was signed into law. This legislation imposes a federal Corporate Alternative Minimum Tax among other tax law changes. The Inflation Reduction Act of 2022 was effective for Flywire for years beginning after December 31, 2022. The Company has completed its analysis of this legislation and it does not expect the Inflation Reduction Act of 2022 will have a material impact on the Company's tax liability.</w:t>
      </w:r>
    </w:p>
    <w:p>
      <w:pPr>
        <w:spacing w:after="0" w:line="2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95" w:lineRule="exact"/>
        <w:rPr>
          <w:sz w:val="20"/>
          <w:szCs w:val="20"/>
          <w:color w:val="auto"/>
        </w:rPr>
      </w:pPr>
    </w:p>
    <w:p>
      <w:pPr>
        <w:ind w:right="300" w:firstLine="509"/>
        <w:spacing w:after="0" w:line="237" w:lineRule="auto"/>
        <w:rPr>
          <w:sz w:val="20"/>
          <w:szCs w:val="20"/>
          <w:color w:val="auto"/>
        </w:rPr>
      </w:pPr>
      <w:r>
        <w:rPr>
          <w:rFonts w:ascii="Arial" w:cs="Arial" w:eastAsia="Arial" w:hAnsi="Arial"/>
          <w:sz w:val="18"/>
          <w:szCs w:val="18"/>
          <w:color w:val="auto"/>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the ability to make a reasonable estimate of the loss. If the occurrence of liability is probable, the Company will disclose the nature of the contingency, and if estimable, will provide the likely amount of such loss or range of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As of June 30, 2023, the Company was not a party to any litigation the outcome of which, the Company believes, if determined adversely to it, would individually or in the aggregate, have a material adverse effect on its financial position, results of operations, or cash flows.</w:t>
      </w:r>
    </w:p>
    <w:p>
      <w:pPr>
        <w:spacing w:after="0" w:line="15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course of implementing geolocation data-based sanctions screening measures, the Company identified certain payments which, based on geolocation data, appear to have been initiated from Cuba, Iran, or Syria, in potential violation of applicable sanctions regimes. Although Flywire continues to evaluate whether these transactions constitute potential violations of the U.S. Department of the Treasury’s Office of Foreign Assets Controls (OFAC) sanctions (including whether certain of these payments may have been authorized by general licenses or license exemptions under the relevant sanctions regulations), in August 2023, Flywire made a voluntary submission to OFAC to report the potential violations.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8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consolidated financial statements for the periods ended June 30, 2023 and December 31, 2022.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 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4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377940" cy="43122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77940" cy="431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75" w:lineRule="exact"/>
        <w:rPr>
          <w:sz w:val="20"/>
          <w:szCs w:val="20"/>
          <w:color w:val="auto"/>
        </w:rPr>
      </w:pPr>
    </w:p>
    <w:p>
      <w:pPr>
        <w:ind w:left="1020" w:right="200" w:hanging="503"/>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43% period-over-period from $2.9 billion during the three months ended June 30, 2022 to $4.1 billion during the three months ended June 30, 2023. We have grown our total payment volume by approximately 39% period-over-period from $7.0 billion during the six months ended June 30, 2022 to $9.8 billion during the six months ended June 30, 2023.</w:t>
      </w:r>
    </w:p>
    <w:p>
      <w:pPr>
        <w:spacing w:after="0" w:line="133" w:lineRule="exact"/>
        <w:rPr>
          <w:rFonts w:ascii="Arial" w:cs="Arial" w:eastAsia="Arial" w:hAnsi="Arial"/>
          <w:sz w:val="18"/>
          <w:szCs w:val="18"/>
          <w:color w:val="auto"/>
        </w:rPr>
      </w:pPr>
    </w:p>
    <w:p>
      <w:pPr>
        <w:jc w:val="both"/>
        <w:ind w:left="1020" w:right="60" w:hanging="503"/>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continued to add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over 240 countries and territories and more than 140 currencies.</w:t>
      </w:r>
    </w:p>
    <w:p>
      <w:pPr>
        <w:spacing w:after="0" w:line="128" w:lineRule="exact"/>
        <w:rPr>
          <w:rFonts w:ascii="Arial" w:cs="Arial" w:eastAsia="Arial" w:hAnsi="Arial"/>
          <w:sz w:val="18"/>
          <w:szCs w:val="18"/>
          <w:color w:val="auto"/>
        </w:rPr>
      </w:pPr>
    </w:p>
    <w:p>
      <w:pPr>
        <w:ind w:left="1020" w:right="140" w:hanging="503"/>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net promoter score (NPS) score of 62 in fiscal year 2022 demonstrates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affinity among our clients for our platform.</w:t>
      </w:r>
    </w:p>
    <w:p>
      <w:pPr>
        <w:spacing w:after="0" w:line="126" w:lineRule="exact"/>
        <w:rPr>
          <w:rFonts w:ascii="Arial" w:cs="Arial" w:eastAsia="Arial" w:hAnsi="Arial"/>
          <w:sz w:val="18"/>
          <w:szCs w:val="18"/>
          <w:color w:val="auto"/>
        </w:rPr>
      </w:pPr>
    </w:p>
    <w:p>
      <w:pPr>
        <w:ind w:left="1020" w:hanging="503"/>
        <w:spacing w:after="0" w:line="242"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2022, our annual net dollar-based retention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124%.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48" w:lineRule="exact"/>
        <w:rPr>
          <w:sz w:val="20"/>
          <w:szCs w:val="20"/>
          <w:color w:val="auto"/>
        </w:rPr>
      </w:pPr>
    </w:p>
    <w:p>
      <w:pPr>
        <w:ind w:right="40" w:firstLine="509"/>
        <w:spacing w:after="0" w:line="260" w:lineRule="auto"/>
        <w:rPr>
          <w:sz w:val="20"/>
          <w:szCs w:val="20"/>
          <w:color w:val="auto"/>
        </w:rPr>
      </w:pPr>
      <w:r>
        <w:rPr>
          <w:rFonts w:ascii="Arial" w:cs="Arial" w:eastAsia="Arial" w:hAnsi="Arial"/>
          <w:sz w:val="18"/>
          <w:szCs w:val="18"/>
          <w:color w:val="auto"/>
        </w:rPr>
        <w:t>As of June 30, 2023, we serve over 3,500 clients around the world. In education, we serve more than 2,600 institutions. In healthcare, we power more than 80 healthcare systems, including four of the top 10 healthcare systems in</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United States ranked by hospital size as of December 31, 2022. In our newer payment verticals of travel and business-to-business (B2B) payments, we have a growing portfolio of more than 700 clients as of June 30, 2023.</w:t>
      </w:r>
    </w:p>
    <w:p>
      <w:pPr>
        <w:spacing w:after="0" w:line="14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approximately $18.1 billion and $9.8 billion in total payment volume during the year ended December 31, 2022 and six months ended June 30, 2023, respectively. We generated revenue of $289.4 million and $201.1 million for the years ended December 31, 2022 and 2021, respectively, and incurred net losses of $39.3 million and $28.1 million, respectively, for the same years. We generated revenue of $179.2 million and $121.1 million for the six months ended June 30, 2023 and 2022, respectively, and incurred net loss of $20.5 million and $33.9 million, respectively, for the same periods.</w:t>
      </w:r>
    </w:p>
    <w:p>
      <w:pPr>
        <w:spacing w:after="0" w:line="15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47"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the ongoing effects of the COVID-19 pandemic and fluctuations in exchange rates. If we are unable to successfully address these challenges, our business, operating results, and prospects could be adversely affected.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w:t>
      </w:r>
    </w:p>
    <w:p>
      <w:pPr>
        <w:spacing w:after="0" w:line="1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July 2022, we acquired all of the issued and outstanding shares of Cohort Go for an estimated aggregate purchase consideration of $23.1 million, consisting of $17.1 million in cash, net of cash acquired, $4.3 million in shares of common stock and up to $1.7 million in contingent consideration. Contingent consideration represented additional payments that Flywire was required to make which was dependent upon Cohort Go's achievement of specific post-acquisition milestones and was subject to exchange rate fluctuation adjustment between the U.S. Dollar and Australian Dollar. During March 2023, the Company made a payment of contingent consideration of $1.7 million, in the form of cash, based on Cohort Go's successful and timely achievement of the contracted milestones. No additional contingent consideration is due or payable with respect to the Cohort Go acquisition. Cohort Go is an Australian-based education payments provider that simplifies the student recruitment process by bringing together students, agents and essential student services such as health insurance into one platform. The acquisition of Cohort Go accelerated the growth of Flywire's agent related revenue and contributed to our global expansion. Cohort Go contributed $4.3 million in transaction revenue and $3.0 million in platform revenue during the three months ended June 30, 2023, respectively, and $7.8 million in transaction revenue and $5.5 million in platform revenue during the six months ended June 30, 2023,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65"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 consists</w:t>
      </w:r>
      <w:r>
        <w:rPr>
          <w:rFonts w:ascii="Arial" w:cs="Arial" w:eastAsia="Arial" w:hAnsi="Arial"/>
          <w:sz w:val="18"/>
          <w:szCs w:val="18"/>
          <w:i w:val="1"/>
          <w:iCs w:val="1"/>
          <w:color w:val="auto"/>
        </w:rPr>
        <w:t xml:space="preserve"> </w:t>
      </w:r>
      <w:r>
        <w:rPr>
          <w:rFonts w:ascii="Arial" w:cs="Arial" w:eastAsia="Arial" w:hAnsi="Arial"/>
          <w:sz w:val="18"/>
          <w:szCs w:val="18"/>
          <w:color w:val="auto"/>
        </w:rPr>
        <w:t>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 collections,</w:t>
      </w:r>
    </w:p>
    <w:p>
      <w:pPr>
        <w:spacing w:after="0" w:line="14" w:lineRule="exact"/>
        <w:rPr>
          <w:sz w:val="20"/>
          <w:szCs w:val="20"/>
          <w:color w:val="auto"/>
        </w:rPr>
      </w:pPr>
    </w:p>
    <w:p>
      <w:pPr>
        <w:ind w:left="5520" w:right="3000" w:hanging="5512"/>
        <w:spacing w:after="0" w:line="465" w:lineRule="auto"/>
        <w:tabs>
          <w:tab w:leader="none" w:pos="254"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collected on payment plans established by our clients on our payment platform, (iii) subscription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800"/>
        <w:spacing w:after="0" w:line="446" w:lineRule="auto"/>
        <w:rPr>
          <w:sz w:val="20"/>
          <w:szCs w:val="20"/>
          <w:color w:val="auto"/>
        </w:rPr>
      </w:pPr>
      <w:r>
        <w:rPr>
          <w:rFonts w:ascii="Arial" w:cs="Arial" w:eastAsia="Arial" w:hAnsi="Arial"/>
          <w:sz w:val="18"/>
          <w:szCs w:val="18"/>
          <w:color w:val="auto"/>
        </w:rPr>
        <w:t xml:space="preserve">fees and (iv) fees related to printing and mailing services which we consider to be ancillary to the solutions we provide to our clients. </w:t>
      </w:r>
      <w:r>
        <w:rPr>
          <w:rFonts w:ascii="Arial" w:cs="Arial" w:eastAsia="Arial" w:hAnsi="Arial"/>
          <w:sz w:val="18"/>
          <w:szCs w:val="18"/>
          <w:b w:val="1"/>
          <w:bCs w:val="1"/>
          <w:color w:val="auto"/>
        </w:rPr>
        <w:t>Key Operating Metrics and Non-GAAP Financial Measures</w:t>
      </w:r>
    </w:p>
    <w:p>
      <w:pPr>
        <w:ind w:right="120" w:firstLine="509"/>
        <w:spacing w:after="0" w:line="247" w:lineRule="auto"/>
        <w:rPr>
          <w:sz w:val="20"/>
          <w:szCs w:val="20"/>
          <w:color w:val="auto"/>
        </w:rPr>
      </w:pPr>
      <w:r>
        <w:rPr>
          <w:rFonts w:ascii="Arial" w:cs="Arial" w:eastAsia="Arial" w:hAnsi="Arial"/>
          <w:sz w:val="18"/>
          <w:szCs w:val="18"/>
          <w:color w:val="auto"/>
        </w:rPr>
        <w:t>To supplement our consolidated financial statements, which are prepared in accordance with generally accepted accounting principles in the United States (GAAP), we use certain non-GAAP financials measures. The following table sets forth our key operating metrics and non-GAAP measures for the periods presented: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3"/>
        </w:trPr>
        <w:tc>
          <w:tcPr>
            <w:tcW w:w="5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Payment Volume</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4,089.9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2,860.3</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9,758.1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7,034.1</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84.9</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179.2</w:t>
            </w:r>
          </w:p>
        </w:tc>
        <w:tc>
          <w:tcPr>
            <w:tcW w:w="3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48.8</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107.0</w:t>
            </w:r>
          </w:p>
        </w:tc>
        <w:tc>
          <w:tcPr>
            <w:tcW w:w="3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Profit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57.5 %</w:t>
            </w:r>
          </w:p>
        </w:tc>
        <w:tc>
          <w:tcPr>
            <w:tcW w:w="3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58.8 %</w:t>
            </w:r>
          </w:p>
        </w:tc>
        <w:tc>
          <w:tcPr>
            <w:tcW w:w="2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59.7 %</w:t>
            </w: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59.5 %</w:t>
            </w:r>
          </w:p>
        </w:tc>
      </w:tr>
      <w:tr>
        <w:trPr>
          <w:trHeight w:val="230"/>
        </w:trPr>
        <w:tc>
          <w:tcPr>
            <w:tcW w:w="5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Gross Margin</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63.5 %</w:t>
            </w: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66.8 %</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65.5 %</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67.2 %</w:t>
            </w:r>
          </w:p>
        </w:tc>
        <w:tc>
          <w:tcPr>
            <w:tcW w:w="40" w:type="dxa"/>
            <w:vAlign w:val="bottom"/>
          </w:tcPr>
          <w:p>
            <w:pPr>
              <w:spacing w:after="0"/>
              <w:rPr>
                <w:sz w:val="19"/>
                <w:szCs w:val="19"/>
                <w:color w:val="auto"/>
              </w:rPr>
            </w:pPr>
          </w:p>
        </w:tc>
      </w:tr>
      <w:tr>
        <w:trPr>
          <w:trHeight w:val="229"/>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(16.8 )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(23.8 )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(20.5 )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(33.9 )</w:t>
            </w:r>
          </w:p>
        </w:tc>
        <w:tc>
          <w:tcPr>
            <w:tcW w:w="40" w:type="dxa"/>
            <w:vAlign w:val="bottom"/>
          </w:tcPr>
          <w:p>
            <w:pPr>
              <w:spacing w:after="0"/>
              <w:rPr>
                <w:sz w:val="19"/>
                <w:szCs w:val="19"/>
                <w:color w:val="auto"/>
              </w:rPr>
            </w:pPr>
          </w:p>
        </w:tc>
      </w:tr>
      <w:tr>
        <w:trPr>
          <w:trHeight w:val="230"/>
        </w:trPr>
        <w:tc>
          <w:tcPr>
            <w:tcW w:w="57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(6.1 )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(4.4 )</w:t>
            </w:r>
          </w:p>
        </w:tc>
        <w:tc>
          <w:tcPr>
            <w:tcW w:w="40" w:type="dxa"/>
            <w:vAlign w:val="bottom"/>
          </w:tcPr>
          <w:p>
            <w:pPr>
              <w:spacing w:after="0"/>
              <w:rPr>
                <w:sz w:val="19"/>
                <w:szCs w:val="19"/>
                <w:color w:val="auto"/>
              </w:rPr>
            </w:pPr>
          </w:p>
        </w:tc>
      </w:tr>
    </w:tbl>
    <w:p>
      <w:pPr>
        <w:spacing w:after="0" w:line="176"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For the three months ended June 30, 2023, transaction revenue and platform and usage-based fee revenue represented 78.8% and 21.2% of our revenue, respectively. For the three months ended June 30, 2023, transaction revenue and platform and usage-based fee revenue represented 84.0% and 16.0% of our total revenue less ancillary services, respectively. For the three months ended June 30, 2022, transaction revenue and platform and usage-based fee revenue represented 73.8% and 26.2% of our revenue, respectively. For the three months ended June 30, 2022, transaction revenue and platform and usage-based fee revenue represented 80.6% and 19.4% of our total revenue less ancillary services, respectively.</w:t>
      </w:r>
    </w:p>
    <w:p>
      <w:pPr>
        <w:spacing w:after="0" w:line="154" w:lineRule="exact"/>
        <w:rPr>
          <w:sz w:val="20"/>
          <w:szCs w:val="20"/>
          <w:color w:val="auto"/>
        </w:rPr>
      </w:pPr>
    </w:p>
    <w:p>
      <w:pPr>
        <w:ind w:right="340" w:firstLine="509"/>
        <w:spacing w:after="0" w:line="239" w:lineRule="auto"/>
        <w:rPr>
          <w:sz w:val="20"/>
          <w:szCs w:val="20"/>
          <w:color w:val="auto"/>
        </w:rPr>
      </w:pPr>
      <w:r>
        <w:rPr>
          <w:rFonts w:ascii="Arial" w:cs="Arial" w:eastAsia="Arial" w:hAnsi="Arial"/>
          <w:sz w:val="18"/>
          <w:szCs w:val="18"/>
          <w:color w:val="auto"/>
        </w:rPr>
        <w:t>For the six months ended June 30, 2023, transaction revenue and platform and usage-based fee revenue represented 79.9% and 20.1% of our revenue, respectively. For the six months ended June 30, 2023, transaction revenue and platform and usage-based fee revenue represented 84.6% and 15.4% of our total revenue less ancillary services, respectively. For the six months ended June 30, 2022, transaction revenue and platform and usage-based fee revenue represented 74.6% and 25.4% of our revenue, respectively. For the six months ended June 30, 2022, transaction revenue and platform and usage-based fee revenue represented 81.0% and 19.0% of our total revenue less ancillary services, respectively.</w:t>
      </w:r>
    </w:p>
    <w:p>
      <w:pPr>
        <w:spacing w:after="0" w:line="15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For the three months ended June 30, 2023, our total payment volume was approximately $4.1 billion, consisting of $3.1 billion of total payment volume from transactions included in transaction revenue, and $1.0 billion of total payment volume from transactions included in platform and usage-based fee revenue. For the three months ended June 30, 2022, our total payment volume was approximately $2.9 billion, consisting of $2.0 billion of total payment volume from transactions included in transaction revenue, and $0.9 billion of total payment volume from transactions included in platform and usage-based fee revenue.</w:t>
      </w:r>
    </w:p>
    <w:p>
      <w:pPr>
        <w:spacing w:after="0" w:line="162"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For six months ended June 30, 2023, our total payment volume was approximately $9.8 billion, consisting of $6.9 billion of total payment volume from transactions included in transaction revenue and $2.9 billion of total payment volume from transactions included in platform and usage-based fee revenue. For six months ended June 30, 2022, our total payment volume was approximately $7.0 billion, consisting of $4.5 billion of total payment volume from transactions included in transaction revenue and $2.5 billion of total payment volume from transactions included in platform and usage-based fee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18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i w:val="1"/>
          <w:iCs w:val="1"/>
          <w:color w:val="auto"/>
        </w:rPr>
        <w:t>Revenue Less Ancillary Services, Revenue Less Ancillary Services at Constant Currency, Adjusted Gross Profit, Adjusted Gross Margin and Adjusted EBITDA</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51"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 GAAP financial measures include the following:</w:t>
      </w:r>
    </w:p>
    <w:p>
      <w:pPr>
        <w:spacing w:after="0" w:line="138" w:lineRule="exact"/>
        <w:rPr>
          <w:sz w:val="20"/>
          <w:szCs w:val="20"/>
          <w:color w:val="auto"/>
        </w:rPr>
      </w:pPr>
    </w:p>
    <w:p>
      <w:pPr>
        <w:ind w:left="1020" w:right="80" w:hanging="503"/>
        <w:spacing w:after="0" w:line="245"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 Revenue Less Ancillary Services represents our consolidated revenue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GAAP less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153" w:lineRule="exact"/>
        <w:rPr>
          <w:rFonts w:ascii="Arial" w:cs="Arial" w:eastAsia="Arial" w:hAnsi="Arial"/>
          <w:sz w:val="18"/>
          <w:szCs w:val="18"/>
          <w:color w:val="auto"/>
        </w:rPr>
      </w:pPr>
    </w:p>
    <w:p>
      <w:pPr>
        <w:ind w:left="1020" w:hanging="503"/>
        <w:spacing w:after="0" w:line="24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at Constant Currency </w:t>
      </w:r>
      <w:r>
        <w:rPr>
          <w:rFonts w:ascii="Arial" w:cs="Arial" w:eastAsia="Arial" w:hAnsi="Arial"/>
          <w:sz w:val="18"/>
          <w:szCs w:val="18"/>
          <w:color w:val="auto"/>
        </w:rPr>
        <w:t>- Revenue Less Ancillary Services at Constant Currency represents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spacing w:after="0" w:line="144" w:lineRule="exact"/>
        <w:rPr>
          <w:rFonts w:ascii="Arial" w:cs="Arial" w:eastAsia="Arial" w:hAnsi="Arial"/>
          <w:sz w:val="18"/>
          <w:szCs w:val="18"/>
          <w:color w:val="auto"/>
        </w:rPr>
      </w:pPr>
    </w:p>
    <w:p>
      <w:pPr>
        <w:ind w:left="1020" w:right="20" w:hanging="503"/>
        <w:spacing w:after="0" w:line="242"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Gross Profit </w:t>
      </w:r>
      <w:r>
        <w:rPr>
          <w:rFonts w:ascii="Arial" w:cs="Arial" w:eastAsia="Arial" w:hAnsi="Arial"/>
          <w:sz w:val="18"/>
          <w:szCs w:val="18"/>
          <w:color w:val="auto"/>
        </w:rPr>
        <w:t>- Adjusted Gross Profit represents Revenue Less Ancillary Services, less cost of revenue adjusted to (i)</w:t>
      </w:r>
      <w:r>
        <w:rPr>
          <w:rFonts w:ascii="Arial" w:cs="Arial" w:eastAsia="Arial" w:hAnsi="Arial"/>
          <w:sz w:val="18"/>
          <w:szCs w:val="18"/>
          <w:i w:val="1"/>
          <w:iCs w:val="1"/>
          <w:color w:val="auto"/>
        </w:rPr>
        <w:t xml:space="preserve"> </w:t>
      </w:r>
      <w:r>
        <w:rPr>
          <w:rFonts w:ascii="Arial" w:cs="Arial" w:eastAsia="Arial" w:hAnsi="Arial"/>
          <w:sz w:val="18"/>
          <w:szCs w:val="18"/>
          <w:color w:val="auto"/>
        </w:rPr>
        <w:t>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 related services, which are the primary services we provide to our clients.</w:t>
      </w:r>
    </w:p>
    <w:p>
      <w:pPr>
        <w:spacing w:after="0" w:line="144" w:lineRule="exact"/>
        <w:rPr>
          <w:rFonts w:ascii="Arial" w:cs="Arial" w:eastAsia="Arial" w:hAnsi="Arial"/>
          <w:sz w:val="18"/>
          <w:szCs w:val="18"/>
          <w:color w:val="auto"/>
        </w:rPr>
      </w:pPr>
    </w:p>
    <w:p>
      <w:pPr>
        <w:ind w:left="1020" w:right="4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Gross Margin </w:t>
      </w:r>
      <w:r>
        <w:rPr>
          <w:rFonts w:ascii="Arial" w:cs="Arial" w:eastAsia="Arial" w:hAnsi="Arial"/>
          <w:sz w:val="18"/>
          <w:szCs w:val="18"/>
          <w:color w:val="auto"/>
        </w:rPr>
        <w:t>- 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this presentation supplements the GAAP presentation of gross margin with a useful measure of the gross margin of our payment-related services, which are the primary services we provide to our clients. Beginning with the quarter ended December 31, 2022, we have excluded depreciation and amortization from the calculation of our adjusted gross profit, which we believe enhances the understanding of the Company’s operating performance and enables more meaningful period to period comparisons. Our adjusted gross profit and adjusted gross margin for the three and six months ended June 30, 2022 were recast to conform to the updated methodology and are reflected herein for comparison purposes.</w:t>
      </w:r>
    </w:p>
    <w:p>
      <w:pPr>
        <w:spacing w:after="0" w:line="157" w:lineRule="exact"/>
        <w:rPr>
          <w:rFonts w:ascii="Arial" w:cs="Arial" w:eastAsia="Arial" w:hAnsi="Arial"/>
          <w:sz w:val="18"/>
          <w:szCs w:val="18"/>
          <w:color w:val="auto"/>
        </w:rPr>
      </w:pPr>
    </w:p>
    <w:p>
      <w:pPr>
        <w:ind w:left="1020" w:right="60" w:hanging="503"/>
        <w:spacing w:after="0" w:line="24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 Adjusted EBITDA represents EBITDA further adjusted by excluding (i) stock-based compensation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payroll taxes, (ii) the impact from the change in fair value measurement for contingent consideration associated with acquisitions, (iii) interest income, (iv) gain (loss) from the remeasurement of foreign currency,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49"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We encourage you to review these reconciliations in conjunction with the presentation of the non-GAAP financial measures for each of the periods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780"/>
        <w:spacing w:after="0" w:line="446" w:lineRule="auto"/>
        <w:rPr>
          <w:sz w:val="20"/>
          <w:szCs w:val="20"/>
          <w:color w:val="auto"/>
        </w:rPr>
      </w:pPr>
      <w:r>
        <w:rPr>
          <w:rFonts w:ascii="Arial" w:cs="Arial" w:eastAsia="Arial" w:hAnsi="Arial"/>
          <w:sz w:val="18"/>
          <w:szCs w:val="18"/>
          <w:color w:val="auto"/>
        </w:rPr>
        <w:t xml:space="preserve">presented. In future fiscal periods, we may exclude such items and may incur income and expenses similar to these excluded items. </w:t>
      </w:r>
      <w:r>
        <w:rPr>
          <w:rFonts w:ascii="Arial" w:cs="Arial" w:eastAsia="Arial" w:hAnsi="Arial"/>
          <w:sz w:val="18"/>
          <w:szCs w:val="18"/>
          <w:b w:val="1"/>
          <w:bCs w:val="1"/>
          <w:color w:val="auto"/>
        </w:rPr>
        <w:t>Reconciliations of Non-GAAP Financial Measures</w:t>
      </w:r>
    </w:p>
    <w:p>
      <w:pPr>
        <w:ind w:right="220" w:firstLine="509"/>
        <w:spacing w:after="0" w:line="243" w:lineRule="auto"/>
        <w:rPr>
          <w:sz w:val="20"/>
          <w:szCs w:val="20"/>
          <w:color w:val="auto"/>
        </w:rPr>
      </w:pPr>
      <w:r>
        <w:rPr>
          <w:rFonts w:ascii="Arial" w:cs="Arial" w:eastAsia="Arial" w:hAnsi="Arial"/>
          <w:sz w:val="18"/>
          <w:szCs w:val="18"/>
          <w:color w:val="auto"/>
        </w:rPr>
        <w:t>The tables below provide reconciliations of Revenue Less Ancillary Services, Revenue Less Ancillary Services at Constant Currency, Adjusted Gross Profit, Adjusted Gross Margin and Adjusted EBITDA to the most comparable GAAP figure on a consolidated basis for the periods presented. All amounts are rounded to the nearest million. As a result, certain amounts may not recalculate using the rounded amounts provided.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Less Ancillary Services, Adjusted Gross Profit and Adjusted Gross Margin: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6"/>
          </w:tcPr>
          <w:p>
            <w:pPr>
              <w:ind w:lef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500" w:type="dxa"/>
            <w:vAlign w:val="bottom"/>
            <w:gridSpan w:val="3"/>
            <w:shd w:val="clear" w:color="auto" w:fill="CFF0FC"/>
          </w:tcPr>
          <w:p>
            <w:pPr>
              <w:jc w:val="right"/>
              <w:ind w:right="49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84.9</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Adjusted to exclude gross up for:</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Pass-through cost for printing and mailing</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(5.3 )</w:t>
            </w:r>
          </w:p>
        </w:tc>
        <w:tc>
          <w:tcPr>
            <w:tcW w:w="8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(4.8 )</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(10.2 )</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Marketing fees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(0.1 )</w:t>
            </w:r>
          </w:p>
        </w:tc>
        <w:tc>
          <w:tcPr>
            <w:tcW w:w="8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(0.2 )</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(0.5 )</w:t>
            </w: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800" w:type="dxa"/>
            <w:vAlign w:val="bottom"/>
            <w:tcBorders>
              <w:bottom w:val="single" w:sz="8" w:color="CFF0FC"/>
            </w:tcBorders>
            <w:gridSpan w:val="2"/>
            <w:shd w:val="clear" w:color="auto" w:fill="CFF0FC"/>
          </w:tcPr>
          <w:p>
            <w:pPr>
              <w:spacing w:after="0"/>
              <w:rPr>
                <w:sz w:val="22"/>
                <w:szCs w:val="22"/>
                <w:color w:val="auto"/>
              </w:rPr>
            </w:pPr>
          </w:p>
        </w:tc>
        <w:tc>
          <w:tcPr>
            <w:tcW w:w="700" w:type="dxa"/>
            <w:vAlign w:val="bottom"/>
            <w:tcBorders>
              <w:top w:val="single" w:sz="8" w:color="auto"/>
              <w:bottom w:val="single" w:sz="8" w:color="auto"/>
            </w:tcBorders>
            <w:shd w:val="clear" w:color="auto" w:fill="CFF0FC"/>
          </w:tcPr>
          <w:p>
            <w:pPr>
              <w:jc w:val="right"/>
              <w:ind w:right="497"/>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79.5</w:t>
            </w:r>
          </w:p>
        </w:tc>
        <w:tc>
          <w:tcPr>
            <w:tcW w:w="280" w:type="dxa"/>
            <w:vAlign w:val="bottom"/>
            <w:tcBorders>
              <w:bottom w:val="single" w:sz="8" w:color="CFF0FC"/>
            </w:tcBorders>
            <w:shd w:val="clear" w:color="auto" w:fill="CFF0FC"/>
          </w:tcPr>
          <w:p>
            <w:pPr>
              <w:spacing w:after="0"/>
              <w:rPr>
                <w:sz w:val="22"/>
                <w:szCs w:val="22"/>
                <w:color w:val="auto"/>
              </w:rPr>
            </w:pPr>
          </w:p>
        </w:tc>
        <w:tc>
          <w:tcPr>
            <w:tcW w:w="80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3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14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8"/>
                <w:szCs w:val="18"/>
                <w:color w:val="auto"/>
              </w:rPr>
              <w:t>Payment processing services costs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33.8</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Hosting and amortization costs within technology and</w:t>
            </w: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development expenses</w:t>
            </w:r>
          </w:p>
        </w:tc>
        <w:tc>
          <w:tcPr>
            <w:tcW w:w="6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500" w:type="dxa"/>
            <w:vAlign w:val="bottom"/>
            <w:gridSpan w:val="3"/>
          </w:tcPr>
          <w:p>
            <w:pPr>
              <w:jc w:val="right"/>
              <w:ind w:right="49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36.1</w:t>
            </w:r>
          </w:p>
        </w:tc>
        <w:tc>
          <w:tcPr>
            <w:tcW w:w="280" w:type="dxa"/>
            <w:vAlign w:val="bottom"/>
          </w:tcPr>
          <w:p>
            <w:pPr>
              <w:spacing w:after="0"/>
              <w:rPr>
                <w:sz w:val="19"/>
                <w:szCs w:val="19"/>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to:</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Exclude printing and mailing costs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(5.3 )</w:t>
            </w:r>
          </w:p>
        </w:tc>
        <w:tc>
          <w:tcPr>
            <w:tcW w:w="8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(4.8 )</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(10.2 )</w:t>
            </w: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Offset marketing fees against related costs</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(0.1 )</w:t>
            </w:r>
          </w:p>
        </w:tc>
        <w:tc>
          <w:tcPr>
            <w:tcW w:w="8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(0.2 )</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(0.5 )</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80"/>
              <w:spacing w:after="0"/>
              <w:rPr>
                <w:sz w:val="20"/>
                <w:szCs w:val="20"/>
                <w:color w:val="auto"/>
              </w:rPr>
            </w:pPr>
            <w:r>
              <w:rPr>
                <w:rFonts w:ascii="Arial" w:cs="Arial" w:eastAsia="Arial" w:hAnsi="Arial"/>
                <w:sz w:val="18"/>
                <w:szCs w:val="18"/>
                <w:color w:val="auto"/>
              </w:rPr>
              <w:t>Exclude depreciation and amortization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(1.7 )</w:t>
            </w:r>
          </w:p>
        </w:tc>
        <w:tc>
          <w:tcPr>
            <w:tcW w:w="8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(1.2 )</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(3.3 )</w:t>
            </w:r>
          </w:p>
        </w:tc>
        <w:tc>
          <w:tcPr>
            <w:tcW w:w="3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Cost of Revenue</w:t>
            </w:r>
          </w:p>
        </w:tc>
        <w:tc>
          <w:tcPr>
            <w:tcW w:w="800" w:type="dxa"/>
            <w:vAlign w:val="bottom"/>
            <w:gridSpan w:val="2"/>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497"/>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29.0</w:t>
            </w:r>
          </w:p>
        </w:tc>
        <w:tc>
          <w:tcPr>
            <w:tcW w:w="280" w:type="dxa"/>
            <w:vAlign w:val="bottom"/>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500" w:type="dxa"/>
            <w:vAlign w:val="bottom"/>
            <w:gridSpan w:val="3"/>
          </w:tcPr>
          <w:p>
            <w:pPr>
              <w:jc w:val="right"/>
              <w:ind w:right="49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48.8</w:t>
            </w:r>
          </w:p>
        </w:tc>
        <w:tc>
          <w:tcPr>
            <w:tcW w:w="280" w:type="dxa"/>
            <w:vAlign w:val="bottom"/>
          </w:tcPr>
          <w:p>
            <w:pPr>
              <w:spacing w:after="0"/>
              <w:rPr>
                <w:sz w:val="19"/>
                <w:szCs w:val="19"/>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33.2</w:t>
            </w:r>
          </w:p>
        </w:tc>
        <w:tc>
          <w:tcPr>
            <w:tcW w:w="3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107.0</w:t>
            </w:r>
          </w:p>
        </w:tc>
        <w:tc>
          <w:tcPr>
            <w:tcW w:w="3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64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2"/>
              </w:rPr>
              <w:t>57.5 %</w:t>
            </w:r>
          </w:p>
        </w:tc>
        <w:tc>
          <w:tcPr>
            <w:tcW w:w="800" w:type="dxa"/>
            <w:vAlign w:val="bottom"/>
            <w:shd w:val="clear" w:color="auto" w:fill="CFF0FC"/>
          </w:tcPr>
          <w:p>
            <w:pPr>
              <w:spacing w:after="0"/>
              <w:rPr>
                <w:sz w:val="23"/>
                <w:szCs w:val="2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6"/>
              </w:rPr>
              <w:t>58.8 %</w:t>
            </w:r>
          </w:p>
        </w:tc>
        <w:tc>
          <w:tcPr>
            <w:tcW w:w="240" w:type="dxa"/>
            <w:vAlign w:val="bottom"/>
            <w:shd w:val="clear" w:color="auto" w:fill="CFF0FC"/>
          </w:tcPr>
          <w:p>
            <w:pPr>
              <w:spacing w:after="0"/>
              <w:rPr>
                <w:sz w:val="23"/>
                <w:szCs w:val="23"/>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59.7 %</w:t>
            </w:r>
          </w:p>
        </w:tc>
        <w:tc>
          <w:tcPr>
            <w:tcW w:w="320" w:type="dxa"/>
            <w:vAlign w:val="bottom"/>
            <w:shd w:val="clear" w:color="auto" w:fill="CFF0FC"/>
          </w:tcPr>
          <w:p>
            <w:pPr>
              <w:spacing w:after="0"/>
              <w:rPr>
                <w:sz w:val="23"/>
                <w:szCs w:val="23"/>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59.5 %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Adjusted Gross Profit</w:t>
            </w:r>
          </w:p>
        </w:tc>
        <w:tc>
          <w:tcPr>
            <w:tcW w:w="800" w:type="dxa"/>
            <w:vAlign w:val="bottom"/>
            <w:tcBorders>
              <w:top w:val="single" w:sz="8" w:color="CFF0FC"/>
            </w:tcBorders>
            <w:gridSpan w:val="2"/>
          </w:tcPr>
          <w:p>
            <w:pPr>
              <w:spacing w:after="0"/>
              <w:rPr>
                <w:sz w:val="18"/>
                <w:szCs w:val="18"/>
                <w:color w:val="auto"/>
              </w:rPr>
            </w:pPr>
          </w:p>
        </w:tc>
        <w:tc>
          <w:tcPr>
            <w:tcW w:w="700" w:type="dxa"/>
            <w:vAlign w:val="bottom"/>
            <w:tcBorders>
              <w:top w:val="single" w:sz="8" w:color="auto"/>
            </w:tcBorders>
          </w:tcPr>
          <w:p>
            <w:pPr>
              <w:jc w:val="right"/>
              <w:ind w:right="497"/>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50.5</w:t>
            </w:r>
          </w:p>
        </w:tc>
        <w:tc>
          <w:tcPr>
            <w:tcW w:w="28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3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Borders>
              <w:top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Adjusted Gross Margin</w:t>
            </w: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2"/>
              </w:rPr>
              <w:t>63.5 %</w:t>
            </w:r>
          </w:p>
        </w:tc>
        <w:tc>
          <w:tcPr>
            <w:tcW w:w="8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6"/>
              </w:rPr>
              <w:t>66.8 %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65.5 %</w:t>
            </w:r>
          </w:p>
        </w:tc>
        <w:tc>
          <w:tcPr>
            <w:tcW w:w="3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tcPr>
          <w:p>
            <w:pPr>
              <w:spacing w:after="0"/>
              <w:rPr>
                <w:sz w:val="24"/>
                <w:szCs w:val="24"/>
                <w:color w:val="auto"/>
              </w:rPr>
            </w:pPr>
          </w:p>
        </w:tc>
        <w:tc>
          <w:tcPr>
            <w:tcW w:w="1500" w:type="dxa"/>
            <w:vAlign w:val="bottom"/>
            <w:gridSpan w:val="3"/>
          </w:tcPr>
          <w:p>
            <w:pPr>
              <w:jc w:val="right"/>
              <w:ind w:right="597"/>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-2339340</wp:posOffset>
            </wp:positionV>
            <wp:extent cx="283781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37815"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-1902460</wp:posOffset>
            </wp:positionV>
            <wp:extent cx="85725" cy="1797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-1902460</wp:posOffset>
            </wp:positionV>
            <wp:extent cx="85725" cy="1797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-1902460</wp:posOffset>
            </wp:positionV>
            <wp:extent cx="85725"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-1902460</wp:posOffset>
            </wp:positionV>
            <wp:extent cx="85725"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-693420</wp:posOffset>
            </wp:positionV>
            <wp:extent cx="2837815"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37815" cy="17145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-376555</wp:posOffset>
            </wp:positionV>
            <wp:extent cx="857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-359410</wp:posOffset>
            </wp:positionV>
            <wp:extent cx="857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-376555</wp:posOffset>
            </wp:positionV>
            <wp:extent cx="857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-359410</wp:posOffset>
            </wp:positionV>
            <wp:extent cx="857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-376555</wp:posOffset>
            </wp:positionV>
            <wp:extent cx="85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-359410</wp:posOffset>
            </wp:positionV>
            <wp:extent cx="857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-376555</wp:posOffset>
            </wp:positionV>
            <wp:extent cx="857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-359410</wp:posOffset>
            </wp:positionV>
            <wp:extent cx="857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rPr>
              <w:t>June 30, 2022</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rPr>
              <w:t>Platform</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and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Usage-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Transaction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1220" w:type="dxa"/>
            <w:vAlign w:val="bottom"/>
            <w:gridSpan w:val="4"/>
            <w:vMerge w:val="restart"/>
          </w:tcPr>
          <w:p>
            <w:pPr>
              <w:jc w:val="right"/>
              <w:ind w:right="488"/>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2"/>
                <w:szCs w:val="12"/>
                <w:color w:val="auto"/>
              </w:rPr>
            </w:pPr>
          </w:p>
        </w:tc>
        <w:tc>
          <w:tcPr>
            <w:tcW w:w="106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Transaction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Based</w:t>
            </w:r>
          </w:p>
        </w:tc>
        <w:tc>
          <w:tcPr>
            <w:tcW w:w="100" w:type="dxa"/>
            <w:vAlign w:val="bottom"/>
          </w:tcPr>
          <w:p>
            <w:pPr>
              <w:spacing w:after="0"/>
              <w:rPr>
                <w:sz w:val="12"/>
                <w:szCs w:val="12"/>
                <w:color w:val="auto"/>
              </w:rPr>
            </w:pPr>
          </w:p>
        </w:tc>
        <w:tc>
          <w:tcPr>
            <w:tcW w:w="116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179"/>
        </w:trPr>
        <w:tc>
          <w:tcPr>
            <w:tcW w:w="3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Fee</w:t>
            </w:r>
          </w:p>
        </w:tc>
        <w:tc>
          <w:tcPr>
            <w:tcW w:w="18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Fee</w:t>
            </w:r>
          </w:p>
        </w:tc>
        <w:tc>
          <w:tcPr>
            <w:tcW w:w="10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84.9</w:t>
            </w:r>
          </w:p>
        </w:tc>
        <w:tc>
          <w:tcPr>
            <w:tcW w:w="3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41.7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14.8</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56.5</w:t>
            </w:r>
          </w:p>
        </w:tc>
        <w:tc>
          <w:tcPr>
            <w:tcW w:w="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8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Adjusted to exclude gross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160"/>
              <w:spacing w:after="0"/>
              <w:rPr>
                <w:sz w:val="20"/>
                <w:szCs w:val="20"/>
                <w:color w:val="auto"/>
              </w:rPr>
            </w:pPr>
            <w:r>
              <w:rPr>
                <w:rFonts w:ascii="Arial" w:cs="Arial" w:eastAsia="Arial" w:hAnsi="Arial"/>
                <w:sz w:val="17"/>
                <w:szCs w:val="17"/>
                <w:color w:val="auto"/>
              </w:rPr>
              <w:t>up for:</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480" w:type="dxa"/>
            <w:vAlign w:val="bottom"/>
            <w:gridSpan w:val="2"/>
            <w:shd w:val="clear" w:color="auto" w:fill="CFF0FC"/>
          </w:tcPr>
          <w:p>
            <w:pPr>
              <w:ind w:left="280"/>
              <w:spacing w:after="0" w:line="186" w:lineRule="exact"/>
              <w:rPr>
                <w:sz w:val="20"/>
                <w:szCs w:val="20"/>
                <w:color w:val="auto"/>
              </w:rPr>
            </w:pPr>
            <w:r>
              <w:rPr>
                <w:rFonts w:ascii="Arial" w:cs="Arial" w:eastAsia="Arial" w:hAnsi="Arial"/>
                <w:sz w:val="17"/>
                <w:szCs w:val="17"/>
                <w:color w:val="auto"/>
              </w:rPr>
              <w:t>Pass-through cost for</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8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printing and mailing</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(5.3 )</w:t>
            </w:r>
          </w:p>
        </w:tc>
        <w:tc>
          <w:tcPr>
            <w:tcW w:w="18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148"/>
              <w:spacing w:after="0"/>
              <w:rPr>
                <w:sz w:val="20"/>
                <w:szCs w:val="20"/>
                <w:color w:val="auto"/>
              </w:rPr>
            </w:pPr>
            <w:r>
              <w:rPr>
                <w:rFonts w:ascii="Arial" w:cs="Arial" w:eastAsia="Arial" w:hAnsi="Arial"/>
                <w:sz w:val="17"/>
                <w:szCs w:val="17"/>
                <w:color w:val="auto"/>
              </w:rPr>
              <w:t>(5.3 )</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9"/>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(4.8 )</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80"/>
              <w:spacing w:after="0"/>
              <w:rPr>
                <w:sz w:val="20"/>
                <w:szCs w:val="20"/>
                <w:color w:val="auto"/>
              </w:rPr>
            </w:pPr>
            <w:r>
              <w:rPr>
                <w:rFonts w:ascii="Arial" w:cs="Arial" w:eastAsia="Arial" w:hAnsi="Arial"/>
                <w:sz w:val="17"/>
                <w:szCs w:val="17"/>
                <w:color w:val="auto"/>
              </w:rPr>
              <w:t>Marketing fees</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(0.1 )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20" w:type="dxa"/>
            <w:vAlign w:val="bottom"/>
            <w:gridSpan w:val="4"/>
          </w:tcPr>
          <w:p>
            <w:pPr>
              <w:jc w:val="right"/>
              <w:ind w:right="148"/>
              <w:spacing w:after="0"/>
              <w:rPr>
                <w:sz w:val="20"/>
                <w:szCs w:val="20"/>
                <w:color w:val="auto"/>
              </w:rPr>
            </w:pPr>
            <w:r>
              <w:rPr>
                <w:rFonts w:ascii="Arial" w:cs="Arial" w:eastAsia="Arial" w:hAnsi="Arial"/>
                <w:sz w:val="17"/>
                <w:szCs w:val="17"/>
                <w:color w:val="auto"/>
              </w:rPr>
              <w:t>(0.1 )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jc w:val="right"/>
              <w:ind w:right="49"/>
              <w:spacing w:after="0"/>
              <w:rPr>
                <w:sz w:val="20"/>
                <w:szCs w:val="20"/>
                <w:color w:val="auto"/>
              </w:rPr>
            </w:pPr>
            <w:r>
              <w:rPr>
                <w:rFonts w:ascii="Arial" w:cs="Arial" w:eastAsia="Arial" w:hAnsi="Arial"/>
                <w:sz w:val="17"/>
                <w:szCs w:val="17"/>
                <w:color w:val="auto"/>
                <w:w w:val="90"/>
              </w:rPr>
              <w:t>(0.2 )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(0.2 )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480" w:type="dxa"/>
            <w:vAlign w:val="bottom"/>
            <w:gridSpan w:val="2"/>
            <w:shd w:val="clear" w:color="auto" w:fill="CFF0FC"/>
          </w:tcPr>
          <w:p>
            <w:pPr>
              <w:ind w:left="20"/>
              <w:spacing w:after="0" w:line="178" w:lineRule="exact"/>
              <w:rPr>
                <w:sz w:val="20"/>
                <w:szCs w:val="20"/>
                <w:color w:val="auto"/>
              </w:rPr>
            </w:pPr>
            <w:r>
              <w:rPr>
                <w:rFonts w:ascii="Arial" w:cs="Arial" w:eastAsia="Arial" w:hAnsi="Arial"/>
                <w:sz w:val="17"/>
                <w:szCs w:val="17"/>
                <w:color w:val="auto"/>
              </w:rPr>
              <w:t>Revenue Less Ancillary</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66.7</w:t>
            </w:r>
          </w:p>
        </w:tc>
        <w:tc>
          <w:tcPr>
            <w:tcW w:w="16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spacing w:after="0"/>
              <w:rPr>
                <w:sz w:val="15"/>
                <w:szCs w:val="15"/>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12.7</w:t>
            </w:r>
          </w:p>
        </w:tc>
        <w:tc>
          <w:tcPr>
            <w:tcW w:w="280" w:type="dxa"/>
            <w:vAlign w:val="bottom"/>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79.5</w:t>
            </w:r>
          </w:p>
        </w:tc>
        <w:tc>
          <w:tcPr>
            <w:tcW w:w="300" w:type="dxa"/>
            <w:vAlign w:val="bottom"/>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41.5</w:t>
            </w:r>
          </w:p>
        </w:tc>
        <w:tc>
          <w:tcPr>
            <w:tcW w:w="16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51.5</w:t>
            </w:r>
          </w:p>
        </w:tc>
        <w:tc>
          <w:tcPr>
            <w:tcW w:w="14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80" w:type="dxa"/>
            <w:vAlign w:val="bottom"/>
            <w:tcBorders>
              <w:bottom w:val="single" w:sz="8" w:color="CFF0FC"/>
            </w:tcBorders>
            <w:gridSpan w:val="2"/>
            <w:shd w:val="clear" w:color="auto" w:fill="CFF0FC"/>
          </w:tcPr>
          <w:p>
            <w:pPr>
              <w:ind w:left="160"/>
              <w:spacing w:after="0" w:line="180" w:lineRule="exact"/>
              <w:rPr>
                <w:sz w:val="20"/>
                <w:szCs w:val="20"/>
                <w:color w:val="auto"/>
              </w:rPr>
            </w:pPr>
            <w:r>
              <w:rPr>
                <w:rFonts w:ascii="Arial" w:cs="Arial" w:eastAsia="Arial" w:hAnsi="Arial"/>
                <w:sz w:val="17"/>
                <w:szCs w:val="17"/>
                <w:color w:val="auto"/>
              </w:rPr>
              <w:t>Services</w:t>
            </w: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gridSpan w:val="3"/>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right w:val="single" w:sz="8" w:color="CFF0FC"/>
            </w:tcBorders>
            <w:vMerge w:val="continue"/>
            <w:shd w:val="clear" w:color="auto" w:fill="CFF0FC"/>
          </w:tcPr>
          <w:p>
            <w:pPr>
              <w:spacing w:after="0"/>
              <w:rPr>
                <w:sz w:val="19"/>
                <w:szCs w:val="19"/>
                <w:color w:val="auto"/>
              </w:rPr>
            </w:pP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80" w:type="dxa"/>
            <w:vAlign w:val="bottom"/>
            <w:gridSpan w:val="2"/>
          </w:tcPr>
          <w:p>
            <w:pPr>
              <w:ind w:left="20"/>
              <w:spacing w:after="0"/>
              <w:rPr>
                <w:sz w:val="20"/>
                <w:szCs w:val="20"/>
                <w:color w:val="auto"/>
              </w:rPr>
            </w:pPr>
            <w:r>
              <w:rPr>
                <w:rFonts w:ascii="Arial" w:cs="Arial" w:eastAsia="Arial" w:hAnsi="Arial"/>
                <w:sz w:val="17"/>
                <w:szCs w:val="17"/>
                <w:color w:val="auto"/>
              </w:rPr>
              <w:t>Percentage of Revenue</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xml:space="preserve">78.8 </w:t>
            </w:r>
            <w:r>
              <w:rPr>
                <w:rFonts w:ascii="Arial" w:cs="Arial" w:eastAsia="Arial" w:hAnsi="Arial"/>
                <w:sz w:val="17"/>
                <w:szCs w:val="17"/>
                <w:color w:val="auto"/>
                <w:highlight w:val="white"/>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color w:val="auto"/>
                <w:highlight w:val="white"/>
              </w:rPr>
              <w:t>%</w:t>
            </w:r>
          </w:p>
        </w:tc>
        <w:tc>
          <w:tcPr>
            <w:tcW w:w="180" w:type="dxa"/>
            <w:vAlign w:val="bottom"/>
          </w:tcPr>
          <w:p>
            <w:pPr>
              <w:spacing w:after="0"/>
              <w:rPr>
                <w:sz w:val="17"/>
                <w:szCs w:val="17"/>
                <w:color w:val="auto"/>
              </w:rPr>
            </w:pPr>
          </w:p>
        </w:tc>
        <w:tc>
          <w:tcPr>
            <w:tcW w:w="1220" w:type="dxa"/>
            <w:vAlign w:val="bottom"/>
            <w:gridSpan w:val="4"/>
          </w:tcPr>
          <w:p>
            <w:pPr>
              <w:jc w:val="right"/>
              <w:ind w:right="48"/>
              <w:spacing w:after="0"/>
              <w:rPr>
                <w:sz w:val="20"/>
                <w:szCs w:val="20"/>
                <w:color w:val="auto"/>
              </w:rPr>
            </w:pPr>
            <w:r>
              <w:rPr>
                <w:rFonts w:ascii="Arial" w:cs="Arial" w:eastAsia="Arial" w:hAnsi="Arial"/>
                <w:sz w:val="17"/>
                <w:szCs w:val="17"/>
                <w:color w:val="auto"/>
              </w:rPr>
              <w:t xml:space="preserve">100 </w:t>
            </w:r>
            <w:r>
              <w:rPr>
                <w:rFonts w:ascii="Arial" w:cs="Arial" w:eastAsia="Arial" w:hAnsi="Arial"/>
                <w:sz w:val="17"/>
                <w:szCs w:val="17"/>
                <w:color w:val="auto"/>
                <w:highlight w:val="white"/>
              </w:rPr>
              <w:t>%</w:t>
            </w:r>
          </w:p>
        </w:tc>
        <w:tc>
          <w:tcPr>
            <w:tcW w:w="10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 xml:space="preserve">73.8 </w:t>
            </w:r>
            <w:r>
              <w:rPr>
                <w:rFonts w:ascii="Arial" w:cs="Arial" w:eastAsia="Arial" w:hAnsi="Arial"/>
                <w:sz w:val="17"/>
                <w:szCs w:val="17"/>
                <w:color w:val="auto"/>
                <w:highlight w:val="white"/>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 xml:space="preserve">26.2 </w:t>
            </w:r>
            <w:r>
              <w:rPr>
                <w:rFonts w:ascii="Arial" w:cs="Arial" w:eastAsia="Arial" w:hAnsi="Arial"/>
                <w:sz w:val="17"/>
                <w:szCs w:val="17"/>
                <w:color w:val="auto"/>
                <w:highlight w:val="white"/>
              </w:rPr>
              <w:t>%</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 xml:space="preserve">100.0 </w:t>
            </w:r>
            <w:r>
              <w:rPr>
                <w:rFonts w:ascii="Arial" w:cs="Arial" w:eastAsia="Arial" w:hAnsi="Arial"/>
                <w:sz w:val="17"/>
                <w:szCs w:val="17"/>
                <w:color w:val="auto"/>
                <w:highlight w:val="white"/>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80" w:type="dxa"/>
            <w:vAlign w:val="bottom"/>
            <w:gridSpan w:val="2"/>
            <w:shd w:val="clear" w:color="auto" w:fill="CFF0FC"/>
          </w:tcPr>
          <w:p>
            <w:pPr>
              <w:ind w:left="20"/>
              <w:spacing w:after="0" w:line="185" w:lineRule="exact"/>
              <w:rPr>
                <w:sz w:val="20"/>
                <w:szCs w:val="20"/>
                <w:color w:val="auto"/>
              </w:rPr>
            </w:pPr>
            <w:r>
              <w:rPr>
                <w:rFonts w:ascii="Arial" w:cs="Arial" w:eastAsia="Arial" w:hAnsi="Arial"/>
                <w:sz w:val="17"/>
                <w:szCs w:val="17"/>
                <w:color w:val="auto"/>
              </w:rPr>
              <w:t>Percentage of Revenue Less</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Ancillary Services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84.0 %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16.0 %</w:t>
            </w:r>
          </w:p>
        </w:tc>
        <w:tc>
          <w:tcPr>
            <w:tcW w:w="18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48"/>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80.6 %</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19.4 %</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rPr>
              <w:t>Six Months Ended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rPr>
              <w:t>June 30, 2022</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rPr>
              <w:t>Platform</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rPr>
              <w:t>Platform</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and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and</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Usage-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Usage-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Transaction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Based</w:t>
            </w:r>
          </w:p>
        </w:tc>
        <w:tc>
          <w:tcPr>
            <w:tcW w:w="180" w:type="dxa"/>
            <w:vAlign w:val="bottom"/>
          </w:tcPr>
          <w:p>
            <w:pPr>
              <w:spacing w:after="0"/>
              <w:rPr>
                <w:sz w:val="12"/>
                <w:szCs w:val="12"/>
                <w:color w:val="auto"/>
              </w:rPr>
            </w:pPr>
          </w:p>
        </w:tc>
        <w:tc>
          <w:tcPr>
            <w:tcW w:w="1220" w:type="dxa"/>
            <w:vAlign w:val="bottom"/>
            <w:gridSpan w:val="4"/>
            <w:vMerge w:val="restart"/>
          </w:tcPr>
          <w:p>
            <w:pPr>
              <w:jc w:val="right"/>
              <w:ind w:right="488"/>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2"/>
                <w:szCs w:val="12"/>
                <w:color w:val="auto"/>
              </w:rPr>
            </w:pPr>
          </w:p>
        </w:tc>
        <w:tc>
          <w:tcPr>
            <w:tcW w:w="1060" w:type="dxa"/>
            <w:vAlign w:val="bottom"/>
            <w:gridSpan w:val="3"/>
            <w:vMerge w:val="restart"/>
          </w:tcPr>
          <w:p>
            <w:pPr>
              <w:jc w:val="right"/>
              <w:ind w:right="249"/>
              <w:spacing w:after="0"/>
              <w:rPr>
                <w:sz w:val="20"/>
                <w:szCs w:val="20"/>
                <w:color w:val="auto"/>
              </w:rPr>
            </w:pPr>
            <w:r>
              <w:rPr>
                <w:rFonts w:ascii="Arial" w:cs="Arial" w:eastAsia="Arial" w:hAnsi="Arial"/>
                <w:sz w:val="13"/>
                <w:szCs w:val="13"/>
                <w:b w:val="1"/>
                <w:bCs w:val="1"/>
                <w:color w:val="auto"/>
              </w:rPr>
              <w:t>Transaction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Based</w:t>
            </w:r>
          </w:p>
        </w:tc>
        <w:tc>
          <w:tcPr>
            <w:tcW w:w="100" w:type="dxa"/>
            <w:vAlign w:val="bottom"/>
          </w:tcPr>
          <w:p>
            <w:pPr>
              <w:spacing w:after="0"/>
              <w:rPr>
                <w:sz w:val="12"/>
                <w:szCs w:val="12"/>
                <w:color w:val="auto"/>
              </w:rPr>
            </w:pPr>
          </w:p>
        </w:tc>
        <w:tc>
          <w:tcPr>
            <w:tcW w:w="116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rPr>
              <w:t>Revenue</w:t>
            </w:r>
          </w:p>
        </w:tc>
        <w:tc>
          <w:tcPr>
            <w:tcW w:w="0" w:type="dxa"/>
            <w:vAlign w:val="bottom"/>
          </w:tcPr>
          <w:p>
            <w:pPr>
              <w:spacing w:after="0"/>
              <w:rPr>
                <w:sz w:val="1"/>
                <w:szCs w:val="1"/>
                <w:color w:val="auto"/>
              </w:rPr>
            </w:pPr>
          </w:p>
        </w:tc>
      </w:tr>
      <w:tr>
        <w:trPr>
          <w:trHeight w:val="179"/>
        </w:trPr>
        <w:tc>
          <w:tcPr>
            <w:tcW w:w="3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Fee</w:t>
            </w:r>
          </w:p>
        </w:tc>
        <w:tc>
          <w:tcPr>
            <w:tcW w:w="18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7"/>
              </w:rPr>
              <w:t>Fee</w:t>
            </w:r>
          </w:p>
        </w:tc>
        <w:tc>
          <w:tcPr>
            <w:tcW w:w="10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36.1</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179.2</w:t>
            </w:r>
          </w:p>
        </w:tc>
        <w:tc>
          <w:tcPr>
            <w:tcW w:w="3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90.3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30.8</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121.1</w:t>
            </w:r>
          </w:p>
        </w:tc>
        <w:tc>
          <w:tcPr>
            <w:tcW w:w="1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8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Adjusted to exclude gross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160"/>
              <w:spacing w:after="0"/>
              <w:rPr>
                <w:sz w:val="20"/>
                <w:szCs w:val="20"/>
                <w:color w:val="auto"/>
              </w:rPr>
            </w:pPr>
            <w:r>
              <w:rPr>
                <w:rFonts w:ascii="Arial" w:cs="Arial" w:eastAsia="Arial" w:hAnsi="Arial"/>
                <w:sz w:val="17"/>
                <w:szCs w:val="17"/>
                <w:color w:val="auto"/>
              </w:rPr>
              <w:t>up for:</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480" w:type="dxa"/>
            <w:vAlign w:val="bottom"/>
            <w:gridSpan w:val="2"/>
            <w:shd w:val="clear" w:color="auto" w:fill="CFF0FC"/>
          </w:tcPr>
          <w:p>
            <w:pPr>
              <w:ind w:left="280"/>
              <w:spacing w:after="0" w:line="186" w:lineRule="exact"/>
              <w:rPr>
                <w:sz w:val="20"/>
                <w:szCs w:val="20"/>
                <w:color w:val="auto"/>
              </w:rPr>
            </w:pPr>
            <w:r>
              <w:rPr>
                <w:rFonts w:ascii="Arial" w:cs="Arial" w:eastAsia="Arial" w:hAnsi="Arial"/>
                <w:sz w:val="17"/>
                <w:szCs w:val="17"/>
                <w:color w:val="auto"/>
              </w:rPr>
              <w:t>Pass-through cost for</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8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printing and mailing</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(10.2 )</w:t>
            </w:r>
          </w:p>
        </w:tc>
        <w:tc>
          <w:tcPr>
            <w:tcW w:w="18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148"/>
              <w:spacing w:after="0"/>
              <w:rPr>
                <w:sz w:val="20"/>
                <w:szCs w:val="20"/>
                <w:color w:val="auto"/>
              </w:rPr>
            </w:pPr>
            <w:r>
              <w:rPr>
                <w:rFonts w:ascii="Arial" w:cs="Arial" w:eastAsia="Arial" w:hAnsi="Arial"/>
                <w:sz w:val="17"/>
                <w:szCs w:val="17"/>
                <w:color w:val="auto"/>
              </w:rPr>
              <w:t>(10.2 )</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9"/>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(9.8 )</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(9.8 )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80"/>
              <w:spacing w:after="0"/>
              <w:rPr>
                <w:sz w:val="20"/>
                <w:szCs w:val="20"/>
                <w:color w:val="auto"/>
              </w:rPr>
            </w:pPr>
            <w:r>
              <w:rPr>
                <w:rFonts w:ascii="Arial" w:cs="Arial" w:eastAsia="Arial" w:hAnsi="Arial"/>
                <w:sz w:val="17"/>
                <w:szCs w:val="17"/>
                <w:color w:val="auto"/>
              </w:rPr>
              <w:t>Marketing fees</w:t>
            </w: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(0.5 )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20" w:type="dxa"/>
            <w:vAlign w:val="bottom"/>
            <w:gridSpan w:val="4"/>
          </w:tcPr>
          <w:p>
            <w:pPr>
              <w:jc w:val="right"/>
              <w:ind w:right="148"/>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jc w:val="right"/>
              <w:ind w:right="49"/>
              <w:spacing w:after="0"/>
              <w:rPr>
                <w:sz w:val="20"/>
                <w:szCs w:val="20"/>
                <w:color w:val="auto"/>
              </w:rPr>
            </w:pPr>
            <w:r>
              <w:rPr>
                <w:rFonts w:ascii="Arial" w:cs="Arial" w:eastAsia="Arial" w:hAnsi="Arial"/>
                <w:sz w:val="17"/>
                <w:szCs w:val="17"/>
                <w:color w:val="auto"/>
                <w:w w:val="90"/>
              </w:rPr>
              <w:t>(0.6 )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(0.6 )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480" w:type="dxa"/>
            <w:vAlign w:val="bottom"/>
            <w:gridSpan w:val="2"/>
            <w:shd w:val="clear" w:color="auto" w:fill="CFF0FC"/>
          </w:tcPr>
          <w:p>
            <w:pPr>
              <w:ind w:left="20"/>
              <w:spacing w:after="0" w:line="178" w:lineRule="exact"/>
              <w:rPr>
                <w:sz w:val="20"/>
                <w:szCs w:val="20"/>
                <w:color w:val="auto"/>
              </w:rPr>
            </w:pPr>
            <w:r>
              <w:rPr>
                <w:rFonts w:ascii="Arial" w:cs="Arial" w:eastAsia="Arial" w:hAnsi="Arial"/>
                <w:sz w:val="17"/>
                <w:szCs w:val="17"/>
                <w:color w:val="auto"/>
              </w:rPr>
              <w:t>Revenue Less Ancillary</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142.6</w:t>
            </w:r>
          </w:p>
        </w:tc>
        <w:tc>
          <w:tcPr>
            <w:tcW w:w="16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spacing w:after="0"/>
              <w:rPr>
                <w:sz w:val="15"/>
                <w:szCs w:val="15"/>
                <w:color w:val="auto"/>
              </w:rPr>
            </w:pP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25.9</w:t>
            </w:r>
          </w:p>
        </w:tc>
        <w:tc>
          <w:tcPr>
            <w:tcW w:w="280" w:type="dxa"/>
            <w:vAlign w:val="bottom"/>
            <w:shd w:val="clear" w:color="auto" w:fill="CFF0FC"/>
          </w:tcPr>
          <w:p>
            <w:pPr>
              <w:spacing w:after="0"/>
              <w:rPr>
                <w:sz w:val="15"/>
                <w:szCs w:val="15"/>
                <w:color w:val="auto"/>
              </w:rPr>
            </w:pPr>
          </w:p>
        </w:tc>
        <w:tc>
          <w:tcPr>
            <w:tcW w:w="1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gridSpan w:val="3"/>
            <w:vMerge w:val="restart"/>
            <w:shd w:val="clear" w:color="auto" w:fill="CFF0FC"/>
          </w:tcPr>
          <w:p>
            <w:pPr>
              <w:jc w:val="right"/>
              <w:spacing w:after="0"/>
              <w:rPr>
                <w:sz w:val="20"/>
                <w:szCs w:val="20"/>
                <w:color w:val="auto"/>
              </w:rPr>
            </w:pPr>
            <w:r>
              <w:rPr>
                <w:rFonts w:ascii="Arial" w:cs="Arial" w:eastAsia="Arial" w:hAnsi="Arial"/>
                <w:sz w:val="17"/>
                <w:szCs w:val="17"/>
                <w:color w:val="auto"/>
              </w:rPr>
              <w:t>168.5</w:t>
            </w:r>
          </w:p>
        </w:tc>
        <w:tc>
          <w:tcPr>
            <w:tcW w:w="300" w:type="dxa"/>
            <w:vAlign w:val="bottom"/>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right w:val="single" w:sz="8" w:color="CFF0FC"/>
            </w:tcBorders>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89.7</w:t>
            </w:r>
          </w:p>
        </w:tc>
        <w:tc>
          <w:tcPr>
            <w:tcW w:w="160" w:type="dxa"/>
            <w:vAlign w:val="bottom"/>
            <w:shd w:val="clear" w:color="auto" w:fill="CFF0FC"/>
          </w:tcPr>
          <w:p>
            <w:pPr>
              <w:spacing w:after="0"/>
              <w:rPr>
                <w:sz w:val="15"/>
                <w:szCs w:val="15"/>
                <w:color w:val="auto"/>
              </w:rPr>
            </w:pPr>
          </w:p>
        </w:tc>
        <w:tc>
          <w:tcPr>
            <w:tcW w:w="120" w:type="dxa"/>
            <w:vAlign w:val="bottom"/>
            <w:vMerge w:val="restart"/>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right w:val="single" w:sz="8" w:color="CFF0FC"/>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21.0</w:t>
            </w:r>
          </w:p>
        </w:tc>
        <w:tc>
          <w:tcPr>
            <w:tcW w:w="260" w:type="dxa"/>
            <w:vAlign w:val="bottom"/>
            <w:tcBorders>
              <w:right w:val="single" w:sz="8" w:color="CFF0FC"/>
            </w:tcBorders>
            <w:shd w:val="clear" w:color="auto" w:fill="CFF0FC"/>
          </w:tcPr>
          <w:p>
            <w:pPr>
              <w:spacing w:after="0"/>
              <w:rPr>
                <w:sz w:val="15"/>
                <w:szCs w:val="1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color w:val="auto"/>
              </w:rPr>
              <w:t>110.7</w:t>
            </w:r>
          </w:p>
        </w:tc>
        <w:tc>
          <w:tcPr>
            <w:tcW w:w="14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480" w:type="dxa"/>
            <w:vAlign w:val="bottom"/>
            <w:tcBorders>
              <w:bottom w:val="single" w:sz="8" w:color="CFF0FC"/>
            </w:tcBorders>
            <w:gridSpan w:val="2"/>
            <w:shd w:val="clear" w:color="auto" w:fill="CFF0FC"/>
          </w:tcPr>
          <w:p>
            <w:pPr>
              <w:ind w:left="160"/>
              <w:spacing w:after="0" w:line="180" w:lineRule="exact"/>
              <w:rPr>
                <w:sz w:val="20"/>
                <w:szCs w:val="20"/>
                <w:color w:val="auto"/>
              </w:rPr>
            </w:pPr>
            <w:r>
              <w:rPr>
                <w:rFonts w:ascii="Arial" w:cs="Arial" w:eastAsia="Arial" w:hAnsi="Arial"/>
                <w:sz w:val="17"/>
                <w:szCs w:val="17"/>
                <w:color w:val="auto"/>
              </w:rPr>
              <w:t>Services</w:t>
            </w: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920" w:type="dxa"/>
            <w:vAlign w:val="bottom"/>
            <w:tcBorders>
              <w:bottom w:val="single" w:sz="8" w:color="auto"/>
            </w:tcBorders>
            <w:gridSpan w:val="3"/>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00" w:type="dxa"/>
            <w:vAlign w:val="bottom"/>
            <w:tcBorders>
              <w:bottom w:val="single" w:sz="8" w:color="auto"/>
              <w:right w:val="single" w:sz="8" w:color="CFF0FC"/>
            </w:tcBorders>
            <w:gridSpan w:val="2"/>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right w:val="single" w:sz="8" w:color="CFF0FC"/>
            </w:tcBorders>
            <w:vMerge w:val="continue"/>
            <w:shd w:val="clear" w:color="auto" w:fill="CFF0FC"/>
          </w:tcPr>
          <w:p>
            <w:pPr>
              <w:spacing w:after="0"/>
              <w:rPr>
                <w:sz w:val="19"/>
                <w:szCs w:val="19"/>
                <w:color w:val="auto"/>
              </w:rPr>
            </w:pP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8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80" w:type="dxa"/>
            <w:vAlign w:val="bottom"/>
            <w:gridSpan w:val="2"/>
          </w:tcPr>
          <w:p>
            <w:pPr>
              <w:ind w:left="20"/>
              <w:spacing w:after="0"/>
              <w:rPr>
                <w:sz w:val="20"/>
                <w:szCs w:val="20"/>
                <w:color w:val="auto"/>
              </w:rPr>
            </w:pPr>
            <w:r>
              <w:rPr>
                <w:rFonts w:ascii="Arial" w:cs="Arial" w:eastAsia="Arial" w:hAnsi="Arial"/>
                <w:sz w:val="17"/>
                <w:szCs w:val="17"/>
                <w:color w:val="auto"/>
              </w:rPr>
              <w:t>Percentage of Revenue</w:t>
            </w:r>
          </w:p>
        </w:tc>
        <w:tc>
          <w:tcPr>
            <w:tcW w:w="1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xml:space="preserve">79.9 </w:t>
            </w:r>
            <w:r>
              <w:rPr>
                <w:rFonts w:ascii="Arial" w:cs="Arial" w:eastAsia="Arial" w:hAnsi="Arial"/>
                <w:sz w:val="17"/>
                <w:szCs w:val="17"/>
                <w:color w:val="auto"/>
                <w:highlight w:val="white"/>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color w:val="auto"/>
                <w:highlight w:val="white"/>
              </w:rPr>
              <w:t>%</w:t>
            </w:r>
          </w:p>
        </w:tc>
        <w:tc>
          <w:tcPr>
            <w:tcW w:w="180" w:type="dxa"/>
            <w:vAlign w:val="bottom"/>
          </w:tcPr>
          <w:p>
            <w:pPr>
              <w:spacing w:after="0"/>
              <w:rPr>
                <w:sz w:val="17"/>
                <w:szCs w:val="17"/>
                <w:color w:val="auto"/>
              </w:rPr>
            </w:pPr>
          </w:p>
        </w:tc>
        <w:tc>
          <w:tcPr>
            <w:tcW w:w="1220" w:type="dxa"/>
            <w:vAlign w:val="bottom"/>
            <w:gridSpan w:val="4"/>
          </w:tcPr>
          <w:p>
            <w:pPr>
              <w:jc w:val="right"/>
              <w:ind w:right="48"/>
              <w:spacing w:after="0"/>
              <w:rPr>
                <w:sz w:val="20"/>
                <w:szCs w:val="20"/>
                <w:color w:val="auto"/>
              </w:rPr>
            </w:pPr>
            <w:r>
              <w:rPr>
                <w:rFonts w:ascii="Arial" w:cs="Arial" w:eastAsia="Arial" w:hAnsi="Arial"/>
                <w:sz w:val="17"/>
                <w:szCs w:val="17"/>
                <w:color w:val="auto"/>
              </w:rPr>
              <w:t xml:space="preserve">100 </w:t>
            </w:r>
            <w:r>
              <w:rPr>
                <w:rFonts w:ascii="Arial" w:cs="Arial" w:eastAsia="Arial" w:hAnsi="Arial"/>
                <w:sz w:val="17"/>
                <w:szCs w:val="17"/>
                <w:color w:val="auto"/>
                <w:highlight w:val="white"/>
              </w:rPr>
              <w:t>%</w:t>
            </w:r>
          </w:p>
        </w:tc>
        <w:tc>
          <w:tcPr>
            <w:tcW w:w="10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7"/>
                <w:szCs w:val="17"/>
                <w:color w:val="auto"/>
              </w:rPr>
              <w:t xml:space="preserve">74.6 </w:t>
            </w:r>
            <w:r>
              <w:rPr>
                <w:rFonts w:ascii="Arial" w:cs="Arial" w:eastAsia="Arial" w:hAnsi="Arial"/>
                <w:sz w:val="17"/>
                <w:szCs w:val="17"/>
                <w:color w:val="auto"/>
                <w:highlight w:val="white"/>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 xml:space="preserve">25.4 </w:t>
            </w:r>
            <w:r>
              <w:rPr>
                <w:rFonts w:ascii="Arial" w:cs="Arial" w:eastAsia="Arial" w:hAnsi="Arial"/>
                <w:sz w:val="17"/>
                <w:szCs w:val="17"/>
                <w:color w:val="auto"/>
                <w:highlight w:val="white"/>
              </w:rPr>
              <w:t>%</w:t>
            </w: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 xml:space="preserve">100.0 </w:t>
            </w:r>
            <w:r>
              <w:rPr>
                <w:rFonts w:ascii="Arial" w:cs="Arial" w:eastAsia="Arial" w:hAnsi="Arial"/>
                <w:sz w:val="17"/>
                <w:szCs w:val="17"/>
                <w:color w:val="auto"/>
                <w:highlight w:val="white"/>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80" w:type="dxa"/>
            <w:vAlign w:val="bottom"/>
            <w:gridSpan w:val="2"/>
            <w:shd w:val="clear" w:color="auto" w:fill="CFF0FC"/>
          </w:tcPr>
          <w:p>
            <w:pPr>
              <w:ind w:left="20"/>
              <w:spacing w:after="0" w:line="185" w:lineRule="exact"/>
              <w:rPr>
                <w:sz w:val="20"/>
                <w:szCs w:val="20"/>
                <w:color w:val="auto"/>
              </w:rPr>
            </w:pPr>
            <w:r>
              <w:rPr>
                <w:rFonts w:ascii="Arial" w:cs="Arial" w:eastAsia="Arial" w:hAnsi="Arial"/>
                <w:sz w:val="17"/>
                <w:szCs w:val="17"/>
                <w:color w:val="auto"/>
              </w:rPr>
              <w:t>Percentage of Revenue Less</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20" w:type="dxa"/>
            <w:vAlign w:val="bottom"/>
            <w:tcBorders>
              <w:right w:val="single" w:sz="8" w:color="CFF0FC"/>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80" w:type="dxa"/>
            <w:vAlign w:val="bottom"/>
            <w:gridSpan w:val="2"/>
            <w:shd w:val="clear" w:color="auto" w:fill="CFF0FC"/>
          </w:tcPr>
          <w:p>
            <w:pPr>
              <w:ind w:left="160"/>
              <w:spacing w:after="0"/>
              <w:rPr>
                <w:sz w:val="20"/>
                <w:szCs w:val="20"/>
                <w:color w:val="auto"/>
              </w:rPr>
            </w:pPr>
            <w:r>
              <w:rPr>
                <w:rFonts w:ascii="Arial" w:cs="Arial" w:eastAsia="Arial" w:hAnsi="Arial"/>
                <w:sz w:val="17"/>
                <w:szCs w:val="17"/>
                <w:color w:val="auto"/>
              </w:rPr>
              <w:t>Ancillary Services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84.6 %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15.4 %</w:t>
            </w:r>
          </w:p>
        </w:tc>
        <w:tc>
          <w:tcPr>
            <w:tcW w:w="180" w:type="dxa"/>
            <w:vAlign w:val="bottom"/>
            <w:shd w:val="clear" w:color="auto" w:fill="CFF0FC"/>
          </w:tcPr>
          <w:p>
            <w:pPr>
              <w:spacing w:after="0"/>
              <w:rPr>
                <w:sz w:val="19"/>
                <w:szCs w:val="19"/>
                <w:color w:val="auto"/>
              </w:rPr>
            </w:pPr>
          </w:p>
        </w:tc>
        <w:tc>
          <w:tcPr>
            <w:tcW w:w="1220" w:type="dxa"/>
            <w:vAlign w:val="bottom"/>
            <w:gridSpan w:val="4"/>
            <w:shd w:val="clear" w:color="auto" w:fill="CFF0FC"/>
          </w:tcPr>
          <w:p>
            <w:pPr>
              <w:jc w:val="right"/>
              <w:ind w:right="48"/>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81.0 %</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19.0 %</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4640" w:type="dxa"/>
            <w:vAlign w:val="bottom"/>
            <w:gridSpan w:val="5"/>
          </w:tcPr>
          <w:p>
            <w:pPr>
              <w:spacing w:after="0"/>
              <w:rPr>
                <w:sz w:val="20"/>
                <w:szCs w:val="20"/>
                <w:color w:val="auto"/>
              </w:rPr>
            </w:pPr>
            <w:r>
              <w:rPr>
                <w:rFonts w:ascii="Arial" w:cs="Arial" w:eastAsia="Arial" w:hAnsi="Arial"/>
                <w:sz w:val="18"/>
                <w:szCs w:val="18"/>
                <w:i w:val="1"/>
                <w:iCs w:val="1"/>
                <w:color w:val="auto"/>
              </w:rPr>
              <w:t>Revenue Less Ancillary Services at Constant Currency: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Growth Rate</w:t>
            </w:r>
          </w:p>
        </w:tc>
        <w:tc>
          <w:tcPr>
            <w:tcW w:w="0" w:type="dxa"/>
            <w:vAlign w:val="bottom"/>
          </w:tcPr>
          <w:p>
            <w:pPr>
              <w:spacing w:after="0"/>
              <w:rPr>
                <w:sz w:val="1"/>
                <w:szCs w:val="1"/>
                <w:color w:val="auto"/>
              </w:rPr>
            </w:pPr>
          </w:p>
        </w:tc>
      </w:tr>
      <w:tr>
        <w:trPr>
          <w:trHeight w:val="183"/>
        </w:trPr>
        <w:tc>
          <w:tcPr>
            <w:tcW w:w="34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9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48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50.3 %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Ancillary services</w:t>
            </w: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153"/>
              <w:spacing w:after="0"/>
              <w:rPr>
                <w:sz w:val="20"/>
                <w:szCs w:val="20"/>
                <w:color w:val="auto"/>
              </w:rPr>
            </w:pPr>
            <w:r>
              <w:rPr>
                <w:rFonts w:ascii="Arial" w:cs="Arial" w:eastAsia="Arial" w:hAnsi="Arial"/>
                <w:sz w:val="18"/>
                <w:szCs w:val="18"/>
                <w:color w:val="auto"/>
              </w:rPr>
              <w:t>(5.4 )</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3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54.4 %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Effects of foreign currency rate fluctuations</w:t>
            </w:r>
          </w:p>
        </w:tc>
        <w:tc>
          <w:tcPr>
            <w:tcW w:w="120" w:type="dxa"/>
            <w:vAlign w:val="bottom"/>
            <w:tcBorders>
              <w:top w:val="single" w:sz="8" w:color="CFF0FC"/>
            </w:tcBorders>
          </w:tcPr>
          <w:p>
            <w:pPr>
              <w:spacing w:after="0"/>
              <w:rPr>
                <w:sz w:val="21"/>
                <w:szCs w:val="21"/>
                <w:color w:val="auto"/>
              </w:rPr>
            </w:pPr>
          </w:p>
        </w:tc>
        <w:tc>
          <w:tcPr>
            <w:tcW w:w="880" w:type="dxa"/>
            <w:vAlign w:val="bottom"/>
            <w:tcBorders>
              <w:top w:val="single" w:sz="8" w:color="CFF0FC"/>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880" w:type="dxa"/>
            <w:vAlign w:val="bottom"/>
            <w:tcBorders>
              <w:top w:val="single" w:sz="8" w:color="CFF0FC"/>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420" w:type="dxa"/>
            <w:vAlign w:val="bottom"/>
            <w:tcBorders>
              <w:top w:val="single" w:sz="8" w:color="CFF0FC"/>
            </w:tcBorders>
            <w:gridSpan w:val="2"/>
          </w:tcPr>
          <w:p>
            <w:pPr>
              <w:spacing w:after="0"/>
              <w:rPr>
                <w:sz w:val="21"/>
                <w:szCs w:val="21"/>
                <w:color w:val="auto"/>
              </w:rPr>
            </w:pPr>
          </w:p>
        </w:tc>
        <w:tc>
          <w:tcPr>
            <w:tcW w:w="50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 at Constant Currency</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gridSpan w:val="2"/>
            <w:shd w:val="clear" w:color="auto" w:fill="CFF0FC"/>
          </w:tcPr>
          <w:p>
            <w:pPr>
              <w:spacing w:after="0"/>
              <w:rPr>
                <w:sz w:val="21"/>
                <w:szCs w:val="21"/>
                <w:color w:val="auto"/>
              </w:rPr>
            </w:pPr>
          </w:p>
        </w:tc>
        <w:tc>
          <w:tcPr>
            <w:tcW w:w="500" w:type="dxa"/>
            <w:vAlign w:val="bottom"/>
            <w:shd w:val="clear" w:color="auto" w:fill="CFF0FC"/>
          </w:tcPr>
          <w:p>
            <w:pPr>
              <w:jc w:val="right"/>
              <w:ind w:right="297"/>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32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56.7 %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Growth Rate</w:t>
            </w:r>
          </w:p>
        </w:tc>
        <w:tc>
          <w:tcPr>
            <w:tcW w:w="0" w:type="dxa"/>
            <w:vAlign w:val="bottom"/>
          </w:tcPr>
          <w:p>
            <w:pPr>
              <w:spacing w:after="0"/>
              <w:rPr>
                <w:sz w:val="1"/>
                <w:szCs w:val="1"/>
                <w:color w:val="auto"/>
              </w:rPr>
            </w:pPr>
          </w:p>
        </w:tc>
      </w:tr>
      <w:tr>
        <w:trPr>
          <w:trHeight w:val="183"/>
        </w:trPr>
        <w:tc>
          <w:tcPr>
            <w:tcW w:w="34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9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48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Ancillary services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53"/>
              <w:spacing w:after="0"/>
              <w:rPr>
                <w:sz w:val="20"/>
                <w:szCs w:val="20"/>
                <w:color w:val="auto"/>
              </w:rPr>
            </w:pPr>
            <w:r>
              <w:rPr>
                <w:rFonts w:ascii="Arial" w:cs="Arial" w:eastAsia="Arial" w:hAnsi="Arial"/>
                <w:sz w:val="18"/>
                <w:szCs w:val="18"/>
                <w:color w:val="auto"/>
              </w:rPr>
              <w:t>(10.7 )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w:t>
            </w: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50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32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52.2 %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Effects of foreign currency rate fluctuations</w:t>
            </w:r>
          </w:p>
        </w:tc>
        <w:tc>
          <w:tcPr>
            <w:tcW w:w="12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gridSpan w:val="2"/>
          </w:tcPr>
          <w:p>
            <w:pPr>
              <w:spacing w:after="0"/>
              <w:rPr>
                <w:sz w:val="18"/>
                <w:szCs w:val="18"/>
                <w:color w:val="auto"/>
              </w:rPr>
            </w:pPr>
          </w:p>
        </w:tc>
        <w:tc>
          <w:tcPr>
            <w:tcW w:w="50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4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Revenue Less Ancillary Services at Constant Currency</w:t>
            </w: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20" w:type="dxa"/>
            <w:vAlign w:val="bottom"/>
            <w:gridSpan w:val="3"/>
            <w:shd w:val="clear" w:color="auto" w:fill="CFF0FC"/>
          </w:tcPr>
          <w:p>
            <w:pPr>
              <w:jc w:val="right"/>
              <w:ind w:right="29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480" w:type="dxa"/>
            <w:vAlign w:val="bottom"/>
            <w:gridSpan w:val="2"/>
            <w:shd w:val="clear" w:color="auto" w:fill="CFF0FC"/>
          </w:tcPr>
          <w:p>
            <w:pPr>
              <w:jc w:val="right"/>
              <w:ind w:right="49"/>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110.7</w:t>
            </w:r>
          </w:p>
        </w:tc>
        <w:tc>
          <w:tcPr>
            <w:tcW w:w="260" w:type="dxa"/>
            <w:vAlign w:val="bottom"/>
            <w:tcBorders>
              <w:right w:val="single" w:sz="8" w:color="CFF0FC"/>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56.8 %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33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-5785485</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-5785485</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-5785485</wp:posOffset>
            </wp:positionV>
            <wp:extent cx="857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-5785485</wp:posOffset>
            </wp:positionV>
            <wp:extent cx="857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-5785485</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-5785485</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-3479800</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-3479800</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-3479800</wp:posOffset>
            </wp:positionV>
            <wp:extent cx="857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-3479800</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-3479800</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-3479800</wp:posOffset>
            </wp:positionV>
            <wp:extent cx="85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-1953895</wp:posOffset>
            </wp:positionV>
            <wp:extent cx="1980565" cy="205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80565" cy="20574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-1602105</wp:posOffset>
            </wp:positionV>
            <wp:extent cx="1980565" cy="4540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80565" cy="45402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-702310</wp:posOffset>
            </wp:positionV>
            <wp:extent cx="1980565" cy="1803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980565" cy="18034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-376555</wp:posOffset>
            </wp:positionV>
            <wp:extent cx="857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-359410</wp:posOffset>
            </wp:positionV>
            <wp:extent cx="85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-376555</wp:posOffset>
            </wp:positionV>
            <wp:extent cx="857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-359410</wp:posOffset>
            </wp:positionV>
            <wp:extent cx="857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-376555</wp:posOffset>
            </wp:positionV>
            <wp:extent cx="857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-359410</wp:posOffset>
            </wp:positionV>
            <wp:extent cx="857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and Adjusted EBITDA: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5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(16.8 )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(23.8 )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(20.5 )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(33.9 )</w:t>
            </w:r>
          </w:p>
        </w:tc>
      </w:tr>
      <w:tr>
        <w:trPr>
          <w:trHeight w:val="230"/>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r>
      <w:tr>
        <w:trPr>
          <w:trHeight w:val="223"/>
        </w:trPr>
        <w:tc>
          <w:tcPr>
            <w:tcW w:w="5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(11.3 )</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(19.4 )</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(10.7 )</w:t>
            </w: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(26.0 )</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 and related taxes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r>
      <w:tr>
        <w:trPr>
          <w:trHeight w:val="230"/>
        </w:trPr>
        <w:tc>
          <w:tcPr>
            <w:tcW w:w="5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(0.9 )</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(1.0 )</w:t>
            </w: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(1.9 )</w:t>
            </w:r>
          </w:p>
        </w:tc>
        <w:tc>
          <w:tcPr>
            <w:tcW w:w="2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(0.2 )</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(3.9 )</w:t>
            </w:r>
          </w:p>
        </w:tc>
        <w:tc>
          <w:tcPr>
            <w:tcW w:w="2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(0.2 )</w:t>
            </w:r>
          </w:p>
        </w:tc>
      </w:tr>
      <w:tr>
        <w:trPr>
          <w:trHeight w:val="230"/>
        </w:trPr>
        <w:tc>
          <w:tcPr>
            <w:tcW w:w="5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(gain) from remeasurement of foreign currency</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(0.7 )</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9"/>
                <w:szCs w:val="19"/>
                <w:color w:val="auto"/>
              </w:rPr>
            </w:pPr>
          </w:p>
        </w:tc>
      </w:tr>
      <w:tr>
        <w:trPr>
          <w:trHeight w:val="229"/>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Indirect taxes related to intercompany activity</w:t>
            </w:r>
          </w:p>
        </w:tc>
        <w:tc>
          <w:tcPr>
            <w:tcW w:w="26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r>
      <w:tr>
        <w:trPr>
          <w:trHeight w:val="229"/>
        </w:trPr>
        <w:tc>
          <w:tcPr>
            <w:tcW w:w="5660" w:type="dxa"/>
            <w:vAlign w:val="bottom"/>
            <w:gridSpan w:val="2"/>
            <w:shd w:val="clear" w:color="auto" w:fill="CFF0FC"/>
          </w:tcPr>
          <w:p>
            <w:pPr>
              <w:ind w:left="20"/>
              <w:spacing w:after="0" w:line="229" w:lineRule="exact"/>
              <w:rPr>
                <w:sz w:val="20"/>
                <w:szCs w:val="20"/>
                <w:color w:val="auto"/>
              </w:rPr>
            </w:pPr>
            <w:r>
              <w:rPr>
                <w:rFonts w:ascii="Arial" w:cs="Arial" w:eastAsia="Arial" w:hAnsi="Arial"/>
                <w:sz w:val="18"/>
                <w:szCs w:val="18"/>
                <w:color w:val="auto"/>
              </w:rPr>
              <w:t xml:space="preserve">Acquisition related transaction costs </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19"/>
                <w:szCs w:val="19"/>
                <w:color w:val="auto"/>
              </w:rPr>
            </w:pPr>
          </w:p>
        </w:tc>
      </w:tr>
      <w:tr>
        <w:trPr>
          <w:trHeight w:val="230"/>
        </w:trPr>
        <w:tc>
          <w:tcPr>
            <w:tcW w:w="5660" w:type="dxa"/>
            <w:vAlign w:val="bottom"/>
            <w:gridSpan w:val="2"/>
          </w:tcPr>
          <w:p>
            <w:pPr>
              <w:ind w:left="20"/>
              <w:spacing w:after="0" w:line="229" w:lineRule="exact"/>
              <w:rPr>
                <w:sz w:val="20"/>
                <w:szCs w:val="20"/>
                <w:color w:val="auto"/>
              </w:rPr>
            </w:pPr>
            <w:r>
              <w:rPr>
                <w:rFonts w:ascii="Arial" w:cs="Arial" w:eastAsia="Arial" w:hAnsi="Arial"/>
                <w:sz w:val="18"/>
                <w:szCs w:val="18"/>
                <w:color w:val="auto"/>
              </w:rPr>
              <w:t xml:space="preserve">Acquisition related employee retention costs </w:t>
            </w:r>
            <w:r>
              <w:rPr>
                <w:rFonts w:ascii="Arial" w:cs="Arial" w:eastAsia="Arial" w:hAnsi="Arial"/>
                <w:sz w:val="24"/>
                <w:szCs w:val="24"/>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r>
      <w:tr>
        <w:trPr>
          <w:trHeight w:val="243"/>
        </w:trPr>
        <w:tc>
          <w:tcPr>
            <w:tcW w:w="5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(0.1 )</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(4.4 )</w:t>
            </w:r>
          </w:p>
        </w:tc>
      </w:tr>
      <w:tr>
        <w:trPr>
          <w:trHeight w:val="20"/>
        </w:trPr>
        <w:tc>
          <w:tcPr>
            <w:tcW w:w="5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8572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18"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Acquisition related transaction costs consisted of legal and advisory fees incurred in connection with the Cohort Go acquisition.</w:t>
      </w:r>
    </w:p>
    <w:p>
      <w:pPr>
        <w:spacing w:after="0" w:line="11" w:lineRule="exact"/>
        <w:rPr>
          <w:rFonts w:ascii="Arial" w:cs="Arial" w:eastAsia="Arial" w:hAnsi="Arial"/>
          <w:sz w:val="14"/>
          <w:szCs w:val="14"/>
          <w:color w:val="auto"/>
        </w:rPr>
      </w:pPr>
    </w:p>
    <w:p>
      <w:pPr>
        <w:ind w:left="520" w:right="380" w:hanging="512"/>
        <w:spacing w:after="0" w:line="258"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Acquisition related employee retention costs consisted of costs incurred to retain and compensate WPM and Simplificare's (Simplee) employees in connection with integration of the business. Simplee was acquired on February 13,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8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4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8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19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4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5" w:lineRule="exact"/>
        <w:rPr>
          <w:sz w:val="20"/>
          <w:szCs w:val="20"/>
          <w:color w:val="auto"/>
        </w:rPr>
      </w:pPr>
    </w:p>
    <w:p>
      <w:pPr>
        <w:ind w:right="100" w:firstLine="509"/>
        <w:spacing w:after="0" w:line="256" w:lineRule="auto"/>
        <w:rPr>
          <w:sz w:val="20"/>
          <w:szCs w:val="20"/>
          <w:color w:val="auto"/>
        </w:rPr>
      </w:pPr>
      <w:r>
        <w:rPr>
          <w:rFonts w:ascii="Arial" w:cs="Arial" w:eastAsia="Arial" w:hAnsi="Arial"/>
          <w:sz w:val="17"/>
          <w:szCs w:val="17"/>
          <w:color w:val="auto"/>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81"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the lingering effects of the COVID-19 pandemic, inflation or fluctuations in foreign exchange rates could affect the amounts of volumes processed on our platform, thus resulting in fluctuations to our revenue streams.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Conflict between Russia and Ukraine</w:t>
      </w:r>
    </w:p>
    <w:p>
      <w:pPr>
        <w:spacing w:after="0" w:line="18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do not have any operations, including long-lived assets, in Ukraine or Russia. We are actively monitoring the situation in Ukraine and assessing its impact on our business, but as of the issuance date of these condensed consolidated financial statements, the current conflict between Russia and Ukraine has not had a material impact on the Company’s revenue, results of operations or financial position. However, we have no way to predict the progress or outcome of the conflict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w:t>
      </w:r>
    </w:p>
    <w:p>
      <w:pPr>
        <w:spacing w:after="0" w:line="15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Ukraine is a major engineering hub and the conflict may create a global challenge in outsourcing or hiring engineering talent. In addition, we have put in place and continue to actively manage a program to comply with government sanctions imposed on Russian persons and financial institutions. Also, providers of payment and accounts receivable software have frequently been targeted by cyber threats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We continue to invest in systems, software and personnel to protect against these enhanced threats, but any failure to protect against such attacks, could result in unauthorized access to or leakage of, sensitive data, or compromise our ability to provide our solutions in a timely manner, which could harm our ability to conduct business or delay our financial reporting. Such failures could adversely affect our operating results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Inflation did not have a material effect on our cash flows and results of operations during the three and six months ended June 30,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195" w:lineRule="exact"/>
        <w:rPr>
          <w:sz w:val="20"/>
          <w:szCs w:val="20"/>
          <w:color w:val="auto"/>
        </w:rPr>
      </w:pPr>
    </w:p>
    <w:p>
      <w:pPr>
        <w:ind w:right="520" w:firstLine="509"/>
        <w:spacing w:after="0" w:line="260" w:lineRule="auto"/>
        <w:rPr>
          <w:sz w:val="20"/>
          <w:szCs w:val="20"/>
          <w:color w:val="auto"/>
        </w:rPr>
      </w:pPr>
      <w:r>
        <w:rPr>
          <w:rFonts w:ascii="Arial" w:cs="Arial" w:eastAsia="Arial" w:hAnsi="Arial"/>
          <w:sz w:val="18"/>
          <w:szCs w:val="18"/>
          <w:color w:val="auto"/>
        </w:rPr>
        <w:t>We have a wide range of clients across our education, healthcare, travel and B2B verticals. Volumes and revenue from clients in education, our largest vertical, rely on international enrollments and student school preferences, which can fluctuate over time.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8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increase payment affordability has become more critical to our clients during the COVID-19 pandemic as the lack of affordability drives the need for more financial flexibility.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81"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During the Spring of 2020, due to initial COVID-19 uncertainty, we reduced our workforce by approximately 12%. From July 2020 through June 30, 2023, our workforce increased by approximately 133% in order to meet the demand of client growth and life as a public company with the goal of ensuring continuity and growth. As vaccination rates increased and the pandemic abated, we reopened our offices to the extent local requirements allowed, although FlyMates continue to have the flexibility to work remotely.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191" w:lineRule="exact"/>
        <w:rPr>
          <w:sz w:val="20"/>
          <w:szCs w:val="20"/>
          <w:color w:val="auto"/>
        </w:rPr>
      </w:pPr>
    </w:p>
    <w:p>
      <w:pPr>
        <w:ind w:right="320" w:firstLine="509"/>
        <w:spacing w:after="0" w:line="241"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 Our revenue mix fluctuates and as more revenue is derived from credit cards our adjusted gross margin goes down.</w:t>
      </w:r>
    </w:p>
    <w:p>
      <w:pPr>
        <w:spacing w:after="0" w:line="14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and Usage-Based Fee Revenue</w:t>
      </w:r>
    </w:p>
    <w:p>
      <w:pPr>
        <w:spacing w:after="0" w:line="19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49" w:lineRule="exact"/>
        <w:rPr>
          <w:sz w:val="20"/>
          <w:szCs w:val="20"/>
          <w:color w:val="auto"/>
        </w:rPr>
      </w:pPr>
    </w:p>
    <w:p>
      <w:pPr>
        <w:ind w:right="460" w:firstLine="509"/>
        <w:spacing w:after="0" w:line="247" w:lineRule="auto"/>
        <w:rPr>
          <w:sz w:val="20"/>
          <w:szCs w:val="20"/>
          <w:color w:val="auto"/>
        </w:rPr>
      </w:pPr>
      <w:r>
        <w:rPr>
          <w:rFonts w:ascii="Arial" w:cs="Arial" w:eastAsia="Arial" w:hAnsi="Arial"/>
          <w:sz w:val="18"/>
          <w:szCs w:val="18"/>
          <w:color w:val="auto"/>
        </w:rPr>
        <w:t>Our insurance offering provides students a platform which enables them to compare, select and purchase the mandated health insurance coverage needed. We earn a commission from insurance providers when a student purchases an insurance policy as well as consideration from the student in the form of a markup on the foreign exchange rate.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9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95"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5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5"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spacing w:after="0" w:line="12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Interest expense consists of interest on our Revolving Credit Facility and amortization of debt issuance cost and debt discount from our previous LSA. On July 29, 2021, we entered into a $50.0 million Revolving Credit Facility. We drew $ 25.9 million on the Revolving Credit Facility and used the proceeds to prepay our then existing LSA. On October 28, 2022, we repaid the $25.9 million outstanding under the Revolving Credit Facility. As a result, we continue to have access to a total commitment of $50.0 million under the Revolving Credit Facility.</w:t>
      </w:r>
    </w:p>
    <w:p>
      <w:pPr>
        <w:spacing w:after="0" w:line="161" w:lineRule="exact"/>
        <w:rPr>
          <w:sz w:val="20"/>
          <w:szCs w:val="20"/>
          <w:color w:val="auto"/>
        </w:rPr>
      </w:pPr>
    </w:p>
    <w:p>
      <w:pPr>
        <w:ind w:right="220" w:firstLine="509"/>
        <w:spacing w:after="0" w:line="260" w:lineRule="auto"/>
        <w:rPr>
          <w:sz w:val="20"/>
          <w:szCs w:val="20"/>
          <w:color w:val="auto"/>
        </w:rPr>
      </w:pPr>
      <w:r>
        <w:rPr>
          <w:rFonts w:ascii="Arial" w:cs="Arial" w:eastAsia="Arial" w:hAnsi="Arial"/>
          <w:sz w:val="18"/>
          <w:szCs w:val="18"/>
          <w:color w:val="auto"/>
        </w:rPr>
        <w:t>On June 23, 2023, we executed the First Amendment to the Revolving Credit Facility to transition from the LIBOR benchmark rate to the SOFR benchmark rate effective June 30, 2023.</w:t>
      </w:r>
    </w:p>
    <w:p>
      <w:pPr>
        <w:spacing w:after="0" w:line="132"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In accordance with the First Amendment, the Revolving Credit Facility has an adjustable rate of interest based on the type of loan requested, either at a rate based on the ABR plus an applicable rate or Adjusted Term SOFR plus an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our liquidity as of the most recent consolidated financial information and ranges from 0.75% to 2.25%.</w:t>
      </w:r>
    </w:p>
    <w:p>
      <w:pPr>
        <w:spacing w:after="0" w:line="154"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Prior to the First Amendment, the Revolving Credit Facility had an adjustable rate of interest based on the type of loan requested, either at a rate based on the ABR plus an applicable rate or LIBOR plus an applicable rate. The ABR rate was based on the greatest of (a) the Prime Rate, (b) the Federal Funds Effective Rate plus 1/2 of 1%, or (c) the Adjusted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LIBOR for a one-month interest period, plus 1%. The adjusted LIBOR was based on (x) the LIBOR for such interest period, multiplied by (y) the Statutory Reserve Rate. The applicable rate was based upon our liquidity as of the most recent consolidated financial information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ranged from 0.75% to 2.25%.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1" w:lineRule="exact"/>
        <w:rPr>
          <w:sz w:val="20"/>
          <w:szCs w:val="20"/>
          <w:color w:val="auto"/>
        </w:rPr>
      </w:pPr>
    </w:p>
    <w:p>
      <w:pPr>
        <w:ind w:right="2200" w:firstLine="509"/>
        <w:spacing w:after="0" w:line="446" w:lineRule="auto"/>
        <w:rPr>
          <w:sz w:val="20"/>
          <w:szCs w:val="20"/>
          <w:color w:val="auto"/>
        </w:rPr>
      </w:pPr>
      <w:r>
        <w:rPr>
          <w:rFonts w:ascii="Arial" w:cs="Arial" w:eastAsia="Arial" w:hAnsi="Arial"/>
          <w:sz w:val="18"/>
          <w:szCs w:val="18"/>
          <w:color w:val="auto"/>
        </w:rPr>
        <w:t xml:space="preserve">Interest income consists of interest on cash held in interest bearing accounts, including money market funds. </w:t>
      </w:r>
      <w:r>
        <w:rPr>
          <w:rFonts w:ascii="Arial" w:cs="Arial" w:eastAsia="Arial" w:hAnsi="Arial"/>
          <w:sz w:val="18"/>
          <w:szCs w:val="18"/>
          <w:b w:val="1"/>
          <w:bCs w:val="1"/>
          <w:i w:val="1"/>
          <w:iCs w:val="1"/>
          <w:color w:val="auto"/>
        </w:rPr>
        <w:t>Gain (loss) from Remeasurement of Foreign Currency</w:t>
      </w:r>
    </w:p>
    <w:p>
      <w:pPr>
        <w:ind w:right="840" w:firstLine="509"/>
        <w:spacing w:after="0" w:line="260" w:lineRule="auto"/>
        <w:rPr>
          <w:sz w:val="20"/>
          <w:szCs w:val="20"/>
          <w:color w:val="auto"/>
        </w:rPr>
      </w:pPr>
      <w:r>
        <w:rPr>
          <w:rFonts w:ascii="Arial" w:cs="Arial" w:eastAsia="Arial" w:hAnsi="Arial"/>
          <w:sz w:val="18"/>
          <w:szCs w:val="18"/>
          <w:color w:val="auto"/>
        </w:rPr>
        <w:t>Gain (loss) from remeasurement of foreign currency consists of gains and losses from the remeasurement of foreign currency transactions into its functional currency.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w:t>
      </w:r>
    </w:p>
    <w:p>
      <w:pPr>
        <w:spacing w:after="0" w:line="181" w:lineRule="exact"/>
        <w:rPr>
          <w:sz w:val="20"/>
          <w:szCs w:val="20"/>
          <w:color w:val="auto"/>
        </w:rPr>
      </w:pPr>
    </w:p>
    <w:p>
      <w:pPr>
        <w:ind w:right="360" w:firstLine="509"/>
        <w:spacing w:after="0" w:line="247" w:lineRule="auto"/>
        <w:rPr>
          <w:sz w:val="20"/>
          <w:szCs w:val="20"/>
          <w:color w:val="auto"/>
        </w:rPr>
      </w:pPr>
      <w:r>
        <w:rPr>
          <w:rFonts w:ascii="Arial" w:cs="Arial" w:eastAsia="Arial" w:hAnsi="Arial"/>
          <w:sz w:val="18"/>
          <w:szCs w:val="18"/>
          <w:color w:val="auto"/>
        </w:rPr>
        <w:t>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spacing w:after="0" w:line="157"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June 30, 2023 and 2022</w:t>
      </w:r>
    </w:p>
    <w:p>
      <w:pPr>
        <w:spacing w:after="0" w:line="195" w:lineRule="exact"/>
        <w:rPr>
          <w:sz w:val="20"/>
          <w:szCs w:val="20"/>
          <w:color w:val="auto"/>
        </w:rPr>
      </w:pPr>
    </w:p>
    <w:p>
      <w:pPr>
        <w:ind w:right="200" w:firstLine="509"/>
        <w:spacing w:after="0" w:line="260" w:lineRule="auto"/>
        <w:rPr>
          <w:sz w:val="20"/>
          <w:szCs w:val="20"/>
          <w:color w:val="auto"/>
        </w:rPr>
      </w:pPr>
      <w:r>
        <w:rPr>
          <w:rFonts w:ascii="Arial" w:cs="Arial" w:eastAsia="Arial" w:hAnsi="Arial"/>
          <w:sz w:val="18"/>
          <w:szCs w:val="18"/>
          <w:color w:val="auto"/>
        </w:rPr>
        <w:t>All amounts in the tables below are rounded to the nearest million. As a result, certain amounts may not recalculate using the rounded amounts provided.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5"/>
                <w:szCs w:val="15"/>
                <w:color w:val="auto"/>
              </w:rPr>
            </w:pP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240" w:type="dxa"/>
            <w:vAlign w:val="bottom"/>
            <w:gridSpan w:val="2"/>
          </w:tcPr>
          <w:p>
            <w:pPr>
              <w:spacing w:after="0"/>
              <w:rPr>
                <w:sz w:val="15"/>
                <w:szCs w:val="15"/>
                <w:color w:val="auto"/>
              </w:rPr>
            </w:pPr>
          </w:p>
        </w:tc>
      </w:tr>
      <w:tr>
        <w:trPr>
          <w:trHeight w:val="223"/>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50.3 %</w:t>
            </w:r>
          </w:p>
        </w:tc>
        <w:tc>
          <w:tcPr>
            <w:tcW w:w="100" w:type="dxa"/>
            <w:vAlign w:val="bottom"/>
          </w:tcPr>
          <w:p>
            <w:pPr>
              <w:spacing w:after="0"/>
              <w:rPr>
                <w:sz w:val="19"/>
                <w:szCs w:val="19"/>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55.0 %</w:t>
            </w:r>
          </w:p>
        </w:tc>
      </w:tr>
      <w:tr>
        <w:trPr>
          <w:trHeight w:val="230"/>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44.4 %</w:t>
            </w:r>
          </w:p>
        </w:tc>
      </w:tr>
      <w:tr>
        <w:trPr>
          <w:trHeight w:val="230"/>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19"/>
                <w:szCs w:val="19"/>
                <w:color w:val="auto"/>
              </w:rPr>
            </w:pPr>
          </w:p>
        </w:tc>
      </w:tr>
      <w:tr>
        <w:trPr>
          <w:trHeight w:val="230"/>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37.6 %</w:t>
            </w:r>
          </w:p>
        </w:tc>
      </w:tr>
      <w:tr>
        <w:trPr>
          <w:trHeight w:val="230"/>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(16.8 )</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(17.4 )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0.6</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(0.1 )</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(0.3 )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(66.7 )%</w:t>
            </w:r>
          </w:p>
        </w:tc>
      </w:tr>
      <w:tr>
        <w:trPr>
          <w:trHeight w:val="230"/>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850.0 %</w:t>
            </w:r>
          </w:p>
        </w:tc>
        <w:tc>
          <w:tcPr>
            <w:tcW w:w="100" w:type="dxa"/>
            <w:vAlign w:val="bottom"/>
          </w:tcPr>
          <w:p>
            <w:pPr>
              <w:spacing w:after="0"/>
              <w:rPr>
                <w:sz w:val="19"/>
                <w:szCs w:val="19"/>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Loss from remeasurement of foreign currency</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(0.8 )</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(5.2 )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(84.6 )%</w:t>
            </w:r>
          </w:p>
        </w:tc>
      </w:tr>
      <w:tr>
        <w:trPr>
          <w:trHeight w:val="230"/>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(120.8 )%</w:t>
            </w:r>
          </w:p>
        </w:tc>
      </w:tr>
      <w:tr>
        <w:trPr>
          <w:trHeight w:val="230"/>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Loss before provision for income taxes</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(15.7 )</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(22.7 )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(30.8 )%</w:t>
            </w:r>
          </w:p>
        </w:tc>
      </w:tr>
      <w:tr>
        <w:trPr>
          <w:trHeight w:val="229"/>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(16.8 )</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(23.8 )</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(29.4 )%</w:t>
            </w:r>
          </w:p>
        </w:tc>
      </w:tr>
      <w:tr>
        <w:trPr>
          <w:trHeight w:val="230"/>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Comprehensive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(14.4 )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(23.8 )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xml:space="preserve">(39.5 </w:t>
            </w:r>
            <w:r>
              <w:rPr>
                <w:rFonts w:ascii="Arial" w:cs="Arial" w:eastAsia="Arial" w:hAnsi="Arial"/>
                <w:sz w:val="18"/>
                <w:szCs w:val="18"/>
                <w:color w:val="auto"/>
                <w:highlight w:val="white"/>
              </w:rPr>
              <w:t>)</w:t>
            </w:r>
            <w:r>
              <w:rPr>
                <w:rFonts w:ascii="Arial" w:cs="Arial" w:eastAsia="Arial" w:hAnsi="Arial"/>
                <w:sz w:val="18"/>
                <w:szCs w:val="18"/>
                <w:color w:val="auto"/>
              </w:rPr>
              <w:t>%</w:t>
            </w: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146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-179070</wp:posOffset>
            </wp:positionV>
            <wp:extent cx="85725" cy="1797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-179070</wp:posOffset>
            </wp:positionV>
            <wp:extent cx="85725" cy="1797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-179070</wp:posOffset>
            </wp:positionV>
            <wp:extent cx="85725" cy="1797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Revenue was $84.9 million for the three months ended June 30, 2023, compared to $56.5 million for the three months ended June 30, 2022, an increase of $28.4 million or 50.3%. Revenue is comprised of transaction revenue and platform and usage-based fee revenue as follows:</w:t>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5"/>
                <w:szCs w:val="15"/>
                <w:color w:val="auto"/>
              </w:rPr>
            </w:pPr>
          </w:p>
        </w:tc>
        <w:tc>
          <w:tcPr>
            <w:tcW w:w="1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c>
          <w:tcPr>
            <w:tcW w:w="180" w:type="dxa"/>
            <w:vAlign w:val="bottom"/>
            <w:gridSpan w:val="2"/>
          </w:tcPr>
          <w:p>
            <w:pPr>
              <w:spacing w:after="0"/>
              <w:rPr>
                <w:sz w:val="15"/>
                <w:szCs w:val="15"/>
                <w:color w:val="auto"/>
              </w:rPr>
            </w:pPr>
          </w:p>
        </w:tc>
      </w:tr>
      <w:tr>
        <w:trPr>
          <w:trHeight w:val="223"/>
        </w:trPr>
        <w:tc>
          <w:tcPr>
            <w:tcW w:w="5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Transaction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5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640" w:type="dxa"/>
            <w:vAlign w:val="bottom"/>
            <w:gridSpan w:val="3"/>
            <w:shd w:val="clear" w:color="auto" w:fill="CFF0FC"/>
          </w:tcPr>
          <w:p>
            <w:pPr>
              <w:ind w:left="1140"/>
              <w:spacing w:after="0"/>
              <w:rPr>
                <w:sz w:val="20"/>
                <w:szCs w:val="20"/>
                <w:color w:val="auto"/>
              </w:rPr>
            </w:pPr>
            <w:r>
              <w:rPr>
                <w:rFonts w:ascii="Arial" w:cs="Arial" w:eastAsia="Arial" w:hAnsi="Arial"/>
                <w:sz w:val="18"/>
                <w:szCs w:val="18"/>
                <w:color w:val="auto"/>
                <w:w w:val="85"/>
              </w:rPr>
              <w:t>60.2 %</w:t>
            </w:r>
          </w:p>
        </w:tc>
        <w:tc>
          <w:tcPr>
            <w:tcW w:w="40" w:type="dxa"/>
            <w:vAlign w:val="bottom"/>
          </w:tcPr>
          <w:p>
            <w:pPr>
              <w:spacing w:after="0"/>
              <w:rPr>
                <w:sz w:val="19"/>
                <w:szCs w:val="19"/>
                <w:color w:val="auto"/>
              </w:rPr>
            </w:pPr>
          </w:p>
        </w:tc>
      </w:tr>
      <w:tr>
        <w:trPr>
          <w:trHeight w:val="229"/>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440" w:type="dxa"/>
            <w:vAlign w:val="bottom"/>
            <w:gridSpan w:val="3"/>
          </w:tcPr>
          <w:p>
            <w:pPr>
              <w:ind w:left="900"/>
              <w:spacing w:after="0"/>
              <w:rPr>
                <w:sz w:val="20"/>
                <w:szCs w:val="20"/>
                <w:color w:val="auto"/>
              </w:rPr>
            </w:pPr>
            <w:r>
              <w:rPr>
                <w:rFonts w:ascii="Arial" w:cs="Arial" w:eastAsia="Arial" w:hAnsi="Arial"/>
                <w:sz w:val="18"/>
                <w:szCs w:val="18"/>
                <w:color w:val="auto"/>
                <w:w w:val="92"/>
              </w:rPr>
              <w:t>21.6 %</w:t>
            </w:r>
          </w:p>
        </w:tc>
      </w:tr>
      <w:tr>
        <w:trPr>
          <w:trHeight w:val="20"/>
        </w:trPr>
        <w:tc>
          <w:tcPr>
            <w:tcW w:w="57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43"/>
        </w:trPr>
        <w:tc>
          <w:tcPr>
            <w:tcW w:w="5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w w:val="85"/>
              </w:rPr>
              <w:t>50.3 %</w:t>
            </w:r>
          </w:p>
        </w:tc>
        <w:tc>
          <w:tcPr>
            <w:tcW w:w="40" w:type="dxa"/>
            <w:vAlign w:val="bottom"/>
          </w:tcPr>
          <w:p>
            <w:pPr>
              <w:spacing w:after="0"/>
              <w:rPr>
                <w:sz w:val="21"/>
                <w:szCs w:val="2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-25400</wp:posOffset>
            </wp:positionV>
            <wp:extent cx="857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857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857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857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768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3"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Transaction revenue was $66.8 million for the three months ended June 30, 2023, compared to $41.7 million for the three months ended June 30, 2022, an increase of $25.1 million or 60.2%. The increase in transaction revenue was primarily driven by growth in transaction payment volumes, from both our existing clients and new clients added during the three months ended June 30, 2023 as well as the addition of Cohort Go transaction products during the three months ended June 30, 2023. We experienced strong growth in payment volume across all regions and verticals during the period. Total payment volume increased approximately 43% during the three months ended June 30, 2023 to $4.1 billion. Our marketing services revenue decreased as certain partners are providing less incentives to prioritize their payment method over other transactions compared to prior periods.</w:t>
      </w:r>
    </w:p>
    <w:p>
      <w:pPr>
        <w:spacing w:after="0" w:line="164"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Platform and usage-based fee revenue was $18.0 million for the three months ended June 30, 2023, compared to $14.8 million for the three months ended June 30, 2022, an increase of $3.2 million or 21.6%. The increase in platform and usage-based fee revenue was driven primarily by the Cohort Go acquisition, which we completed in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77"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Payment processing services costs were $33.8 million for the three months ended June 30, 2023, compared to $21.8 million for the three months ended June 30, 2022, an increase of $12.0 million or 55.0%. The increase in payment processing services costs is correlated with the increase in total payment volume of 43% over the same period as well as increased use of credit cards, which have higher processing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77"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Technology and development expenses were $16.0 million for the three months ended June 30, 2023, compared to $13.2 million for the three months ended June 30, 2022, an increase of $2.8 million or 21.2%.The increase in technology and development costs was primarily driven by an increase in personnel costs, stock-based compensation expense and amortization expense partially offset by a decrease in travel related expenses. Personnel costs were $9.9 million for the three months ended June 30, 2023, compared to $8.3 million for the three months ended June 30, 2022, an increase of $1.6 million or 19.3%. The increase in personnel costs was primarily driven by an increase in headcount within our technology and development teams. Stock-based compensation expense was $2.4 million for the three months ended June 30, 2023, compared to $1.4 million for the three months ended June 30, 2022, an increase of $1.0 million or 71.4%. The increase in stock-based compensation expense is attributable to equity grants awarded to existing and new FlyMates. Amortization of intangible assets was $2.1 million for the three months ended June 30, 2023, compared to $1.6 million for the three months ended June 30, 2022, an increase of $0.5 million or 31.3%. The increase in amortization expense was primarily due to an increase in the purchase of property and equipment and acquired relationships related to the Cohort Go acquisition. Travel expenses were $0.2 million for the three months ended June 30, 2023, compared to $0.3 million for the three months ended June 30, 2022, a decrease of $0.1 million or 33.3%. Lower travel expenses were due to decreased FlyMate collaboration for integration and implementation efforts.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9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Selling and marketing expenses were $27.3 million for the three months ended June 30, 2023, compared to $ 18.9 million for the three months ended June 30, 2022, an increase of $8.4 million or 44.4%. The increase in selling and marketing expenses was primarily driven by an increase in personnel costs, professional fees, stock-based compensation expense, other costs and amortization expense. Personnel costs were $14.0 million for the three months ended June 30, 2023, compared to $10.6 million for the three months ended June 30, 2022, an increase of $3.4 million or 32.1%. The increase in personnel costs was primarily driven by an increase in headcount within our selling and marketing teams and commissions earned on sales during the period. Professional fees were $4.2 million for the three months ended June 30, 2023, compared to $1.6 million for the three months ended June 30, 2022, an increase of $ 2.6 million or 162.5%. The increase in professional fees was due to increases in third party commissions. Stock-based compensation expense was $3.3 million for the three months ended June 30, 2023, compared to $2.2 million for the three months ended June 30, 2022, an increase of $ 1.1 million or 50.0%. The increase in stock-based compensation expense is attributable to equity grants awarded to existing and new FlyMates. Other costs were $0.6 million for the three months ended June 30, 2023, compared to $0.2 million for the three months ended June 30, 2022, an increase of $0.4 million or 200.0%. The increase in other costs is primarily due to an increase in uncollectible receivables from customers. Amortization of intangible assets</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was $1.3 million for the three months ended June 30, 2023, compared to $ 0.9 million for the three months ended June 30, 2022, an increase of $0.4 million or 44.4%. The increase in amortization expense was due to acquired customer relationships related to the Cohort Go acquisition.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7"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General and administrative expenses were $ 24.6 million for the three months ended June 30, 2023, compared to $20.0 million for the three months ended June 30, 2022, an increase of $4.6 million or 23.0%. The increase in general and administrative expenses was primarily driven by an increase in personnel costs, stock-based compensation expense, change in the fair value of contingent consideration and software and hosting expenses. Personnel costs were $10.1 million for the three months ended June 30, 2023, compared to $8.0 million for the three months ended June 30, 2022, an increase of $2.1 million or 26.3%. The increase in personnel costs was primarily driven by an increase in headcount. Stock-based compensation expense was $5.7 million for the three months ended June 30, 2023, compared to $4.9 million for the three months ended June 30, 2022, an increase of $0.8 million or 16.3%. The increase in stock-based compensation expense is attributable to equity grants awarded to existing and new FlyMates. The change in the fair value of contingent consideration related to acquisitions was $0 for the three months ended June 30, 2023, compared to $0.9 million for the three months ended June 30, 2022, an increase of $0.9 million or 100.0%. The increase in the change in the fair value of contingent consideration was due to an adjustment related to the WPM contingent consideration for the period. Software and hosting expenses were $1.9 million for the three months ended June 30, 2023, compared to $1.3 million for the three months ended June 30, 2022, an increase of $0.6 million or 46.2%. The increase in software and hosting expenses was primarily related to increased hosting fees based on payment volumes growth and additional software needs based on headcount growth.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1" w:lineRule="exact"/>
        <w:rPr>
          <w:sz w:val="20"/>
          <w:szCs w:val="20"/>
          <w:color w:val="auto"/>
        </w:rPr>
      </w:pPr>
    </w:p>
    <w:p>
      <w:pPr>
        <w:ind w:right="400" w:firstLine="509"/>
        <w:spacing w:after="0" w:line="243" w:lineRule="auto"/>
        <w:rPr>
          <w:sz w:val="20"/>
          <w:szCs w:val="20"/>
          <w:color w:val="auto"/>
        </w:rPr>
      </w:pPr>
      <w:r>
        <w:rPr>
          <w:rFonts w:ascii="Arial" w:cs="Arial" w:eastAsia="Arial" w:hAnsi="Arial"/>
          <w:sz w:val="18"/>
          <w:szCs w:val="18"/>
          <w:color w:val="auto"/>
        </w:rPr>
        <w:t>Interest expense was $ 0.1 million for the three months ended June 30, 2023, compared to $0.3 million for the three months ended June 30, 2022, a decrease of $0.2 or 66.7%. On October 28, 2022, we repaid the $25.9 million outstanding under our Revolving Credit Facility, which resulted in no interest expense on debt for the three months ended June 30, 2023. Interest expense for the three months ended June 30, 2023 consists primarily of amortization of debt issuance cost and debt discount from our previous LSA.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7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Interest income was $1.9 million for the three months ended June 30, 2023, compared to $0.2 million for the three months ended June 30, 2022, an increase of $1.7 million or 850.0%. The increase in interest income was due to the Company's investment in interest bearing accounts during the second quarter of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Remeasurement of Foreign Currency</w:t>
      </w:r>
    </w:p>
    <w:p>
      <w:pPr>
        <w:spacing w:after="0" w:line="17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Loss from remeasurement of foreign currency was $0.8 million for the three months ended June 30, 2023, compared to $5.2 million for the three months ended June 30, 2022, a decrease of $4.4 million or 84.6%. The decrease was primarily the result of the remeasurement of foreign currency transactions into the British pound sterling and impact of fluctuations in exchange rates during respective remeasurement periods.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9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Provision for income taxes remained unchanged at $1.1 million for the three months ended June 30, 2023 and 2022. The income tax provision for the three months ended June 30, 2023 and 2022 was primarily attributable to activity in our foreign subsidiaries and U.S. state taxes. Our effective tax rate was (7.0)% for the three months ended June 30, 2023, compared to (4.7)% for the three months ended June 30, 2022.</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six months ended June 30, 2023 and 2022</w:t>
      </w:r>
    </w:p>
    <w:p>
      <w:pPr>
        <w:spacing w:after="0" w:line="195" w:lineRule="exact"/>
        <w:rPr>
          <w:sz w:val="20"/>
          <w:szCs w:val="20"/>
          <w:color w:val="auto"/>
        </w:rPr>
      </w:pPr>
    </w:p>
    <w:p>
      <w:pPr>
        <w:ind w:right="200" w:firstLine="509"/>
        <w:spacing w:after="0" w:line="260" w:lineRule="auto"/>
        <w:rPr>
          <w:sz w:val="20"/>
          <w:szCs w:val="20"/>
          <w:color w:val="auto"/>
        </w:rPr>
      </w:pPr>
      <w:r>
        <w:rPr>
          <w:rFonts w:ascii="Arial" w:cs="Arial" w:eastAsia="Arial" w:hAnsi="Arial"/>
          <w:sz w:val="18"/>
          <w:szCs w:val="18"/>
          <w:color w:val="auto"/>
        </w:rPr>
        <w:t>All amounts in the tables below are rounded to the nearest million. As a result, certain amounts may not recalculate using the rounded amounts provided.</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consolidated results of operations for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Six Months Ended June 30,</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5"/>
                <w:szCs w:val="15"/>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w:t>
            </w: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Payment processing services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Technology and development</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41.6 %</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35.8 %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Total costs and operating expense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w:t>
            </w:r>
          </w:p>
        </w:tc>
        <w:tc>
          <w:tcPr>
            <w:tcW w:w="26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39.1 %</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(23.4 )</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(24.5 )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(0.2 )</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(0.5 )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29"/>
        </w:trPr>
        <w:tc>
          <w:tcPr>
            <w:tcW w:w="5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1850.0 %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Gain (loss) from remeasurement of foreign currency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(7.6 )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(109.2 )%</w:t>
            </w:r>
          </w:p>
        </w:tc>
        <w:tc>
          <w:tcPr>
            <w:tcW w:w="0" w:type="dxa"/>
            <w:vAlign w:val="bottom"/>
          </w:tcPr>
          <w:p>
            <w:pPr>
              <w:spacing w:after="0"/>
              <w:rPr>
                <w:sz w:val="1"/>
                <w:szCs w:val="1"/>
                <w:color w:val="auto"/>
              </w:rPr>
            </w:pPr>
          </w:p>
        </w:tc>
      </w:tr>
      <w:tr>
        <w:trPr>
          <w:trHeight w:val="229"/>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(7.9 )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(155.7 )%</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Loss before provision for income taxes</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(19.0 )</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(32.4 )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9"/>
        </w:trPr>
        <w:tc>
          <w:tcPr>
            <w:tcW w:w="5500" w:type="dxa"/>
            <w:vAlign w:val="bottom"/>
            <w:gridSpan w:val="2"/>
          </w:tcPr>
          <w:p>
            <w:pPr>
              <w:ind w:left="28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(20.5 )</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(33.9 )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(2200.0 )%</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0"/>
              <w:spacing w:after="0"/>
              <w:rPr>
                <w:sz w:val="20"/>
                <w:szCs w:val="20"/>
                <w:color w:val="auto"/>
              </w:rPr>
            </w:pPr>
            <w:r>
              <w:rPr>
                <w:rFonts w:ascii="Arial" w:cs="Arial" w:eastAsia="Arial" w:hAnsi="Arial"/>
                <w:sz w:val="18"/>
                <w:szCs w:val="18"/>
                <w:color w:val="auto"/>
              </w:rPr>
              <w:t>Comprehensive loss</w:t>
            </w: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color w:val="auto"/>
                <w:highlight w:val="white"/>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(34.1 )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 xml:space="preserve">(46.0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5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3257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p>
      <w:pPr>
        <w:jc w:val="both"/>
        <w:ind w:right="340" w:firstLine="509"/>
        <w:spacing w:after="0" w:line="247" w:lineRule="auto"/>
        <w:rPr>
          <w:sz w:val="20"/>
          <w:szCs w:val="20"/>
          <w:color w:val="auto"/>
        </w:rPr>
      </w:pPr>
      <w:r>
        <w:rPr>
          <w:rFonts w:ascii="Arial" w:cs="Arial" w:eastAsia="Arial" w:hAnsi="Arial"/>
          <w:sz w:val="18"/>
          <w:szCs w:val="18"/>
          <w:color w:val="auto"/>
        </w:rPr>
        <w:t>Revenue was $179.2 million for the six months ended June 30, 2023, compared to $ 121.1 million for the six months ended June 30, 2022, an increase of $58.1 million or 48.0%. Revenue is comprised of transaction revenue and platform and usage-based fee revenue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3"/>
                <w:szCs w:val="13"/>
                <w:b w:val="1"/>
                <w:bCs w:val="1"/>
                <w:color w:val="auto"/>
              </w:rPr>
              <w:t>Six Months Ended June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c>
          <w:tcPr>
            <w:tcW w:w="180" w:type="dxa"/>
            <w:vAlign w:val="bottom"/>
            <w:gridSpan w:val="2"/>
          </w:tcPr>
          <w:p>
            <w:pPr>
              <w:spacing w:after="0"/>
              <w:rPr>
                <w:sz w:val="15"/>
                <w:szCs w:val="15"/>
                <w:color w:val="auto"/>
              </w:rPr>
            </w:pPr>
          </w:p>
        </w:tc>
      </w:tr>
      <w:tr>
        <w:trPr>
          <w:trHeight w:val="223"/>
        </w:trPr>
        <w:tc>
          <w:tcPr>
            <w:tcW w:w="58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Transaction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600" w:type="dxa"/>
            <w:vAlign w:val="bottom"/>
            <w:gridSpan w:val="3"/>
            <w:shd w:val="clear" w:color="auto" w:fill="CFF0FC"/>
          </w:tcPr>
          <w:p>
            <w:pPr>
              <w:ind w:left="1100"/>
              <w:spacing w:after="0"/>
              <w:rPr>
                <w:sz w:val="20"/>
                <w:szCs w:val="20"/>
                <w:color w:val="auto"/>
              </w:rPr>
            </w:pPr>
            <w:r>
              <w:rPr>
                <w:rFonts w:ascii="Arial" w:cs="Arial" w:eastAsia="Arial" w:hAnsi="Arial"/>
                <w:sz w:val="18"/>
                <w:szCs w:val="18"/>
                <w:color w:val="auto"/>
                <w:w w:val="85"/>
              </w:rPr>
              <w:t>58.5 %</w:t>
            </w:r>
          </w:p>
        </w:tc>
        <w:tc>
          <w:tcPr>
            <w:tcW w:w="40" w:type="dxa"/>
            <w:vAlign w:val="bottom"/>
          </w:tcPr>
          <w:p>
            <w:pPr>
              <w:spacing w:after="0"/>
              <w:rPr>
                <w:sz w:val="19"/>
                <w:szCs w:val="19"/>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Platform and usage-based fee revenue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9"/>
                <w:szCs w:val="19"/>
                <w:color w:val="auto"/>
              </w:rPr>
            </w:pPr>
          </w:p>
        </w:tc>
        <w:tc>
          <w:tcPr>
            <w:tcW w:w="1380" w:type="dxa"/>
            <w:vAlign w:val="bottom"/>
            <w:gridSpan w:val="3"/>
          </w:tcPr>
          <w:p>
            <w:pPr>
              <w:ind w:left="840"/>
              <w:spacing w:after="0"/>
              <w:rPr>
                <w:sz w:val="20"/>
                <w:szCs w:val="20"/>
                <w:color w:val="auto"/>
              </w:rPr>
            </w:pPr>
            <w:r>
              <w:rPr>
                <w:rFonts w:ascii="Arial" w:cs="Arial" w:eastAsia="Arial" w:hAnsi="Arial"/>
                <w:sz w:val="18"/>
                <w:szCs w:val="18"/>
                <w:color w:val="auto"/>
                <w:w w:val="92"/>
              </w:rPr>
              <w:t>17.2 %</w:t>
            </w:r>
          </w:p>
        </w:tc>
      </w:tr>
      <w:tr>
        <w:trPr>
          <w:trHeight w:val="20"/>
        </w:trPr>
        <w:tc>
          <w:tcPr>
            <w:tcW w:w="586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43"/>
        </w:trPr>
        <w:tc>
          <w:tcPr>
            <w:tcW w:w="58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w w:val="85"/>
              </w:rPr>
              <w:t>48.0 %</w:t>
            </w:r>
          </w:p>
        </w:tc>
        <w:tc>
          <w:tcPr>
            <w:tcW w:w="40" w:type="dxa"/>
            <w:vAlign w:val="bottom"/>
          </w:tcPr>
          <w:p>
            <w:pPr>
              <w:spacing w:after="0"/>
              <w:rPr>
                <w:sz w:val="21"/>
                <w:szCs w:val="21"/>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857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857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857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857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857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857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6"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Transaction revenue was $143.1 million for the six months ended June 30, 2023, compared to $90.3 million for the six months ended June 30, 2022, an increase of $52.8 million or 58.5%. The increase in transaction revenue was primarily driven by growth in transaction payment volumes, from both our existing clients and new clients added during the six months ended June 30, 2023 as well as the addition of Cohort Go transaction products during the six months ended June 30, 2023. We experienced strong growth in payment volume across all regions and verticals during the period. Total payment volume increased approximately 39% during the six months ended June 30, 2023 to $9.8 billion. Our marketing services revenue decreased as certain partners are providing less incentives to prioritize their payment method over other transactions compared to prior periods.</w:t>
      </w:r>
    </w:p>
    <w:p>
      <w:pPr>
        <w:spacing w:after="0" w:line="150"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Platform and usage-based fee revenue was $36.1 million for the six months ended June 30, 2023, compared to $30.8 million for the six months ended June 30, 2022, an increase of $ 5.3 million or 17.2%. The increase in platform and usage-based fee revenue was driven by the Cohort Go acquisition, which we completed in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Processing Services Costs</w:t>
      </w:r>
    </w:p>
    <w:p>
      <w:pPr>
        <w:spacing w:after="0" w:line="191" w:lineRule="exact"/>
        <w:rPr>
          <w:sz w:val="20"/>
          <w:szCs w:val="20"/>
          <w:color w:val="auto"/>
        </w:rPr>
      </w:pPr>
    </w:p>
    <w:p>
      <w:pPr>
        <w:jc w:val="both"/>
        <w:ind w:right="320" w:firstLine="509"/>
        <w:spacing w:after="0" w:line="243" w:lineRule="auto"/>
        <w:rPr>
          <w:sz w:val="20"/>
          <w:szCs w:val="20"/>
          <w:color w:val="auto"/>
        </w:rPr>
      </w:pPr>
      <w:r>
        <w:rPr>
          <w:rFonts w:ascii="Arial" w:cs="Arial" w:eastAsia="Arial" w:hAnsi="Arial"/>
          <w:sz w:val="18"/>
          <w:szCs w:val="18"/>
          <w:color w:val="auto"/>
        </w:rPr>
        <w:t>Payment processing services costs were $67.7 million for the six months ended June 30, 2023, compared to $46.1 million for the six months ended June 30, 2022, an increase of $21.6 million or 46.9%. The increase in payment processing services costs is correlated with the increase in total payment volume of 39% over the same period as well as increased use of credit cards, which have higher processing costs.</w:t>
      </w:r>
    </w:p>
    <w:p>
      <w:pPr>
        <w:spacing w:after="0" w:line="14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9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Technology and development expenses were $ 30.5 million for the six months ended June 30, 2023, compared to $24.2 million for the six months ended June 30, 2022, an increase of $6.3 million or 26.0%. The increase in technology and development expenses was primarily driven by an increase in personnel costs, stock-based compensation expense and amortization expense. Personnel costs were $19.2 million for the six months ended June 30, 2023, compared to $15.3 million for the six months ended June 30, 2022, an increase of $3.9 million or 25.5%. The increase in personnel costs was primarily driven by an increase in headcount within our technology and development teams and retention bonuses. Stock-based compensation expense was $4.0 million for the six months ended June 30, 2023, compared to $2.2 million for the six months ended June 30, 2022, an increase of $ 1.8 million or 81.8%. The increase in stock-based compensation expense is attributable to equity grants awarded to existing and new FlyMates. Amortization of intangible assets was $3.8 million for the six months ended June 30, 2023, compared to $3.1 million for the six months ended June 30, 2022, an increase of $0.7 million or 22.6%. The increase in amortization expense was primarily due to increase in the purchase of property and equipment and acquired relationships related to the Cohort Go acquisition.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7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Selling and marketing expenses were $51.7 million for the six months ended June 30, 2023, compared to $36.5 million for the six months ended June 30, 2022, an increase of $15.2 million or 41.6%. The increase in selling and marketing expenses was primarily driven by an increase in personnel costs, professional fees, stock-based compensation expense, amortization expense, other costs and software and hosting expenses. Personnel costs were $ 27.7 million for the six months ended June 30, 2023, compared to $21.2 million for the six months ended June 30, 2022, an increase of $ 6.5 million or 30.7%. The increase in personnel costs was primarily driven by an increase in headcount within our selling and marketing teams and commissions earned on sales during the period. Professional fees were $8.6 million for the six months ended June 30, 2023, compared to $3.5 million for the six months ended June 30, 2022, an increase of $5.1 million or 145.7%. The increase in professional fees was due to increases in third party commissions. Stock-based compensation expense was $5.7 million for the six months ended June 30, 2023, compared to $3.5 million for the six months ended June 30, 2022, an increase of $2.2 million or 62.9%. The increase in stock-based compensation expense is attributable to equity grants awarded to existing and new FlyMates. Amortization of intangible assets was $2.5 million for the six months ended June 30, 2023, compared to $1.9 million for the six months ended June 30, 2022, an increase of $0.6 million or 31.6%. The increase in amortization expense was due to acquired customer relationships related to the Cohort Go acquisition. Other costs were $0.9 million for the six months ended June 30, 2023, compared to $0.3 million for the six months ended June 30, 2022, an increase of $0.6 million or 200.0%. The increase in other costs is primarily due to increase in uncollectible receivables from customers. Software and hosting expenses were $1.1 million for the six months ended June 30, 2023, compared to $0.7 million for the six months ended June 30, 2022, an increase of $0.4 million or 57.1%. The increase in software and hosting expenses was primarily related to increased hosting fees based on payment volumes growth and additional software needs based on headcount growth.</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77"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General and administrative expenses were $ 52.7 million for the six months ended June 30, 2023, compared to $38.8 million for the six months ended June 30, 2022, an increase of $13.9 million or 35.8%. The increase in general and administrative expenses was primarily driven by the increase in personnel costs, stock-based compensation expense, other costs, professional fees, change in the fair value of contingent consideration and software and hosting expenses. Personnel costs were $20.7 million for the six months ended June 30, 2023, compared to $15.5 million for the six months ended June 30, 2022, an increase of $5.2 million or 33.5%. The increase in personnel costs was primarily driven by an increase in headcount and bonuses. Stock-based compensation expense was $10.3 million for the six months ended June 30, 2023, compared to $8.2 million for the six months ended June 30, 2022, an increase of $2.1 million or 25.6%. The increase in stock-based compensation expense is attributable to equity grants awarded to existing and new FlyMates. Other costs were $3.5 million for the six months ended June 30, 2023, compared to $1.5 million for the six months ended June 30, 2022, an increase of $2.0 million or 133.3%. The increase in other costs was primarily due to increased hedging fees related to an increase in total payment volume and indirect taxes recorded during the period. Professional fees were $7.3 million for the six months ended June 30, 2023, compared to $5.5 million for the six months ended June 30, 2022, an increase of $1.8 million or 32.7%. The increase in professional fees was due to increased legal, consulting and audit fees associated with being a public company. The change in the fair value of contingent consideration related to acquisitions was $0.4 million for the six months ended June 30, 2023, compared to $ (1.0) million for the six months ended June 30, 2022, an increase of $1.4 million or 140.0%. This $0.4 million of contingent consideration cost for the six months ended June 30, 2023 was associated with the Cohort Go acquisition, while the benefit in the six months ended June 30, 2022 represented an adjustment to the WPM contingent consideration in that period. Software and hosting expenses were $3.8 million for the six months ended June 30, 2023, compared to $2.6 million for the six months ended June 30, 2022, an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increase of $1.2 million or 46.2%. The increase in software and hosting expenses was primarily related to increased hosting fees based on payment volumes growth and additional software needs based on headcount growth.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7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Interest expense was $0.2 million for the six months ended June 30, 2023, compared to $0.5 million for the six months ended June 30, 2022, a decrease of $0.3 million or 60.0%. On October 28, 2022, we repaid the $25.9 million outstanding under our Revolving Credit Facility, which resulted in no interest expense on debt for the six months ended June 30, 2023. Interest expense for the six months ended June 30, 2023 consists primarily of amortization of debt issuance cost and debt discount from our previous LSA.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91" w:lineRule="exact"/>
        <w:rPr>
          <w:sz w:val="20"/>
          <w:szCs w:val="20"/>
          <w:color w:val="auto"/>
        </w:rPr>
      </w:pPr>
    </w:p>
    <w:p>
      <w:pPr>
        <w:jc w:val="both"/>
        <w:ind w:right="260" w:firstLine="509"/>
        <w:spacing w:after="0" w:line="247" w:lineRule="auto"/>
        <w:rPr>
          <w:sz w:val="20"/>
          <w:szCs w:val="20"/>
          <w:color w:val="auto"/>
        </w:rPr>
      </w:pPr>
      <w:r>
        <w:rPr>
          <w:rFonts w:ascii="Arial" w:cs="Arial" w:eastAsia="Arial" w:hAnsi="Arial"/>
          <w:sz w:val="18"/>
          <w:szCs w:val="18"/>
          <w:color w:val="auto"/>
        </w:rPr>
        <w:t>Interest income was $3.9 million for the six months ended June 30, 2023, compared to $0.2 million for the for the six months ended June 30, 2022, an increase of $3.7 million or 1850.0%%. The increase in interest income was due to the Company's investment in interest bearing accounts during the second quarter of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from Remeasurement of Foreign Currency</w:t>
      </w:r>
    </w:p>
    <w:p>
      <w:pPr>
        <w:spacing w:after="0" w:line="17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Gain (loss) from remeasurement of foreign currency was $0.7 million for the six months ended June 30, 2023, compared to $(7.6) million for the six months ended June 30, 2022, an increase of $8.3 million or 109.2%. The decrease was primarily the result of the remeasurement of foreign currency transactions into the British pound sterling and impact of fluctuations in exchange rates during respective remeasurement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7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Provision for income taxes was $1.5 million for the six months ended June 30, 2023, compared to $1.6 million for the six months ended June 30, 2022, a decrease of $0.1 million or (6.3)%. The income tax provision for the six months ended June 30, 2023 and 2022 was primarily attributable to activity in our foreign subsidiaries and U.S. state taxes. Our effective tax rate was (8.0)% for the six months ended June 30, 2023 compared to (4.9)% for the six months ended June 30,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5" w:lineRule="exact"/>
        <w:rPr>
          <w:sz w:val="20"/>
          <w:szCs w:val="20"/>
          <w:color w:val="auto"/>
        </w:rPr>
      </w:pPr>
    </w:p>
    <w:p>
      <w:pPr>
        <w:ind w:right="200" w:firstLine="509"/>
        <w:spacing w:after="0" w:line="260" w:lineRule="auto"/>
        <w:rPr>
          <w:sz w:val="20"/>
          <w:szCs w:val="20"/>
          <w:color w:val="auto"/>
        </w:rPr>
      </w:pPr>
      <w:r>
        <w:rPr>
          <w:rFonts w:ascii="Arial" w:cs="Arial" w:eastAsia="Arial" w:hAnsi="Arial"/>
          <w:sz w:val="18"/>
          <w:szCs w:val="18"/>
          <w:color w:val="auto"/>
        </w:rPr>
        <w:t>Since inception, we have financed operations primarily through proceeds received from sales of equity securities, credit facilities and payments received from our clients as further detailed below.</w:t>
      </w:r>
    </w:p>
    <w:p>
      <w:pPr>
        <w:spacing w:after="0" w:line="132" w:lineRule="exact"/>
        <w:rPr>
          <w:sz w:val="20"/>
          <w:szCs w:val="20"/>
          <w:color w:val="auto"/>
        </w:rPr>
      </w:pPr>
    </w:p>
    <w:p>
      <w:pPr>
        <w:ind w:right="360" w:firstLine="509"/>
        <w:spacing w:after="0" w:line="260" w:lineRule="auto"/>
        <w:rPr>
          <w:sz w:val="20"/>
          <w:szCs w:val="20"/>
          <w:color w:val="auto"/>
        </w:rPr>
      </w:pPr>
      <w:r>
        <w:rPr>
          <w:rFonts w:ascii="Arial" w:cs="Arial" w:eastAsia="Arial" w:hAnsi="Arial"/>
          <w:sz w:val="18"/>
          <w:szCs w:val="18"/>
          <w:color w:val="auto"/>
        </w:rPr>
        <w:t>As of June 30, 2023, our principal source of liquidity is cash and cash equivalents of $328.1 million. Cash equivalents is comprised primarily of money market funds.</w:t>
      </w:r>
    </w:p>
    <w:p>
      <w:pPr>
        <w:spacing w:after="0" w:line="13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 information for the periods presented: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r>
      <w:tr>
        <w:trPr>
          <w:trHeight w:val="223"/>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(25.7 )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(27.6 )</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(3.5 )</w:t>
            </w: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(3.6 )</w:t>
            </w:r>
          </w:p>
        </w:tc>
      </w:tr>
      <w:tr>
        <w:trPr>
          <w:trHeight w:val="230"/>
        </w:trPr>
        <w:tc>
          <w:tcPr>
            <w:tcW w:w="77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(1.8 )</w:t>
            </w:r>
          </w:p>
        </w:tc>
      </w:tr>
      <w:tr>
        <w:trPr>
          <w:trHeight w:val="229"/>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9"/>
                <w:szCs w:val="19"/>
                <w:color w:val="auto"/>
              </w:rPr>
            </w:pPr>
          </w:p>
        </w:tc>
      </w:tr>
      <w:tr>
        <w:trPr>
          <w:trHeight w:val="243"/>
        </w:trPr>
        <w:tc>
          <w:tcPr>
            <w:tcW w:w="778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(23.1 )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(26.8 )</w:t>
            </w:r>
          </w:p>
        </w:tc>
      </w:tr>
      <w:tr>
        <w:trPr>
          <w:trHeight w:val="20"/>
        </w:trPr>
        <w:tc>
          <w:tcPr>
            <w:tcW w:w="76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1" w:lineRule="exact"/>
        <w:rPr>
          <w:sz w:val="20"/>
          <w:szCs w:val="20"/>
          <w:color w:val="auto"/>
        </w:rPr>
      </w:pPr>
    </w:p>
    <w:p>
      <w:pPr>
        <w:ind w:right="780" w:firstLine="509"/>
        <w:spacing w:after="0" w:line="260" w:lineRule="auto"/>
        <w:rPr>
          <w:sz w:val="20"/>
          <w:szCs w:val="20"/>
          <w:color w:val="auto"/>
        </w:rPr>
      </w:pPr>
      <w:r>
        <w:rPr>
          <w:rFonts w:ascii="Arial" w:cs="Arial" w:eastAsia="Arial" w:hAnsi="Arial"/>
          <w:sz w:val="18"/>
          <w:szCs w:val="18"/>
          <w:color w:val="auto"/>
        </w:rPr>
        <w:t>Net cash used in operating activities consists of net loss adjusted for certain non-cash items and changes in other assets and liabilities.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2023, cash used in operating activities of $25.7 million was primarily the result of net loss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$20.5 million adjusted for non-cash expenses of $28.7 million, which primarily included stock-based compensation expenses of $20.0 million,</w:t>
      </w:r>
    </w:p>
    <w:p>
      <w:pPr>
        <w:spacing w:after="0" w:line="234" w:lineRule="auto"/>
        <w:rPr>
          <w:sz w:val="20"/>
          <w:szCs w:val="20"/>
          <w:color w:val="auto"/>
        </w:rPr>
      </w:pPr>
      <w:r>
        <w:rPr>
          <w:rFonts w:ascii="Arial" w:cs="Arial" w:eastAsia="Arial" w:hAnsi="Arial"/>
          <w:sz w:val="18"/>
          <w:szCs w:val="18"/>
          <w:color w:val="auto"/>
        </w:rPr>
        <w:t>depreciation and amortization of $7.9 million, provision for uncollectible accounts of $0.6 million, offset by a deferred tax benefit of $0.6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and $33.8 million related to changes in our operating assets and liabilities.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2022, cash used in operating activities of $27.6 million was primarily the result of net loss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$33.9 million adjusted for non-cash expenses of $19.1 million, which primarily included stock-based compensation expenses of $13.9 million,</w:t>
      </w:r>
    </w:p>
    <w:p>
      <w:pPr>
        <w:spacing w:after="0" w:line="234" w:lineRule="auto"/>
        <w:rPr>
          <w:sz w:val="20"/>
          <w:szCs w:val="20"/>
          <w:color w:val="auto"/>
        </w:rPr>
      </w:pPr>
      <w:r>
        <w:rPr>
          <w:rFonts w:ascii="Arial" w:cs="Arial" w:eastAsia="Arial" w:hAnsi="Arial"/>
          <w:sz w:val="18"/>
          <w:szCs w:val="18"/>
          <w:color w:val="auto"/>
        </w:rPr>
        <w:t>depreciation and amortization of $5.8 million, and change in fair value of contingent consideration of $(1.0) million, offset by $12.7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related to changes in our operating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7" w:lineRule="exact"/>
        <w:rPr>
          <w:sz w:val="20"/>
          <w:szCs w:val="20"/>
          <w:color w:val="auto"/>
        </w:rPr>
      </w:pPr>
    </w:p>
    <w:p>
      <w:pPr>
        <w:ind w:right="960" w:firstLine="509"/>
        <w:spacing w:after="0" w:line="260" w:lineRule="auto"/>
        <w:rPr>
          <w:sz w:val="20"/>
          <w:szCs w:val="20"/>
          <w:color w:val="auto"/>
        </w:rPr>
      </w:pPr>
      <w:r>
        <w:rPr>
          <w:rFonts w:ascii="Arial" w:cs="Arial" w:eastAsia="Arial" w:hAnsi="Arial"/>
          <w:sz w:val="18"/>
          <w:szCs w:val="18"/>
          <w:color w:val="auto"/>
        </w:rPr>
        <w:t>During the six months ended June 30, 2023, cash used in investing activities of $3.5 million was the result of $2.8 million of capitalization of internally developed software costs and $0.7 million of purchase of property and equipment.</w:t>
      </w:r>
    </w:p>
    <w:p>
      <w:pPr>
        <w:spacing w:after="0" w:line="132" w:lineRule="exact"/>
        <w:rPr>
          <w:sz w:val="20"/>
          <w:szCs w:val="20"/>
          <w:color w:val="auto"/>
        </w:rPr>
      </w:pPr>
    </w:p>
    <w:p>
      <w:pPr>
        <w:ind w:right="960" w:firstLine="509"/>
        <w:spacing w:after="0" w:line="260" w:lineRule="auto"/>
        <w:rPr>
          <w:sz w:val="20"/>
          <w:szCs w:val="20"/>
          <w:color w:val="auto"/>
        </w:rPr>
      </w:pPr>
      <w:r>
        <w:rPr>
          <w:rFonts w:ascii="Arial" w:cs="Arial" w:eastAsia="Arial" w:hAnsi="Arial"/>
          <w:sz w:val="18"/>
          <w:szCs w:val="18"/>
          <w:color w:val="auto"/>
        </w:rPr>
        <w:t>During the six months ended June 30, 2022, cash used in investing activities of $3.6 million was the result of $2.9 million of capitalization of internally developed software costs and $0.7 million of purchase of property and equipment.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7" w:lineRule="exact"/>
        <w:rPr>
          <w:sz w:val="20"/>
          <w:szCs w:val="20"/>
          <w:color w:val="auto"/>
        </w:rPr>
      </w:pPr>
    </w:p>
    <w:p>
      <w:pPr>
        <w:ind w:right="560" w:firstLine="509"/>
        <w:spacing w:after="0" w:line="247" w:lineRule="auto"/>
        <w:rPr>
          <w:sz w:val="20"/>
          <w:szCs w:val="20"/>
          <w:color w:val="auto"/>
        </w:rPr>
      </w:pPr>
      <w:r>
        <w:rPr>
          <w:rFonts w:ascii="Arial" w:cs="Arial" w:eastAsia="Arial" w:hAnsi="Arial"/>
          <w:sz w:val="18"/>
          <w:szCs w:val="18"/>
          <w:color w:val="auto"/>
        </w:rPr>
        <w:t>During the six months ended June 30, 2023, cash provided by financing activities of $5.7 million was the result of proceeds from exercise of stock options of $6.0 million and proceeds from issuance of stock under the ESPP of $0.9 million, offset by payments for contingent consideration of $1.2 million related to our acquisition of Cohort Go.</w:t>
      </w:r>
    </w:p>
    <w:p>
      <w:pPr>
        <w:spacing w:after="0" w:line="144"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During the six months ended June 30, 2022, cash used in financing activities of $1.8 million was the result of payments for contingent consideration of $3.3 million related to our acquisition of Simplee. and payments of tax withholdings for net settled stock option exercises of $0.8 million, offset by $2.3 million proceeds from the exercise of stock options.</w:t>
      </w:r>
    </w:p>
    <w:p>
      <w:pPr>
        <w:spacing w:after="0" w:line="157"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As of June 30, 2022, we had $25.9 million of outstanding indebtedness under the Revolving Credit Facility. On October 28, 2022, we repaid the $25.9 million outstanding under the Revolving Credit Facility. As of June 30, 2023, we had $0 of outstanding indebtedness under the Revolving Credit Facility. Following the repayment, we continue to have access to a total commitment of $50.0 million under the Revolving Credit Facility. On June 23, 2023, the Company executed the First Amendment to the Revolving Credit Facility to transition from the LIBOR benchmark rate to the SOFR reference rate effective June 30, 2023. The Revolving Credit Facility consists of ABR loans or Eurodollar Borrowings, at our option. In accordance with the First Amendment, ABR loans bear interest at the ABR plus the applicable rate. Eurodollar Borrowings bear interest at the Adjusted Term SOFR plus the applicable rate. The ABR rate is based on the greatest of (a) the Prime Rate (b) the Federal Funds Effective Rate plus 1/2 of 1% and (c) the Adjusted Term SOFR for a one-month interest period plus 1%. The Adjusted Term SOFR is based on (a) the Term SOFR plus (b) the applicable spread adjustment ranging from 0.11448% to 0.71513% depending on the length of the SOFR interest period multiplied by (c) the Statutory Reserve Rate. The applicable rate is based upon the Company’s liquidity as of the most recent consolidated financial information and ranges from 0.75% to 2.25%. Prior to the First Amendment, ABR loans borne interest at the ABR plus the applicable rate. Eurodollar Borrowings borne interest at the Adjusted LIBOR plus the applicable rate. ABR rate was based on the greatest of (a) the Prime Rate (b) the Federal Funds Effective Rate plus 1/2 of 1% and (c) the Adjusted LIBOR for a one-month interest period plus 1%. The adjusted LIBOR was based on (a) the LIBOR for such interest period multiplied by (b) the Statutory Reserve Rate. The applicable rate was based upon the Company’s liquidity as of the most recent consolidated financial information and ranged from 0.75% to 2.25%.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Revolving Credit Facility incurs a commitment fee ranging from 0.25% to 0.35% based upon our liquidity as of the most recent consolidated financial information assessed on the average undrawn portion of the available commitment.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1"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Our condensed consolidated financial statements and the related notes thereto included elsewhere in this Quarterly Report on Form 10-Q are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3"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 xml:space="preserve">There have been no material changes to our critical accounting policies as compared to the critical accounting policies and estimates described in the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section of our Annual Report on Form 10-K for the year ended December 31,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5"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 xml:space="preserve">We have reviewed all recently issued standards and have determined that, other than as disclosed in </w:t>
      </w:r>
      <w:r>
        <w:rPr>
          <w:rFonts w:ascii="Arial" w:cs="Arial" w:eastAsia="Arial" w:hAnsi="Arial"/>
          <w:sz w:val="18"/>
          <w:szCs w:val="18"/>
          <w:i w:val="1"/>
          <w:iCs w:val="1"/>
          <w:color w:val="auto"/>
        </w:rPr>
        <w:t>Note 1 - Business Overview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to our unaudited condensed consolidated financial statements appearing elsewhere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Report on Form 10-Q, such standards are not expected to have a material impact on our consolidated financial statements or do not otherwise apply to our operations.</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5"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Revolving Credit Facility consists of ABR loans or Eurodollar Borrowings, at our option.</w:t>
      </w:r>
    </w:p>
    <w:p>
      <w:pPr>
        <w:spacing w:after="0" w:line="18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June 23, 2023, the Company executed the First Amendment to its Revolving Credit Facility to transition from the LIBOR benchmark rate to the SOFR benchmark rate effective June 30, 2023. In accordance with the First Amendment, ABR loans bear interest at the ABR plus the applicable rate. Eurodollar Borrowings bear interest at the Adjusted Term SOFR plus the applicable rate. The ABR rate is based on the greatest of (a) the Prime Rate, (b) the Federal Funds Effective Rate plus 1/2 of 1%, or (c) the Adjusted Term SOFR for a one-month interest period, plus 1%. The Adjusted Term SOFR is based on (x) the Term SOFR, plus (y) the applicable spread adjustment ranging from 0.11448% to 0.71513% depending on the length of the SOFR interest period, multiplied by (z) the Statutory Reserve Rate. The applicable rate is based upon our liquidity as of the most recent consolidated financial information and ranges from 0.75% to 2.25%.</w:t>
      </w:r>
    </w:p>
    <w:p>
      <w:pPr>
        <w:spacing w:after="0" w:line="150" w:lineRule="exact"/>
        <w:rPr>
          <w:sz w:val="20"/>
          <w:szCs w:val="20"/>
          <w:color w:val="auto"/>
        </w:rPr>
      </w:pPr>
    </w:p>
    <w:p>
      <w:pPr>
        <w:ind w:right="180" w:firstLine="509"/>
        <w:spacing w:after="0" w:line="256" w:lineRule="auto"/>
        <w:rPr>
          <w:sz w:val="20"/>
          <w:szCs w:val="20"/>
          <w:color w:val="auto"/>
        </w:rPr>
      </w:pPr>
      <w:r>
        <w:rPr>
          <w:rFonts w:ascii="Arial" w:cs="Arial" w:eastAsia="Arial" w:hAnsi="Arial"/>
          <w:sz w:val="17"/>
          <w:szCs w:val="17"/>
          <w:color w:val="auto"/>
        </w:rPr>
        <w:t>Prior to the First Amendment, ABR loans borne interest at the ABR plus applicable rate. Eurodollar Borrowings borne interest at the Adjusted LIBOR plus the applicable rate. The ABR rate was based on the greatest of (a) the Prime Rate, (b) the Federal Funds Effective Rate plus 1/2 of 1%, or (c) the Adjusted LIBOR for a one-month interest period, plus 1%. The adjusted LIBOR was based on (x) the LIBOR, multiplied by (y) the Statutory Reserve Rate. The applicable rate was based upon our liquidity as of the most recent consolidated financial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information and ranged from 0.75% to 2.25%.</w:t>
      </w:r>
    </w:p>
    <w:p>
      <w:pPr>
        <w:spacing w:after="0" w:line="185" w:lineRule="exact"/>
        <w:rPr>
          <w:sz w:val="20"/>
          <w:szCs w:val="20"/>
          <w:color w:val="auto"/>
        </w:rPr>
      </w:pPr>
    </w:p>
    <w:p>
      <w:pPr>
        <w:ind w:right="360" w:firstLine="509"/>
        <w:spacing w:after="0" w:line="260" w:lineRule="auto"/>
        <w:rPr>
          <w:sz w:val="20"/>
          <w:szCs w:val="20"/>
          <w:color w:val="auto"/>
        </w:rPr>
      </w:pPr>
      <w:r>
        <w:rPr>
          <w:rFonts w:ascii="Arial" w:cs="Arial" w:eastAsia="Arial" w:hAnsi="Arial"/>
          <w:sz w:val="18"/>
          <w:szCs w:val="18"/>
          <w:color w:val="auto"/>
        </w:rPr>
        <w:t>The Revolving Credit Facility incurs a commitment fee ranging from 0.25% to 0.35% based upon our liquidity as of the most recent consolidated financial information assessed on the average undrawn portion of the available commitment.</w:t>
      </w:r>
    </w:p>
    <w:p>
      <w:pPr>
        <w:spacing w:after="0" w:line="146"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As of June 30, 2023 and December 31, 2022, there was no outstanding indebtedness under the Revolving Credit Facility. An immediate 10% increase or decrease in interest rates would not have a material effect on our financial position, results of operations or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 —that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spacing w:after="0" w:line="16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During the quarter ended June 30, 2023, as the U.S. Dollar strengthened against several currencies, including the British Pound, relative to the same period in the prior year, these foreign exchange impacts reduced our reported revenue in U.S. Dollars by approximately $1.2 million compared to the quarter ended June 30, 2022 on a constant currency basis.</w:t>
      </w:r>
    </w:p>
    <w:p>
      <w:pPr>
        <w:spacing w:after="0" w:line="154" w:lineRule="exact"/>
        <w:rPr>
          <w:sz w:val="20"/>
          <w:szCs w:val="20"/>
          <w:color w:val="auto"/>
        </w:rPr>
      </w:pPr>
    </w:p>
    <w:p>
      <w:pPr>
        <w:ind w:right="340" w:firstLine="509"/>
        <w:spacing w:after="0" w:line="260" w:lineRule="auto"/>
        <w:rPr>
          <w:sz w:val="20"/>
          <w:szCs w:val="20"/>
          <w:color w:val="auto"/>
        </w:rPr>
      </w:pPr>
      <w:r>
        <w:rPr>
          <w:rFonts w:ascii="Arial" w:cs="Arial" w:eastAsia="Arial" w:hAnsi="Arial"/>
          <w:sz w:val="18"/>
          <w:szCs w:val="18"/>
          <w:color w:val="auto"/>
        </w:rPr>
        <w:t>Fluctuations in foreign currency exchange rates may also impact the value of assets and liabilities denominated in currencies other than the functional currencies of our entities. Our reporting currency and the functional currency of our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income (loss) in our condensed consolidated balance sheets. Gains and losses from the remeasurement of foreign currencies into functional currencies are recognized in the condensed consolidated statements of operations and comprehensive loss. A potential change in foreign exchange rates of 10% from such remeasurement would have impacted loss before income taxes by approximately $12.5 million and $10.9 million at June 30, 2023 and December 31, 2022,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81"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Inflation did not have a material effect on our cash flows and results of operations during the three or six months ended June 30, 2023. If our costs were to become subject to significant inflationary pressures, we may not be able to fully offset such higher costs through increase in prices of our product offerings.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June 30, 2023. The term “disclosure controls and procedures,” as defined in Rules 13a15(e)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June 30, 2023, our disclosure controls and procedures were effective at the reasonable assurance level.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June 30, 2023 that have materially affected, or are reasonably likely to materially affect, our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8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 effective control system, misstatements due to error or fraud may occur and not be detected.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II—OTHER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82"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spacing w:after="0" w:line="15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the course of implementing geolocation data-based sanctions screening measures, the Company identified certain payments which, based on geolocation data, appear to have been initiated from Cuba, Iran, or Syria, in potential violation of applicable sanctions regimes. Although Flywire continues to evaluate whether these transactions constitute potential violations of OFAC sanctions (including whether certain of these payments may have been authorized by general licenses or license exemptions under the relevant sanctions regulations), in August 2023, Flywire made a voluntary submission to OFAC to report the potential violations. Based upon the results of the internal investigation completed to date, the Company does not believe that the amount of any loss incurred as a result of this matter would be material to its business, financial condition,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95" w:lineRule="exact"/>
        <w:rPr>
          <w:sz w:val="20"/>
          <w:szCs w:val="20"/>
          <w:color w:val="auto"/>
        </w:rPr>
      </w:pPr>
    </w:p>
    <w:p>
      <w:pPr>
        <w:ind w:right="140" w:firstLine="509"/>
        <w:spacing w:after="0" w:line="260" w:lineRule="auto"/>
        <w:rPr>
          <w:sz w:val="20"/>
          <w:szCs w:val="20"/>
          <w:color w:val="auto"/>
        </w:rPr>
      </w:pPr>
      <w:r>
        <w:rPr>
          <w:rFonts w:ascii="Arial" w:cs="Arial" w:eastAsia="Arial" w:hAnsi="Arial"/>
          <w:sz w:val="18"/>
          <w:szCs w:val="18"/>
          <w:color w:val="auto"/>
        </w:rPr>
        <w:t>The summary of risks below is intended to provide an overview of the risks we face and should not be considered a substitute for the more fulsome risk factors discussed immediately following this summary.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81" w:lineRule="exact"/>
        <w:rPr>
          <w:sz w:val="20"/>
          <w:szCs w:val="20"/>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98"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experience quarterly fluctuations in operating results.</w:t>
      </w:r>
    </w:p>
    <w:p>
      <w:pPr>
        <w:spacing w:after="0" w:line="184" w:lineRule="exact"/>
        <w:rPr>
          <w:rFonts w:ascii="Arial" w:cs="Arial" w:eastAsia="Arial" w:hAnsi="Arial"/>
          <w:sz w:val="18"/>
          <w:szCs w:val="18"/>
          <w:color w:val="auto"/>
        </w:rPr>
      </w:pPr>
    </w:p>
    <w:p>
      <w:pPr>
        <w:ind w:left="900" w:right="20" w:hanging="263"/>
        <w:spacing w:after="0" w:line="26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Efforts to attract new clients may be unsuccessful.</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affect our gross profit, gross margin and results of operations.</w:t>
      </w:r>
    </w:p>
    <w:p>
      <w:pPr>
        <w:spacing w:after="0" w:line="198" w:lineRule="exact"/>
        <w:rPr>
          <w:rFonts w:ascii="Arial" w:cs="Arial" w:eastAsia="Arial" w:hAnsi="Arial"/>
          <w:sz w:val="18"/>
          <w:szCs w:val="18"/>
          <w:color w:val="auto"/>
        </w:rPr>
      </w:pPr>
    </w:p>
    <w:p>
      <w:pPr>
        <w:ind w:left="900" w:right="880" w:hanging="263"/>
        <w:spacing w:after="0" w:line="26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financial and operating results are subject to seasonality and cyclicality.</w:t>
      </w:r>
    </w:p>
    <w:p>
      <w:pPr>
        <w:spacing w:after="0" w:line="198" w:lineRule="exact"/>
        <w:rPr>
          <w:rFonts w:ascii="Arial" w:cs="Arial" w:eastAsia="Arial" w:hAnsi="Arial"/>
          <w:sz w:val="18"/>
          <w:szCs w:val="18"/>
          <w:color w:val="auto"/>
        </w:rPr>
      </w:pPr>
    </w:p>
    <w:p>
      <w:pPr>
        <w:ind w:left="900" w:right="140" w:hanging="263"/>
        <w:spacing w:after="0" w:line="26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exposed to fluctuations in foreign currency exchange rates that could materially and adversely affect our cash flows and results of operations.</w:t>
      </w:r>
    </w:p>
    <w:p>
      <w:pPr>
        <w:spacing w:after="0" w:line="132"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184" w:lineRule="exact"/>
        <w:rPr>
          <w:rFonts w:ascii="Arial" w:cs="Arial" w:eastAsia="Arial" w:hAnsi="Arial"/>
          <w:sz w:val="18"/>
          <w:szCs w:val="18"/>
          <w:color w:val="auto"/>
        </w:rPr>
      </w:pPr>
    </w:p>
    <w:p>
      <w:pPr>
        <w:ind w:left="900" w:right="880" w:hanging="263"/>
        <w:spacing w:after="0" w:line="26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markets are highly competitive.</w:t>
      </w:r>
    </w:p>
    <w:p>
      <w:pPr>
        <w:spacing w:after="0" w:line="184" w:lineRule="exact"/>
        <w:rPr>
          <w:rFonts w:ascii="Arial" w:cs="Arial" w:eastAsia="Arial" w:hAnsi="Arial"/>
          <w:sz w:val="18"/>
          <w:szCs w:val="18"/>
          <w:color w:val="auto"/>
        </w:rPr>
      </w:pPr>
    </w:p>
    <w:p>
      <w:pPr>
        <w:ind w:left="900" w:right="560" w:hanging="263"/>
        <w:spacing w:after="0" w:line="26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32" w:lineRule="exact"/>
        <w:rPr>
          <w:rFonts w:ascii="Arial" w:cs="Arial" w:eastAsia="Arial" w:hAnsi="Arial"/>
          <w:sz w:val="18"/>
          <w:szCs w:val="18"/>
          <w:color w:val="auto"/>
        </w:rPr>
      </w:pPr>
    </w:p>
    <w:p>
      <w:pPr>
        <w:ind w:left="900" w:hanging="263"/>
        <w:spacing w:after="0" w:line="26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healthcare industry is rapidly evolving.</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184" w:lineRule="exact"/>
        <w:rPr>
          <w:rFonts w:ascii="Arial" w:cs="Arial" w:eastAsia="Arial" w:hAnsi="Arial"/>
          <w:sz w:val="18"/>
          <w:szCs w:val="18"/>
          <w:color w:val="auto"/>
        </w:rPr>
      </w:pPr>
    </w:p>
    <w:p>
      <w:pPr>
        <w:ind w:left="900" w:right="580" w:hanging="263"/>
        <w:spacing w:after="0" w:line="26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enter or expand into new verticals, including our relatively new business-to-business (B2B) payment vertical.</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could be consolidation in the payment processing or enablement industry.</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adversely impacted by worldwide global economic and political instability.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195" w:lineRule="exact"/>
        <w:rPr>
          <w:sz w:val="20"/>
          <w:szCs w:val="20"/>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184" w:lineRule="exact"/>
        <w:rPr>
          <w:rFonts w:ascii="Arial" w:cs="Arial" w:eastAsia="Arial" w:hAnsi="Arial"/>
          <w:sz w:val="18"/>
          <w:szCs w:val="18"/>
          <w:color w:val="auto"/>
        </w:rPr>
      </w:pPr>
    </w:p>
    <w:p>
      <w:pPr>
        <w:ind w:left="900" w:hanging="263"/>
        <w:spacing w:after="0" w:line="26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145" w:lineRule="exact"/>
        <w:rPr>
          <w:rFonts w:ascii="Arial" w:cs="Arial" w:eastAsia="Arial" w:hAnsi="Arial"/>
          <w:sz w:val="18"/>
          <w:szCs w:val="18"/>
          <w:color w:val="auto"/>
        </w:rPr>
      </w:pPr>
    </w:p>
    <w:p>
      <w:pPr>
        <w:ind w:left="900" w:right="100" w:hanging="263"/>
        <w:spacing w:after="0" w:line="26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management of our operating funds and those of our clients may be reliant on a limited number of our banking partners and other financial institutions.</w:t>
      </w:r>
    </w:p>
    <w:p>
      <w:pPr>
        <w:spacing w:after="0" w:line="132"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198" w:lineRule="exact"/>
        <w:rPr>
          <w:rFonts w:ascii="Arial" w:cs="Arial" w:eastAsia="Arial" w:hAnsi="Arial"/>
          <w:sz w:val="18"/>
          <w:szCs w:val="18"/>
          <w:color w:val="auto"/>
        </w:rPr>
      </w:pPr>
    </w:p>
    <w:p>
      <w:pPr>
        <w:ind w:left="900" w:right="180" w:hanging="263"/>
        <w:spacing w:after="0" w:line="26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32" w:lineRule="exact"/>
        <w:rPr>
          <w:rFonts w:ascii="Arial" w:cs="Arial" w:eastAsia="Arial" w:hAnsi="Arial"/>
          <w:sz w:val="18"/>
          <w:szCs w:val="18"/>
          <w:color w:val="auto"/>
        </w:rPr>
      </w:pPr>
    </w:p>
    <w:p>
      <w:pPr>
        <w:ind w:left="900" w:hanging="26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payment card networks fees or rules could harm our business.</w:t>
      </w:r>
    </w:p>
    <w:p>
      <w:pPr>
        <w:spacing w:after="0" w:line="184" w:lineRule="exact"/>
        <w:rPr>
          <w:rFonts w:ascii="Arial" w:cs="Arial" w:eastAsia="Arial" w:hAnsi="Arial"/>
          <w:sz w:val="18"/>
          <w:szCs w:val="18"/>
          <w:color w:val="auto"/>
        </w:rPr>
      </w:pPr>
    </w:p>
    <w:p>
      <w:pPr>
        <w:ind w:left="900" w:right="500" w:hanging="263"/>
        <w:spacing w:after="0" w:line="26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lose key members of our management team or are unable to attract and retain executives and employees we need to support our operations and growth, our business may be harmed.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181" w:lineRule="exact"/>
        <w:rPr>
          <w:sz w:val="20"/>
          <w:szCs w:val="20"/>
          <w:color w:val="auto"/>
        </w:rPr>
      </w:pPr>
    </w:p>
    <w:p>
      <w:pPr>
        <w:ind w:left="900" w:hanging="26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184" w:lineRule="exact"/>
        <w:rPr>
          <w:rFonts w:ascii="Arial" w:cs="Arial" w:eastAsia="Arial" w:hAnsi="Arial"/>
          <w:sz w:val="18"/>
          <w:szCs w:val="18"/>
          <w:color w:val="auto"/>
        </w:rPr>
      </w:pPr>
    </w:p>
    <w:p>
      <w:pPr>
        <w:ind w:left="900" w:right="140" w:hanging="263"/>
        <w:spacing w:after="0" w:line="26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governmental laws and requirements regarding economic and trade sanctions, anti-money laundering (AML), countering the financing of terrorism (CFT) and those applicable to a money service business (MSB).</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left="900" w:right="620" w:hanging="263"/>
        <w:spacing w:after="0" w:line="26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181" w:lineRule="exact"/>
        <w:rPr>
          <w:sz w:val="20"/>
          <w:szCs w:val="20"/>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develop and maintain proper effective internal control over financial reporting.</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198" w:lineRule="exact"/>
        <w:rPr>
          <w:rFonts w:ascii="Arial" w:cs="Arial" w:eastAsia="Arial" w:hAnsi="Arial"/>
          <w:sz w:val="18"/>
          <w:szCs w:val="18"/>
          <w:color w:val="auto"/>
        </w:rPr>
      </w:pPr>
    </w:p>
    <w:p>
      <w:pPr>
        <w:ind w:left="900" w:hanging="26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continue to incur increased costs as a public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81" w:lineRule="exact"/>
        <w:rPr>
          <w:sz w:val="20"/>
          <w:szCs w:val="20"/>
          <w:color w:val="auto"/>
        </w:rPr>
      </w:pPr>
    </w:p>
    <w:p>
      <w:pPr>
        <w:ind w:left="900" w:right="120" w:hanging="263"/>
        <w:spacing w:after="0" w:line="260"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19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$39.3 million and $28.1 million for the years ended December 31, 2022 and 2021, respectively, and $20.5 million during the six months ended June 30, 2023. In addition, as of June 30, 2023, we had an accumulated deficit of $185.7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including our transition to a large accelerated filer status as of December 31, 2022.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55"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volume of payments processed.</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185" w:lineRule="exact"/>
        <w:rPr>
          <w:sz w:val="20"/>
          <w:szCs w:val="20"/>
          <w:color w:val="auto"/>
        </w:rPr>
      </w:pPr>
    </w:p>
    <w:p>
      <w:pPr>
        <w:ind w:left="900" w:right="260" w:hanging="263"/>
        <w:spacing w:after="0" w:line="26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marketing, relationship management and client support, including an expansion of our sales organization, and new client support and payer retention initiatives;</w:t>
      </w:r>
    </w:p>
    <w:p>
      <w:pPr>
        <w:spacing w:after="0" w:line="132" w:lineRule="exact"/>
        <w:rPr>
          <w:rFonts w:ascii="Arial" w:cs="Arial" w:eastAsia="Arial" w:hAnsi="Arial"/>
          <w:sz w:val="18"/>
          <w:szCs w:val="18"/>
          <w:color w:val="auto"/>
        </w:rPr>
      </w:pPr>
    </w:p>
    <w:p>
      <w:pPr>
        <w:ind w:left="900" w:hanging="26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84" w:lineRule="exact"/>
        <w:rPr>
          <w:rFonts w:ascii="Arial" w:cs="Arial" w:eastAsia="Arial" w:hAnsi="Arial"/>
          <w:sz w:val="18"/>
          <w:szCs w:val="18"/>
          <w:color w:val="auto"/>
        </w:rPr>
      </w:pPr>
    </w:p>
    <w:p>
      <w:pPr>
        <w:ind w:left="900" w:right="240" w:hanging="263"/>
        <w:spacing w:after="0" w:line="26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expanding into more international markets;</w:t>
      </w:r>
    </w:p>
    <w:p>
      <w:pPr>
        <w:spacing w:after="0" w:line="198"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compliance and risk management; and</w:t>
      </w:r>
    </w:p>
    <w:p>
      <w:pPr>
        <w:spacing w:after="0" w:line="198" w:lineRule="exact"/>
        <w:rPr>
          <w:rFonts w:ascii="Arial" w:cs="Arial" w:eastAsia="Arial" w:hAnsi="Arial"/>
          <w:sz w:val="18"/>
          <w:szCs w:val="18"/>
          <w:color w:val="auto"/>
        </w:rPr>
      </w:pPr>
    </w:p>
    <w:p>
      <w:pPr>
        <w:ind w:left="900" w:hanging="26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administration, including increased insurance, legal and accounting expenses associated with being a public company.</w:t>
      </w:r>
    </w:p>
    <w:p>
      <w:pPr>
        <w:spacing w:after="0" w:line="18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34"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11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171"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cost-effectively acquire new clients and retain existing clients;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market share;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avoid pricing pressure on our solutions which would compress our margins;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market our solutions;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existing solutions and develop new solutions;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awareness of our brand and maintain our reputation;</w:t>
      </w:r>
    </w:p>
    <w:p>
      <w:pPr>
        <w:spacing w:after="0" w:line="184" w:lineRule="exact"/>
        <w:rPr>
          <w:rFonts w:ascii="Arial" w:cs="Arial" w:eastAsia="Arial" w:hAnsi="Arial"/>
          <w:sz w:val="18"/>
          <w:szCs w:val="18"/>
          <w:color w:val="auto"/>
        </w:rPr>
      </w:pPr>
    </w:p>
    <w:p>
      <w:pPr>
        <w:ind w:left="1020" w:right="100" w:hanging="503"/>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45"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 and respond to microeconomic and macroeconomic changes;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(IT) downtime, cybersecurity breaches, or labor stoppages;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manage foreign currency exchange risk;</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198" w:lineRule="exact"/>
        <w:rPr>
          <w:rFonts w:ascii="Arial" w:cs="Arial" w:eastAsia="Arial" w:hAnsi="Arial"/>
          <w:sz w:val="18"/>
          <w:szCs w:val="18"/>
          <w:color w:val="auto"/>
        </w:rPr>
      </w:pPr>
    </w:p>
    <w:p>
      <w:pPr>
        <w:ind w:left="1020" w:right="180" w:hanging="503"/>
        <w:spacing w:after="0" w:line="24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governmental laws and regulations, including with respect to employment, tax, competition, workplace and environmental, social and governance (ESG) matters;</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01"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 pandemics, such as COVID-19, or other public health emergencies;</w:t>
      </w:r>
    </w:p>
    <w:p>
      <w:pPr>
        <w:spacing w:after="0" w:line="184" w:lineRule="exact"/>
        <w:rPr>
          <w:rFonts w:ascii="Arial" w:cs="Arial" w:eastAsia="Arial" w:hAnsi="Arial"/>
          <w:sz w:val="18"/>
          <w:szCs w:val="18"/>
          <w:color w:val="auto"/>
        </w:rPr>
      </w:pPr>
    </w:p>
    <w:p>
      <w:pPr>
        <w:ind w:left="1020" w:right="220" w:hanging="503"/>
        <w:spacing w:after="0" w:line="26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45"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32" w:lineRule="exact"/>
        <w:rPr>
          <w:sz w:val="20"/>
          <w:szCs w:val="20"/>
          <w:color w:val="auto"/>
        </w:rPr>
      </w:pPr>
    </w:p>
    <w:p>
      <w:pPr>
        <w:ind w:right="120" w:firstLine="509"/>
        <w:spacing w:after="0" w:line="260"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section titled “Risk Factors”, our business and operating results will be adversely affected.</w:t>
      </w:r>
    </w:p>
    <w:p>
      <w:pPr>
        <w:spacing w:after="0" w:line="122"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p>
    <w:p>
      <w:pPr>
        <w:spacing w:after="0" w:line="15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p>
    <w:p>
      <w:pPr>
        <w:spacing w:after="0" w:line="15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p>
    <w:p>
      <w:pPr>
        <w:spacing w:after="0" w:line="162"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spacing w:after="0" w:line="140"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99"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expectations of investors or securities analysts or below any guidance we may provide to the market, the price of our common stock could decline substantially.</w:t>
      </w:r>
    </w:p>
    <w:p>
      <w:pPr>
        <w:spacing w:after="0" w:line="146"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p>
    <w:p>
      <w:pPr>
        <w:spacing w:after="0" w:line="144"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tuition payments;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our current and future solutions;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revenue mix in a particular quarter;</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slowdown in spending on IT and software by our current and/or prospective clients;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cycles and performance of our direct and indirect sales force;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budgeting and implementation cycles of our current or potential clients;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of renewals of contracts with our clients;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control and predict costs, including our operating expenses;</w:t>
      </w:r>
    </w:p>
    <w:p>
      <w:pPr>
        <w:spacing w:after="0" w:line="184" w:lineRule="exact"/>
        <w:rPr>
          <w:rFonts w:ascii="Arial" w:cs="Arial" w:eastAsia="Arial" w:hAnsi="Arial"/>
          <w:sz w:val="18"/>
          <w:szCs w:val="18"/>
          <w:color w:val="auto"/>
        </w:rPr>
      </w:pPr>
    </w:p>
    <w:p>
      <w:pPr>
        <w:ind w:left="1020" w:right="840" w:hanging="503"/>
        <w:spacing w:after="0" w:line="26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45"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successfully manage or integrate any acquisitions, including our acquisitions of WPM and Cohort Go;</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or publicity surrounding any pending or threatened lawsuits;</w:t>
      </w:r>
    </w:p>
    <w:p>
      <w:pPr>
        <w:spacing w:after="0" w:line="198" w:lineRule="exact"/>
        <w:rPr>
          <w:rFonts w:ascii="Arial" w:cs="Arial" w:eastAsia="Arial" w:hAnsi="Arial"/>
          <w:sz w:val="18"/>
          <w:szCs w:val="18"/>
          <w:color w:val="auto"/>
        </w:rPr>
      </w:pPr>
    </w:p>
    <w:p>
      <w:pPr>
        <w:ind w:left="1020" w:hanging="503"/>
        <w:spacing w:after="0" w:line="26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 including inflation and fluctuations in supply chains;</w:t>
      </w:r>
    </w:p>
    <w:p>
      <w:pPr>
        <w:spacing w:after="0" w:line="13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level of scrutiny applied by regulators and investors on our ESG program;</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events, including those resulting from climate change or geopolitical events;</w:t>
      </w:r>
    </w:p>
    <w:p>
      <w:pPr>
        <w:spacing w:after="0" w:line="198" w:lineRule="exact"/>
        <w:rPr>
          <w:rFonts w:ascii="Arial" w:cs="Arial" w:eastAsia="Arial" w:hAnsi="Arial"/>
          <w:sz w:val="18"/>
          <w:szCs w:val="18"/>
          <w:color w:val="auto"/>
        </w:rPr>
      </w:pPr>
    </w:p>
    <w:p>
      <w:pPr>
        <w:ind w:left="1020" w:right="320" w:hanging="503"/>
        <w:spacing w:after="0" w:line="24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expected or actual extended federal government shutdowns, partisan gridlock that results in the inability of Congress to take action or changes to government, which among other things could impact visa issuances and educational financial aid payments; and</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pandemics, such as COVID-19, or other public health emergencies and the responses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-208280</wp:posOffset>
            </wp:positionV>
            <wp:extent cx="3175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16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profit, gross margin and results of operations.</w:t>
      </w:r>
    </w:p>
    <w:p>
      <w:pPr>
        <w:spacing w:after="0" w:line="18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3"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1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45"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56" w:lineRule="exact"/>
        <w:rPr>
          <w:sz w:val="20"/>
          <w:szCs w:val="20"/>
          <w:color w:val="auto"/>
        </w:rPr>
      </w:pPr>
    </w:p>
    <w:p>
      <w:pPr>
        <w:ind w:right="1100"/>
        <w:spacing w:after="0" w:line="285"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9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18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 During the COVID-19 pandemic, we initially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However, with the abatement of the pandemic, educational institutions have, for the most part, returned to their normal billing cycles and payment due dates. Many higher education institutions have mandated full vaccination to promote normal operations and allowed students from abroad to return to their facilities.</w:t>
      </w:r>
    </w:p>
    <w:p>
      <w:pPr>
        <w:spacing w:after="0" w:line="147" w:lineRule="exact"/>
        <w:rPr>
          <w:sz w:val="20"/>
          <w:szCs w:val="20"/>
          <w:color w:val="auto"/>
        </w:rPr>
      </w:pPr>
    </w:p>
    <w:p>
      <w:pPr>
        <w:ind w:right="760"/>
        <w:spacing w:after="0" w:line="285"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11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during the quarter ended June 30, 2023, as the U.S. Dollar strengthened against several currencies, including the British Pound, relative to the same period in the prior year, these foreign exchange impacts reduced our reported revenue in U.S. Dollars by approximately $1.2 million compared to the quarter ended June 30, 2022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including the recent depreciation of the Russian ruble, could result in the dollar equivalent of our expenses being higher which may not be offset by additional revenue earned in the local currency. This could have a negative impact on our reported results of operations.</w:t>
      </w:r>
    </w:p>
    <w:p>
      <w:pPr>
        <w:spacing w:after="0" w:line="151"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49"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57"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9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8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know-your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5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Recent instability and volatility in the banking and financial services sectors, including bank failures, have increased uncertainty in the global economy and increased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spacing w:after="0" w:line="167"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81"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81"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64" w:lineRule="exact"/>
        <w:rPr>
          <w:sz w:val="20"/>
          <w:szCs w:val="20"/>
          <w:color w:val="auto"/>
        </w:rPr>
      </w:pPr>
    </w:p>
    <w:p>
      <w:pPr>
        <w:jc w:val="both"/>
        <w:ind w:right="180" w:firstLine="509"/>
        <w:spacing w:after="0" w:line="247" w:lineRule="auto"/>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3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Our estimates of market opportunity and our ability to capture a meaningful share of this payment volume may prove to be inaccurate, and even if the market in which we compete achieves the forecasted growth, our business could fail to grow at similar rates, if at all.</w:t>
      </w:r>
    </w:p>
    <w:p>
      <w:pPr>
        <w:spacing w:after="0" w:line="120"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spacing w:after="0" w:line="157"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99"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144" w:lineRule="exact"/>
        <w:rPr>
          <w:sz w:val="20"/>
          <w:szCs w:val="20"/>
          <w:color w:val="auto"/>
        </w:rPr>
      </w:pPr>
    </w:p>
    <w:p>
      <w:pPr>
        <w:ind w:left="900" w:right="100" w:hanging="263"/>
        <w:spacing w:after="0" w:line="243"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spacing w:after="0" w:line="160" w:lineRule="exact"/>
        <w:rPr>
          <w:rFonts w:ascii="Arial" w:cs="Arial" w:eastAsia="Arial" w:hAnsi="Arial"/>
          <w:sz w:val="18"/>
          <w:szCs w:val="18"/>
          <w:color w:val="auto"/>
        </w:rPr>
      </w:pPr>
    </w:p>
    <w:p>
      <w:pPr>
        <w:ind w:left="900" w:right="360" w:hanging="263"/>
        <w:spacing w:after="0" w:line="26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32" w:lineRule="exact"/>
        <w:rPr>
          <w:rFonts w:ascii="Arial" w:cs="Arial" w:eastAsia="Arial" w:hAnsi="Arial"/>
          <w:sz w:val="18"/>
          <w:szCs w:val="18"/>
          <w:color w:val="auto"/>
        </w:rPr>
      </w:pPr>
    </w:p>
    <w:p>
      <w:pPr>
        <w:ind w:left="900" w:right="220" w:hanging="263"/>
        <w:spacing w:after="0" w:line="24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Changing perceptions about in-person classes. Students may reject the opportunity to attend courses in person, when online or virtual classes are offered as an option, due to growing familiarity and perceived convenience of remote learning, the lingering impact of the COVID-19 pandemic or a lower price point for online classes.</w:t>
      </w:r>
    </w:p>
    <w:p>
      <w:pPr>
        <w:spacing w:after="0" w:line="143" w:lineRule="exact"/>
        <w:rPr>
          <w:rFonts w:ascii="Arial" w:cs="Arial" w:eastAsia="Arial" w:hAnsi="Arial"/>
          <w:sz w:val="18"/>
          <w:szCs w:val="18"/>
          <w:color w:val="auto"/>
        </w:rPr>
      </w:pPr>
    </w:p>
    <w:p>
      <w:pPr>
        <w:ind w:left="900" w:right="180" w:hanging="263"/>
        <w:spacing w:after="0" w:line="26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45" w:lineRule="exact"/>
        <w:rPr>
          <w:rFonts w:ascii="Arial" w:cs="Arial" w:eastAsia="Arial" w:hAnsi="Arial"/>
          <w:sz w:val="18"/>
          <w:szCs w:val="18"/>
          <w:color w:val="auto"/>
        </w:rPr>
      </w:pPr>
    </w:p>
    <w:p>
      <w:pPr>
        <w:ind w:left="900" w:hanging="263"/>
        <w:spacing w:after="0" w:line="243"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Declines in international student enrollment. The COVID-19 pandemic, including the emergence of variants and sub-variants, mobility restrictions imposed by health authorities, and restrictions on immigration or the award of student visas can negatively impact the cross-border education industry, and schools that rely on foreign student populations, will be negatively affected or may cease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jc w:val="both"/>
        <w:ind w:left="900" w:right="580" w:hanging="263"/>
        <w:spacing w:after="0" w:line="24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57"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International cross-border transaction revenue represents a significant part of our revenue; international regulations and restrictions that inhibit cross-border travel and relocation of international students, as well as ongoing political friction between China and the U.S. that have slowed the growth of Chinese students studying in the U.S. and may have resulted in changes in Chinese student education destinations, have had and may continue to have an impact on our revenue growth.</w:t>
      </w:r>
    </w:p>
    <w:p>
      <w:pPr>
        <w:spacing w:after="0" w:line="14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139"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3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5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14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6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46" w:lineRule="exact"/>
        <w:rPr>
          <w:sz w:val="20"/>
          <w:szCs w:val="20"/>
          <w:color w:val="auto"/>
        </w:rPr>
      </w:pPr>
    </w:p>
    <w:p>
      <w:pPr>
        <w:ind w:right="400" w:firstLine="509"/>
        <w:spacing w:after="0" w:line="247" w:lineRule="auto"/>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44"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it may become difficult for us to be paid in full in a timely manner, if at all. For instance, in May 2023, Client A filed for voluntary petitions for reorganization under Chapter 11 of the U.S. Bankruptcy Code (Chapter 11). As of June 30, 2022, we had $3.8 million recorded within accounts receivable, net of allowance. Client A may take actions in its Chapter 11 proceeding to terminate or renegotiate its agreements with us and/or seek to reduce our claims for services to which we may be entitled.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19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Events like regional or larger scale conflicts, war or other military conflict, including the conflict between Russia and Ukraine, terrorist attacks, mass shooting incidents, natural disasters, such as hurricanes, earthquakes, fires, droughts, floods and volcanic activity, including events resulting from climate change, and travel-related health events, such as the COVID-19 pandemic, have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from our travel vertical represents less than 10% of our total payment volume.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5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were negatively impacted. During the years ended December 31, 2021 and 2022, we witnessed recoveries in our financial results and growth in revenue and payment volumes in our travel payment vertical. While improvements have been noted, we are still experiencing impacts to our travel clients. We expect the continued effects of the COVID-19 pandemic, including the emergence and spread of variants or sub-variants of COVID-19, may continue to negatively impact our business throughout 2023, but the extent and duration of such impact in the long term is largely uncertain as it is dependent on future developments that cannot be accurately predicted at this time, including, but not limited to, the emergence of variants and sub-variants, international regulations and restrictions that inhibit cross-border travel, global availability of vaccines and administration of vaccination, the rate of "herd immunity" and the impact of these and other factors on travel behavior. Our clients and their customers who are affected by the ongoing COVID-19 pandemic may continue to demonstrate changed behavior even after the COVID-19 outbreak has subsided.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jc w:val="both"/>
        <w:ind w:right="280"/>
        <w:spacing w:after="0" w:line="260"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payment vertical, or if our solutions for any new vertical fail to achieve market acceptance, our operating results could be adversely affected and we may be required to reconsider our growth strategy.</w:t>
      </w:r>
    </w:p>
    <w:p>
      <w:pPr>
        <w:spacing w:after="0" w:line="134"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payment vertical represents a relatively new market for us, and we have limited prior experience with the key enterprise resource planning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5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4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57"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9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global economic and political instability.</w:t>
      </w:r>
    </w:p>
    <w:p>
      <w:pPr>
        <w:spacing w:after="0" w:line="19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As we seek to continue to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the banking ecosystem or credit, equity and foreign exchange markets, bankruptcies and outbreaks of variants of COVID-19, as well as war, terrorist activity, political or social unrest, civil strife and other geopolitical uncertainty, including the effects of ongoing United States-China diplomatic and trade friction and social unrest in China,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320" w:firstLine="509"/>
        <w:spacing w:after="0" w:line="241" w:lineRule="auto"/>
        <w:rPr>
          <w:sz w:val="20"/>
          <w:szCs w:val="20"/>
          <w:color w:val="auto"/>
        </w:rPr>
      </w:pPr>
      <w:r>
        <w:rPr>
          <w:rFonts w:ascii="Arial" w:cs="Arial" w:eastAsia="Arial" w:hAnsi="Arial"/>
          <w:sz w:val="18"/>
          <w:szCs w:val="18"/>
          <w:color w:val="auto"/>
        </w:rPr>
        <w:t>For example, on February 24, 2022, Russian military forces invaded Ukraine, and continued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spacing w:after="0" w:line="162"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are actively monitoring the situation in Ukraine and assessing its impact on our business, but to date have not experienced any material impact. We have no way to predict the progress or outcome of the conflict in Ukraine or its impacts in Ukraine, Russia or Belarus as the conflict,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this conflict continue to develop and potentially spread, both in Europe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this conflict and any of the abovementioned factors could have a material adverse effect on our business, financial condition and results of operations, particularly to the extent the conflict escalates to involve additional countries, further economic sanctions and wider military conflict. Any such disruptions could also magnify the impact of other risks described in this Quarterly Report on Form 10-Q.</w:t>
      </w:r>
    </w:p>
    <w:p>
      <w:pPr>
        <w:spacing w:after="0" w:line="153"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addition, political instability or adverse political developments and new or continued economic deterioration, including as a result of the withdrawal by many global central banks of stimulus measures deployed during the peak of the COVID-19 pandemic, in any of the countries in which we operate could harm our business, results of operations and financial condition.</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More recently, inflation rates have increased to levels not seen in several years, which may result in decreased demand for our solutions, increases in our operating costs including our labor costs, constrained credit and liquidity, and volatility in financial markets and the banking ecosystem. The United States Federal Reserve has raised, and may again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the COVID-19 pandemic and concerns over inflation risk. A sharp rise in interest rates could have an adverse impact on the fair market value of securities we may invest in as part of our portfolio investments, which could adversely affect our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1" w:lineRule="exact"/>
        <w:rPr>
          <w:sz w:val="20"/>
          <w:szCs w:val="20"/>
          <w:color w:val="auto"/>
        </w:rPr>
      </w:pPr>
    </w:p>
    <w:p>
      <w:pPr>
        <w:ind w:right="900"/>
        <w:spacing w:after="0" w:line="285"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9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p>
    <w:p>
      <w:pPr>
        <w:spacing w:after="0" w:line="16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1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For the year ended December 31, 2022, we processed over $18.1 billion in payments on our solutions, compared to approximately $13.2 billion for the year ended December 31, 2021. For the six months ended June 30, 2023, we processed approximately $9.8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the client has gone out of business, we may be unable to collect on the chargeback and will bear the economic loss, which will negatively impact our business.</w:t>
      </w:r>
    </w:p>
    <w:p>
      <w:pPr>
        <w:spacing w:after="0" w:line="155" w:lineRule="exact"/>
        <w:rPr>
          <w:sz w:val="20"/>
          <w:szCs w:val="20"/>
          <w:color w:val="auto"/>
        </w:rPr>
      </w:pPr>
    </w:p>
    <w:p>
      <w:pPr>
        <w:jc w:val="both"/>
        <w:ind w:right="560" w:firstLine="509"/>
        <w:spacing w:after="0" w:line="243"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147" w:lineRule="exact"/>
        <w:rPr>
          <w:sz w:val="20"/>
          <w:szCs w:val="20"/>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198"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lost or delayed market acceptance and acquisition of new clients;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legal claims against us;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enforcement action; or</w:t>
      </w:r>
    </w:p>
    <w:p>
      <w:pPr>
        <w:spacing w:after="0" w:line="198" w:lineRule="exact"/>
        <w:rPr>
          <w:rFonts w:ascii="Arial" w:cs="Arial" w:eastAsia="Arial" w:hAnsi="Arial"/>
          <w:sz w:val="18"/>
          <w:szCs w:val="18"/>
          <w:color w:val="auto"/>
        </w:rPr>
      </w:pPr>
    </w:p>
    <w:p>
      <w:pPr>
        <w:ind w:left="900" w:right="480" w:hanging="263"/>
        <w:spacing w:after="0" w:line="260"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32"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34"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Our management of our operating funds and client funds may be reliant on a limited number of our banking partners and other financial institutions.</w:t>
      </w:r>
    </w:p>
    <w:p>
      <w:pPr>
        <w:spacing w:after="0" w:line="11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our own funds or if client funds were in any way impacted, we could be adversely impacted, including by experiencing reputational damage and claims for restitution, potentially interfering with our existing client relationships or making us less attractive to potential new clients.</w:t>
      </w:r>
    </w:p>
    <w:p>
      <w:pPr>
        <w:spacing w:after="0" w:line="14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Volatility in the banking and financial services sectors may impact our bank partnerships and relationships, which could adversely affect our operations and liquidity.</w:t>
      </w:r>
    </w:p>
    <w:p>
      <w:pPr>
        <w:spacing w:after="0" w:line="99" w:lineRule="exact"/>
        <w:rPr>
          <w:sz w:val="20"/>
          <w:szCs w:val="20"/>
          <w:color w:val="auto"/>
        </w:rPr>
      </w:pPr>
    </w:p>
    <w:p>
      <w:pPr>
        <w:jc w:val="both"/>
        <w:ind w:right="280" w:firstLine="509"/>
        <w:spacing w:after="0" w:line="247" w:lineRule="auto"/>
        <w:rPr>
          <w:sz w:val="20"/>
          <w:szCs w:val="20"/>
          <w:color w:val="auto"/>
        </w:rPr>
      </w:pPr>
      <w:r>
        <w:rPr>
          <w:rFonts w:ascii="Arial" w:cs="Arial" w:eastAsia="Arial" w:hAnsi="Arial"/>
          <w:sz w:val="18"/>
          <w:szCs w:val="18"/>
          <w:color w:val="auto"/>
        </w:rPr>
        <w:t>Recent instability and volatility in the banking and financial services sectors, including limited liquidity, defaults, non-performance or other adverse developments that affect the banking ecosystem, or concerns or rumors about any such events or other similar risks, have increased uncertainty in the global economy and increased the risk of a recession.</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Volatility in the banking and financial services sectors may impact our bank partnerships and relationships, which could adversely affect our operations and liquidity.</w:t>
      </w:r>
    </w:p>
    <w:p>
      <w:pPr>
        <w:spacing w:after="0" w:line="14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access to our cash and cash equivalents and client funds could be significantly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claims or litigation, which may be costly to address.</w:t>
      </w:r>
    </w:p>
    <w:p>
      <w:pPr>
        <w:spacing w:after="0" w:line="151"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spacing w:after="0" w:line="144"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3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50"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5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2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the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6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61"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57"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68" w:lineRule="exact"/>
        <w:rPr>
          <w:sz w:val="20"/>
          <w:szCs w:val="20"/>
          <w:color w:val="auto"/>
        </w:rPr>
      </w:pPr>
    </w:p>
    <w:p>
      <w:pPr>
        <w:ind w:right="80" w:firstLine="509"/>
        <w:spacing w:after="0" w:line="260"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still not currently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aware of any impact that the SolarWinds supply chain attack had on our business, the scope of the attack is still undetermined. Therefore, there is residual risk that we could experience a security breach arising from the SolarWinds supply chain attack.</w:t>
      </w:r>
    </w:p>
    <w:p>
      <w:pPr>
        <w:spacing w:after="0" w:line="146"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5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5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can disrupt our business and harm our competitive position.</w:t>
      </w:r>
    </w:p>
    <w:p>
      <w:pPr>
        <w:spacing w:after="0" w:line="181"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increasingly seek to compromise our security controls or gain unauthorized access to our sensitive corporate information or our clients’ (or our clients’ customers’) data.</w:t>
      </w:r>
    </w:p>
    <w:p>
      <w:pPr>
        <w:spacing w:after="0" w:line="14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spacing w:after="0" w:line="14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FlyMates or other third parties, which could expose us to material financial losses and liability and otherwise harm our business.</w:t>
      </w:r>
    </w:p>
    <w:p>
      <w:pPr>
        <w:spacing w:after="0" w:line="99"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FlyMates and payment partners or third parties.</w:t>
      </w:r>
    </w:p>
    <w:p>
      <w:pPr>
        <w:spacing w:after="0" w:line="167"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spacing w:after="0" w:line="153"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0"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34"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37" w:lineRule="exact"/>
        <w:rPr>
          <w:sz w:val="20"/>
          <w:szCs w:val="20"/>
          <w:color w:val="auto"/>
        </w:rPr>
      </w:pPr>
    </w:p>
    <w:p>
      <w:pPr>
        <w:ind w:right="80" w:firstLine="509"/>
        <w:spacing w:after="0" w:line="260"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and modifications. Our engineering and software development teams operate in different locations across the globe (including teams in Valencia, Spain, Cluj, Romania, Chicago, Tel Aviv, Israel and Brisbane,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18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are required to comply with Mastercard, American Express, and Visa payment card network operating rules and the rules of other regional card (such as China UnionPay or Japan Credit Bureau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4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3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47" w:lineRule="exact"/>
        <w:rPr>
          <w:sz w:val="20"/>
          <w:szCs w:val="20"/>
          <w:color w:val="auto"/>
        </w:rPr>
      </w:pPr>
    </w:p>
    <w:p>
      <w:pPr>
        <w:jc w:val="both"/>
        <w:ind w:right="520" w:firstLine="509"/>
        <w:spacing w:after="0" w:line="247" w:lineRule="auto"/>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4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6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If any of the third party software providers change the features of their application programming interfaces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ind w:right="440"/>
        <w:spacing w:after="0" w:line="285"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believe that further developing, maintaining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143"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9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In August 2023, we announced that Michael Ellis, our Chief Financial Officer, would be transitioning from such position in 2024. We plan to commence a search for a new Chief Financial Officer, but we may experience difficulties or delays in identifying a qualified replacement. This or other changes in our senior management may be disruptive to our business, and, if we are unable to manage an orderly transition, our business may be adversely affected.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62"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9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9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95" w:lineRule="exact"/>
        <w:rPr>
          <w:sz w:val="20"/>
          <w:szCs w:val="20"/>
          <w:color w:val="auto"/>
        </w:rPr>
      </w:pPr>
    </w:p>
    <w:p>
      <w:pPr>
        <w:ind w:right="300" w:firstLine="509"/>
        <w:spacing w:after="0" w:line="289" w:lineRule="auto"/>
        <w:rPr>
          <w:sz w:val="20"/>
          <w:szCs w:val="20"/>
          <w:color w:val="auto"/>
        </w:rPr>
      </w:pPr>
      <w:r>
        <w:rPr>
          <w:rFonts w:ascii="Arial" w:cs="Arial" w:eastAsia="Arial" w:hAnsi="Arial"/>
          <w:sz w:val="17"/>
          <w:szCs w:val="17"/>
          <w:color w:val="auto"/>
        </w:rPr>
        <w:t>We devote significant resources to establish relationships with new clients and deepen relationships with existing clients. The sales cycles of our solutions tend to vary depending on the client industry sector which may make forecasting more complex and uncertain.</w:t>
      </w:r>
    </w:p>
    <w:p>
      <w:pPr>
        <w:spacing w:after="0" w:line="11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the COVID-19 outbreak, increased inflationary conditions, recession concern</w:t>
      </w:r>
      <w:r>
        <w:rPr>
          <w:rFonts w:ascii="Arial" w:cs="Arial" w:eastAsia="Arial" w:hAnsi="Arial"/>
          <w:sz w:val="18"/>
          <w:szCs w:val="18"/>
          <w:u w:val="single" w:color="auto"/>
          <w:color w:val="auto"/>
        </w:rPr>
        <w:t>s</w:t>
      </w:r>
      <w:r>
        <w:rPr>
          <w:rFonts w:ascii="Arial" w:cs="Arial" w:eastAsia="Arial" w:hAnsi="Arial"/>
          <w:sz w:val="18"/>
          <w:szCs w:val="18"/>
          <w:color w:val="auto"/>
        </w:rPr>
        <w:t xml:space="preserve"> and the escalation of hostilities between Russia and Ukraine),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58"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p>
    <w:p>
      <w:pPr>
        <w:spacing w:after="0" w:line="162" w:lineRule="exact"/>
        <w:rPr>
          <w:sz w:val="20"/>
          <w:szCs w:val="20"/>
          <w:color w:val="auto"/>
        </w:rPr>
      </w:pPr>
    </w:p>
    <w:p>
      <w:pPr>
        <w:ind w:right="360" w:firstLine="509"/>
        <w:spacing w:after="0" w:line="241" w:lineRule="auto"/>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39"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57"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9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6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p>
    <w:p>
      <w:pPr>
        <w:spacing w:after="0" w:line="137"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9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8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acquisitions we undertake or have recently completed, including the acquisitions of Cohort Go in July 2022 and WPM in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2021, will likely be accompanied by business risks which may include, among other things:</w:t>
      </w:r>
    </w:p>
    <w:p>
      <w:pPr>
        <w:spacing w:after="0" w:line="173" w:lineRule="exact"/>
        <w:rPr>
          <w:sz w:val="20"/>
          <w:szCs w:val="20"/>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184" w:lineRule="exact"/>
        <w:rPr>
          <w:rFonts w:ascii="Arial" w:cs="Arial" w:eastAsia="Arial" w:hAnsi="Arial"/>
          <w:sz w:val="18"/>
          <w:szCs w:val="18"/>
          <w:color w:val="auto"/>
        </w:rPr>
      </w:pPr>
    </w:p>
    <w:p>
      <w:pPr>
        <w:ind w:left="900" w:right="120" w:hanging="263"/>
        <w:spacing w:after="0" w:line="26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32" w:lineRule="exact"/>
        <w:rPr>
          <w:rFonts w:ascii="Arial" w:cs="Arial" w:eastAsia="Arial" w:hAnsi="Arial"/>
          <w:sz w:val="18"/>
          <w:szCs w:val="18"/>
          <w:color w:val="auto"/>
        </w:rPr>
      </w:pPr>
    </w:p>
    <w:p>
      <w:pPr>
        <w:ind w:left="900" w:right="1020" w:hanging="263"/>
        <w:spacing w:after="0" w:line="26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184" w:lineRule="exact"/>
        <w:rPr>
          <w:rFonts w:ascii="Arial" w:cs="Arial" w:eastAsia="Arial" w:hAnsi="Arial"/>
          <w:sz w:val="18"/>
          <w:szCs w:val="18"/>
          <w:color w:val="auto"/>
        </w:rPr>
      </w:pPr>
    </w:p>
    <w:p>
      <w:pPr>
        <w:ind w:left="900" w:right="460" w:hanging="263"/>
        <w:spacing w:after="0" w:line="260"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left="900" w:right="600" w:hanging="263"/>
        <w:spacing w:after="0" w:line="260"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impairment of relationships with our clients, clients' customers, partners or suppliers or those of the acquired business; and</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19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 between Russia and Ukraine,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5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5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6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clients, expose us to liability, cause us to lose clients, or otherwise harm our business. In the event of damage or interruption to our solutions, our insurance policies may not adequately compensate us for any losses that we may incur.</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may experience financial losses due to a number of factors, including:</w:t>
      </w:r>
    </w:p>
    <w:p>
      <w:pPr>
        <w:spacing w:after="0" w:line="171"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supply chain impacts, including shortages of goods, raw materials, increased prices or delays in shipment;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to the availability and reliability of our network due to changes to normal operations;</w:t>
      </w:r>
    </w:p>
    <w:p>
      <w:pPr>
        <w:spacing w:after="0" w:line="117" w:lineRule="exact"/>
        <w:rPr>
          <w:rFonts w:ascii="Arial" w:cs="Arial" w:eastAsia="Arial" w:hAnsi="Arial"/>
          <w:sz w:val="18"/>
          <w:szCs w:val="18"/>
          <w:color w:val="auto"/>
        </w:rPr>
      </w:pPr>
    </w:p>
    <w:p>
      <w:pPr>
        <w:ind w:left="1020" w:right="280" w:hanging="503"/>
        <w:spacing w:after="0" w:line="24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cyber and payment fraud risk related to the lingering impact of the COVID-19 pandemic, as cybercriminals attempt DDoS related attacks, phishing scams and other disruptive actions, given the shift to online banking, e-commerce and other online activity, as well as more FlyMates working remotely as a result of the pandemic; and</w:t>
      </w:r>
    </w:p>
    <w:p>
      <w:pPr>
        <w:spacing w:after="0" w:line="76" w:lineRule="exact"/>
        <w:rPr>
          <w:rFonts w:ascii="Arial" w:cs="Arial" w:eastAsia="Arial" w:hAnsi="Arial"/>
          <w:sz w:val="18"/>
          <w:szCs w:val="18"/>
          <w:color w:val="auto"/>
        </w:rPr>
      </w:pPr>
    </w:p>
    <w:p>
      <w:pPr>
        <w:ind w:left="1020" w:hanging="503"/>
        <w:spacing w:after="0" w:line="269"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w:t>
      </w:r>
    </w:p>
    <w:p>
      <w:pPr>
        <w:spacing w:after="0" w:line="126"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5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49"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85"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30"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United States-China diplomatic and trade friction, heightened tensions between China and Taiwan and the escalation of the conflict between Russia and Ukraine, create a level of uncertainty, and potentially increased complexity, for multinational companies. These uncertainties could have a material adverse effect on our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business and our results of operations and financial condition. In addition, international operations are subject to various risks which could have a material adverse effect on those operations or our business as a whole, including:</w:t>
      </w:r>
    </w:p>
    <w:p>
      <w:pPr>
        <w:spacing w:after="0" w:line="146" w:lineRule="exact"/>
        <w:rPr>
          <w:sz w:val="20"/>
          <w:szCs w:val="20"/>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exchange rate volatility;</w:t>
      </w:r>
    </w:p>
    <w:p>
      <w:pPr>
        <w:spacing w:after="0" w:line="184" w:lineRule="exact"/>
        <w:rPr>
          <w:rFonts w:ascii="Arial" w:cs="Arial" w:eastAsia="Arial" w:hAnsi="Arial"/>
          <w:sz w:val="18"/>
          <w:szCs w:val="18"/>
          <w:color w:val="auto"/>
        </w:rPr>
      </w:pPr>
    </w:p>
    <w:p>
      <w:pPr>
        <w:ind w:left="900" w:right="20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economic conditions in the United States and globally, including economic slowdown, inflation, recession concerns and the disruption, volatility and tightening of credit and capital markets;</w:t>
      </w:r>
    </w:p>
    <w:p>
      <w:pPr>
        <w:spacing w:after="0" w:line="132"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related to government regulation or required compliance with local laws;</w:t>
      </w:r>
    </w:p>
    <w:p>
      <w:pPr>
        <w:spacing w:after="0" w:line="198" w:lineRule="exact"/>
        <w:rPr>
          <w:rFonts w:ascii="Arial" w:cs="Arial" w:eastAsia="Arial" w:hAnsi="Arial"/>
          <w:sz w:val="18"/>
          <w:szCs w:val="18"/>
          <w:color w:val="auto"/>
        </w:rPr>
      </w:pPr>
    </w:p>
    <w:p>
      <w:pPr>
        <w:ind w:left="900" w:right="8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32"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184" w:lineRule="exact"/>
        <w:rPr>
          <w:rFonts w:ascii="Arial" w:cs="Arial" w:eastAsia="Arial" w:hAnsi="Arial"/>
          <w:sz w:val="18"/>
          <w:szCs w:val="18"/>
          <w:color w:val="auto"/>
        </w:rPr>
      </w:pPr>
    </w:p>
    <w:p>
      <w:pPr>
        <w:ind w:left="900" w:right="680" w:hanging="263"/>
        <w:spacing w:after="0" w:line="28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23" w:lineRule="exact"/>
        <w:rPr>
          <w:rFonts w:ascii="Arial" w:cs="Arial" w:eastAsia="Arial" w:hAnsi="Arial"/>
          <w:sz w:val="17"/>
          <w:szCs w:val="17"/>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184" w:lineRule="exact"/>
        <w:rPr>
          <w:rFonts w:ascii="Arial" w:cs="Arial" w:eastAsia="Arial" w:hAnsi="Arial"/>
          <w:sz w:val="18"/>
          <w:szCs w:val="18"/>
          <w:color w:val="auto"/>
        </w:rPr>
      </w:pPr>
    </w:p>
    <w:p>
      <w:pPr>
        <w:ind w:left="900" w:right="22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government sanctions on our ability to offer services in a region, such as the sanctions recently announced by the U.S. and other countries against Russia;</w:t>
      </w:r>
    </w:p>
    <w:p>
      <w:pPr>
        <w:spacing w:after="0" w:line="132" w:lineRule="exact"/>
        <w:rPr>
          <w:rFonts w:ascii="Arial" w:cs="Arial" w:eastAsia="Arial" w:hAnsi="Arial"/>
          <w:sz w:val="18"/>
          <w:szCs w:val="18"/>
          <w:color w:val="auto"/>
        </w:rPr>
      </w:pPr>
    </w:p>
    <w:p>
      <w:pPr>
        <w:ind w:left="900" w:right="24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184" w:lineRule="exact"/>
        <w:rPr>
          <w:rFonts w:ascii="Arial" w:cs="Arial" w:eastAsia="Arial" w:hAnsi="Arial"/>
          <w:sz w:val="18"/>
          <w:szCs w:val="18"/>
          <w:color w:val="auto"/>
        </w:rPr>
      </w:pPr>
    </w:p>
    <w:p>
      <w:pPr>
        <w:ind w:left="900" w:right="30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32" w:lineRule="exact"/>
        <w:rPr>
          <w:rFonts w:ascii="Arial" w:cs="Arial" w:eastAsia="Arial" w:hAnsi="Arial"/>
          <w:sz w:val="18"/>
          <w:szCs w:val="18"/>
          <w:color w:val="auto"/>
        </w:rPr>
      </w:pPr>
    </w:p>
    <w:p>
      <w:pPr>
        <w:ind w:left="900" w:right="32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diplomatic friction, political or social unrest, war or other military conflict, including an escalation of the conflict between Russia and Ukraine, economic instability, repression, or human rights issues;</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184" w:lineRule="exact"/>
        <w:rPr>
          <w:rFonts w:ascii="Arial" w:cs="Arial" w:eastAsia="Arial" w:hAnsi="Arial"/>
          <w:sz w:val="18"/>
          <w:szCs w:val="18"/>
          <w:color w:val="auto"/>
        </w:rPr>
      </w:pPr>
    </w:p>
    <w:p>
      <w:pPr>
        <w:ind w:left="900" w:right="38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32"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198" w:lineRule="exact"/>
        <w:rPr>
          <w:rFonts w:ascii="Arial" w:cs="Arial" w:eastAsia="Arial" w:hAnsi="Arial"/>
          <w:sz w:val="18"/>
          <w:szCs w:val="18"/>
          <w:color w:val="auto"/>
        </w:rPr>
      </w:pPr>
    </w:p>
    <w:p>
      <w:pPr>
        <w:ind w:left="90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32"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84" w:lineRule="exact"/>
        <w:rPr>
          <w:rFonts w:ascii="Arial" w:cs="Arial" w:eastAsia="Arial" w:hAnsi="Arial"/>
          <w:sz w:val="18"/>
          <w:szCs w:val="18"/>
          <w:color w:val="auto"/>
        </w:rPr>
      </w:pPr>
    </w:p>
    <w:p>
      <w:pPr>
        <w:ind w:left="900" w:right="80" w:hanging="263"/>
        <w:spacing w:after="0" w:line="241"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recently enacted Inflation Reduction Act of 2022, which includes a minimum corporate tax which could result in an additional tax liability in a given year;</w:t>
      </w:r>
    </w:p>
    <w:p>
      <w:pPr>
        <w:spacing w:after="0" w:line="162" w:lineRule="exact"/>
        <w:rPr>
          <w:rFonts w:ascii="Arial" w:cs="Arial" w:eastAsia="Arial" w:hAnsi="Arial"/>
          <w:sz w:val="18"/>
          <w:szCs w:val="18"/>
          <w:color w:val="auto"/>
        </w:rPr>
      </w:pPr>
    </w:p>
    <w:p>
      <w:pPr>
        <w:ind w:left="900" w:right="460" w:hanging="263"/>
        <w:spacing w:after="0" w:line="260"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expected or actual extended federal government shutdowns, partisan gridlock that results in the inability of Congress to take action or changes to government policy;</w:t>
      </w:r>
    </w:p>
    <w:p>
      <w:pPr>
        <w:spacing w:after="0" w:line="132" w:lineRule="exact"/>
        <w:rPr>
          <w:rFonts w:ascii="Arial" w:cs="Arial" w:eastAsia="Arial" w:hAnsi="Arial"/>
          <w:sz w:val="18"/>
          <w:szCs w:val="18"/>
          <w:color w:val="auto"/>
        </w:rPr>
      </w:pPr>
    </w:p>
    <w:p>
      <w:pPr>
        <w:ind w:left="900" w:hanging="26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left="900" w:hanging="26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difficulties in collecting accounts receivable.</w:t>
      </w:r>
    </w:p>
    <w:p>
      <w:pPr>
        <w:spacing w:after="0" w:line="19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5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40"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52"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99"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Consumer Financial Protection Bureau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in our Annual Report on Form 10-K for the year ended December 31, 2022.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6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Certain of our subsidiaries are registered with the U.S. Department of the Treasury’s Financial Crimes Enforcement Network (FinCEN). Our subsidiary Flywire Global Corp. has obtained licenses to operate as a money transmitter (or the statutory equivalent) in 42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right="920"/>
        <w:spacing w:after="0" w:line="260" w:lineRule="auto"/>
        <w:rPr>
          <w:sz w:val="20"/>
          <w:szCs w:val="20"/>
          <w:color w:val="auto"/>
        </w:rPr>
      </w:pPr>
      <w:r>
        <w:rPr>
          <w:rFonts w:ascii="Arial" w:cs="Arial" w:eastAsia="Arial" w:hAnsi="Arial"/>
          <w:sz w:val="18"/>
          <w:szCs w:val="18"/>
          <w:color w:val="auto"/>
        </w:rPr>
        <w:t>approvals, and we could be subject to fines or other enforcement action if we are found to violate disclosure, reporting, AML, CFT, capitalization, corporate governance, or other requirements of such licenses.</w:t>
      </w:r>
    </w:p>
    <w:p>
      <w:pPr>
        <w:spacing w:after="0" w:line="146"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in our Annual Report on Form 10-K for the year ended December 31, 2022.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5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7"/>
          <w:szCs w:val="17"/>
          <w:color w:val="auto"/>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29"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1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p>
    <w:p>
      <w:pPr>
        <w:spacing w:after="0" w:line="153" w:lineRule="exact"/>
        <w:rPr>
          <w:sz w:val="20"/>
          <w:szCs w:val="20"/>
          <w:color w:val="auto"/>
        </w:rPr>
      </w:pPr>
    </w:p>
    <w:p>
      <w:pPr>
        <w:ind w:right="220" w:firstLine="509"/>
        <w:spacing w:after="0" w:line="260" w:lineRule="auto"/>
        <w:rPr>
          <w:sz w:val="20"/>
          <w:szCs w:val="20"/>
          <w:color w:val="auto"/>
        </w:rPr>
      </w:pPr>
      <w:r>
        <w:rPr>
          <w:rFonts w:ascii="Arial" w:cs="Arial" w:eastAsia="Arial" w:hAnsi="Arial"/>
          <w:sz w:val="18"/>
          <w:szCs w:val="18"/>
          <w:color w:val="auto"/>
        </w:rPr>
        <w:t>Government agencies may impose new or additional rules on money transmission, which may increase our costs of doing business, including, but not limited to regulations that:</w:t>
      </w:r>
    </w:p>
    <w:p>
      <w:pPr>
        <w:spacing w:after="0" w:line="132" w:lineRule="exact"/>
        <w:rPr>
          <w:sz w:val="20"/>
          <w:szCs w:val="20"/>
          <w:color w:val="auto"/>
        </w:rPr>
      </w:pPr>
    </w:p>
    <w:p>
      <w:pPr>
        <w:ind w:left="900" w:right="260" w:hanging="263"/>
        <w:spacing w:after="0" w:line="260"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45" w:lineRule="exact"/>
        <w:rPr>
          <w:rFonts w:ascii="Arial" w:cs="Arial" w:eastAsia="Arial" w:hAnsi="Arial"/>
          <w:sz w:val="18"/>
          <w:szCs w:val="18"/>
          <w:color w:val="auto"/>
        </w:rPr>
      </w:pPr>
    </w:p>
    <w:p>
      <w:pPr>
        <w:ind w:left="900" w:hanging="26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additional client identification and client due diligence requirements;</w:t>
      </w:r>
    </w:p>
    <w:p>
      <w:pPr>
        <w:spacing w:after="0" w:line="184" w:lineRule="exact"/>
        <w:rPr>
          <w:rFonts w:ascii="Arial" w:cs="Arial" w:eastAsia="Arial" w:hAnsi="Arial"/>
          <w:sz w:val="18"/>
          <w:szCs w:val="18"/>
          <w:color w:val="auto"/>
        </w:rPr>
      </w:pPr>
    </w:p>
    <w:p>
      <w:pPr>
        <w:ind w:left="900" w:hanging="26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184" w:lineRule="exact"/>
        <w:rPr>
          <w:rFonts w:ascii="Arial" w:cs="Arial" w:eastAsia="Arial" w:hAnsi="Arial"/>
          <w:sz w:val="18"/>
          <w:szCs w:val="18"/>
          <w:color w:val="auto"/>
        </w:rPr>
      </w:pPr>
    </w:p>
    <w:p>
      <w:pPr>
        <w:ind w:left="900" w:right="780" w:hanging="263"/>
        <w:spacing w:after="0" w:line="260"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890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368" w:lineRule="exact"/>
        <w:rPr>
          <w:sz w:val="20"/>
          <w:szCs w:val="20"/>
          <w:color w:val="auto"/>
        </w:rPr>
      </w:pPr>
    </w:p>
    <w:p>
      <w:pPr>
        <w:ind w:left="900" w:hanging="26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198" w:lineRule="exact"/>
        <w:rPr>
          <w:rFonts w:ascii="Arial" w:cs="Arial" w:eastAsia="Arial" w:hAnsi="Arial"/>
          <w:sz w:val="18"/>
          <w:szCs w:val="18"/>
          <w:color w:val="auto"/>
        </w:rPr>
      </w:pPr>
    </w:p>
    <w:p>
      <w:pPr>
        <w:ind w:left="900" w:right="380" w:hanging="263"/>
        <w:spacing w:after="0" w:line="24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143" w:lineRule="exact"/>
        <w:rPr>
          <w:rFonts w:ascii="Arial" w:cs="Arial" w:eastAsia="Arial" w:hAnsi="Arial"/>
          <w:sz w:val="18"/>
          <w:szCs w:val="18"/>
          <w:color w:val="auto"/>
        </w:rPr>
      </w:pPr>
    </w:p>
    <w:p>
      <w:pPr>
        <w:ind w:left="900" w:hanging="26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184" w:lineRule="exact"/>
        <w:rPr>
          <w:rFonts w:ascii="Arial" w:cs="Arial" w:eastAsia="Arial" w:hAnsi="Arial"/>
          <w:sz w:val="18"/>
          <w:szCs w:val="18"/>
          <w:color w:val="auto"/>
        </w:rPr>
      </w:pPr>
    </w:p>
    <w:p>
      <w:pPr>
        <w:ind w:left="900" w:right="240" w:hanging="263"/>
        <w:spacing w:after="0" w:line="260"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45" w:lineRule="exact"/>
        <w:rPr>
          <w:rFonts w:ascii="Arial" w:cs="Arial" w:eastAsia="Arial" w:hAnsi="Arial"/>
          <w:sz w:val="18"/>
          <w:szCs w:val="18"/>
          <w:color w:val="auto"/>
        </w:rPr>
      </w:pPr>
    </w:p>
    <w:p>
      <w:pPr>
        <w:ind w:left="900" w:right="100" w:hanging="263"/>
        <w:spacing w:after="0" w:line="260"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32" w:lineRule="exact"/>
        <w:rPr>
          <w:rFonts w:ascii="Arial" w:cs="Arial" w:eastAsia="Arial" w:hAnsi="Arial"/>
          <w:sz w:val="18"/>
          <w:szCs w:val="18"/>
          <w:color w:val="auto"/>
        </w:rPr>
      </w:pPr>
    </w:p>
    <w:p>
      <w:pPr>
        <w:ind w:left="900" w:right="480" w:hanging="263"/>
        <w:spacing w:after="0" w:line="260"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22"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AML and CFT that could impair our ability to compete in international markets or subject us to criminal or civil liability if we violate them.</w:t>
      </w:r>
    </w:p>
    <w:p>
      <w:pPr>
        <w:spacing w:after="0" w:line="112"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We are currently required to comply with U.S. economic and trade sanctions administered by the U.S. Department of the Treasury’s Office of Foreign Assets Controls (OFAC) and we have processes in place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implementing geolocation data-based sanctions screening measures, we identified certain payments which, based on geolocation data, appear to have been initiated from Cuba, Iran, or Syria, in potential violation of applicable sanctions regimes. We have made a voluntary submission to OFAC to report the potential violations. Although the internal investigation completed to date suggests that any loss incurred as a result of this matter would not be material to our business, if OFAC ultimately concludes a violation has occurred, it could result in penalties, costs, and restrictions on our ability to do business, which could also harm our operating results.</w:t>
      </w:r>
    </w:p>
    <w:p>
      <w:pPr>
        <w:spacing w:after="0" w:line="15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p>
    <w:p>
      <w:pPr>
        <w:spacing w:after="0" w:line="15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business operations in other parts of the world such as the U.K., Lithuania, Canada, Australia, New Zealand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58"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3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5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Protection Act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 under the CCPA, as the defendant was ordered to pay a $1.2 million penalty and, among other things, implement a monitoring and reporting program to demonstrate its ongoing compliance with the CCPA.</w:t>
      </w:r>
    </w:p>
    <w:p>
      <w:pPr>
        <w:spacing w:after="0" w:line="15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67"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 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took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took effect on July 1, 2023. Unlike in California, neither law provides for a private right of action. We anticipate that more states may enact legislation similar to the CCPA, which provides consumers with new privacy rights and increases the privacy and security obligations of entities handling certain personal information of such consumers. For example, the Utah Consumer Privacy Act became law on March 24, 2022. The Utah legislation most closely mirrors Virginia’s CDPA and will go into effect on December 31, 2023. Oregon enacted a rigorous privacy law – the Oregon Consumer Privacy Act (OCPA) – that will go into effect on July 1, 2024. The OCPA incorporates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provisions from the CPA and its unique rules, elements of the Connecticut Data Privacy Act, and an amalgamation of other laws while also introducing its own unique requirements.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1"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General Data Protection Regulation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5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w:t>
      </w:r>
    </w:p>
    <w:p>
      <w:pPr>
        <w:spacing w:after="0" w:line="2" w:lineRule="exact"/>
        <w:rPr>
          <w:sz w:val="20"/>
          <w:szCs w:val="20"/>
          <w:color w:val="auto"/>
        </w:rPr>
      </w:pPr>
    </w:p>
    <w:p>
      <w:pPr>
        <w:ind w:firstLine="8"/>
        <w:spacing w:after="0" w:line="236" w:lineRule="auto"/>
        <w:tabs>
          <w:tab w:leader="none" w:pos="150"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 xml:space="preserve">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p>
    <w:p>
      <w:pPr>
        <w:spacing w:after="0" w:line="15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p>
    <w:p>
      <w:pPr>
        <w:spacing w:after="0" w:line="16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 € 20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p>
    <w:p>
      <w:pPr>
        <w:spacing w:after="0" w:line="16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p>
    <w:p>
      <w:pPr>
        <w:spacing w:after="0" w:line="1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p>
    <w:p>
      <w:pPr>
        <w:spacing w:after="0" w:line="154" w:lineRule="exact"/>
        <w:rPr>
          <w:sz w:val="20"/>
          <w:szCs w:val="20"/>
          <w:color w:val="auto"/>
        </w:rPr>
      </w:pPr>
    </w:p>
    <w:p>
      <w:pPr>
        <w:ind w:right="320" w:firstLine="509"/>
        <w:spacing w:after="0" w:line="262"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45" w:lineRule="exact"/>
        <w:rPr>
          <w:sz w:val="20"/>
          <w:szCs w:val="20"/>
          <w:color w:val="auto"/>
        </w:rPr>
      </w:pPr>
    </w:p>
    <w:p>
      <w:pPr>
        <w:ind w:right="120" w:firstLine="509"/>
        <w:spacing w:after="0" w:line="256" w:lineRule="auto"/>
        <w:rPr>
          <w:sz w:val="20"/>
          <w:szCs w:val="20"/>
          <w:color w:val="auto"/>
        </w:rPr>
      </w:pPr>
      <w:r>
        <w:rPr>
          <w:rFonts w:ascii="Arial" w:cs="Arial" w:eastAsia="Arial" w:hAnsi="Arial"/>
          <w:sz w:val="17"/>
          <w:szCs w:val="17"/>
          <w:color w:val="auto"/>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spacing w:after="0" w:line="139"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China (home to the most online users in the world), is one of the latest countries to pass a new omnibus privacy law. China passed its new Data Security Law (DSL) in June 2021 and its new Personal Information Protection Law (PIPL) in August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recent enforcement actions against Alibaba Group Holding Ltd and Didi Global Inc. in 2022.</w:t>
      </w:r>
    </w:p>
    <w:p>
      <w:pPr>
        <w:spacing w:after="0" w:line="140"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As a reaction to data security concerns, the Australian parliament recently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will have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new regulatory tools and flexibility that should, together with an ongoing focus on funding, see a more proactive regulator with capacity and capability to investigate and litigate more privacy incidents in Australia.</w:t>
      </w:r>
    </w:p>
    <w:p>
      <w:pPr>
        <w:spacing w:after="0" w:line="146"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spacing w:after="0" w:line="14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5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57"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55"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62" w:lineRule="exact"/>
        <w:rPr>
          <w:sz w:val="20"/>
          <w:szCs w:val="20"/>
          <w:color w:val="auto"/>
        </w:rPr>
      </w:pPr>
    </w:p>
    <w:p>
      <w:pPr>
        <w:ind w:right="340" w:firstLine="509"/>
        <w:spacing w:after="0" w:line="260"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67"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February 2022, following Russia’s invasion of Ukraine, the United States and other countries announced sanctions against Russia. The sanctions announced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spacing w:after="0" w:line="141"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70"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5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51" w:lineRule="exact"/>
        <w:rPr>
          <w:sz w:val="20"/>
          <w:szCs w:val="20"/>
          <w:color w:val="auto"/>
        </w:rPr>
      </w:pPr>
    </w:p>
    <w:p>
      <w:pPr>
        <w:jc w:val="both"/>
        <w:ind w:right="380" w:firstLine="509"/>
        <w:spacing w:after="0" w:line="243"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54"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p>
    <w:p>
      <w:pPr>
        <w:spacing w:after="0" w:line="145"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11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50"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45" w:lineRule="exact"/>
        <w:rPr>
          <w:sz w:val="20"/>
          <w:szCs w:val="20"/>
          <w:color w:val="auto"/>
        </w:rPr>
      </w:pPr>
    </w:p>
    <w:p>
      <w:pPr>
        <w:ind w:right="600"/>
        <w:spacing w:after="0" w:line="285" w:lineRule="auto"/>
        <w:rPr>
          <w:sz w:val="20"/>
          <w:szCs w:val="20"/>
          <w:color w:val="auto"/>
        </w:rPr>
      </w:pPr>
      <w:r>
        <w:rPr>
          <w:rFonts w:ascii="Arial" w:cs="Arial" w:eastAsia="Arial" w:hAnsi="Arial"/>
          <w:sz w:val="18"/>
          <w:szCs w:val="18"/>
          <w:b w:val="1"/>
          <w:bCs w:val="1"/>
          <w:i w:val="1"/>
          <w:iCs w:val="1"/>
          <w:color w:val="auto"/>
        </w:rPr>
        <w:t>Indemnity and liability provisions in various agreements potentially expose us to substantial liability for intellectual property infringement, data protection, and other losses.</w:t>
      </w:r>
    </w:p>
    <w:p>
      <w:pPr>
        <w:spacing w:after="0" w:line="11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p>
    <w:p>
      <w:pPr>
        <w:spacing w:after="0" w:line="154"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99"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5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For example, the recently enacted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p>
    <w:p>
      <w:pPr>
        <w:spacing w:after="0" w:line="16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57"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 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5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 to offset future taxable income may be subject to certain limitations.</w:t>
      </w:r>
    </w:p>
    <w:p>
      <w:pPr>
        <w:spacing w:after="0" w:line="181" w:lineRule="exact"/>
        <w:rPr>
          <w:sz w:val="20"/>
          <w:szCs w:val="20"/>
          <w:color w:val="auto"/>
        </w:rPr>
      </w:pPr>
    </w:p>
    <w:p>
      <w:pPr>
        <w:ind w:right="900" w:firstLine="509"/>
        <w:spacing w:after="0" w:line="260" w:lineRule="auto"/>
        <w:rPr>
          <w:sz w:val="20"/>
          <w:szCs w:val="20"/>
          <w:color w:val="auto"/>
        </w:rPr>
      </w:pPr>
      <w:r>
        <w:rPr>
          <w:rFonts w:ascii="Arial" w:cs="Arial" w:eastAsia="Arial" w:hAnsi="Arial"/>
          <w:sz w:val="18"/>
          <w:szCs w:val="18"/>
          <w:color w:val="auto"/>
        </w:rPr>
        <w:t>As of June 30, 2023, we had U.S. federal NOL carryforwards of approximately $95.6 million and state NOL carryforwards of approximately $96.1 million. The federal and material state NOL carryforwards will begin to expire in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including, but not limited to, as a result of our initial public offering, or if we undergo one or more ownership changes as a result of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p>
    <w:p>
      <w:pPr>
        <w:spacing w:after="0" w:line="16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During 2022, we completed a Section 382 study from January 1, 2010, the first day of the first taxable year that we had NOL carryforwards, through June 30, 2021. During this period, we underwent two ownership changes for Section 382 purposes. The ownership changes occurred on June 29, 2011 (the June 2011 Change) and July 12, 2013 (the July 2013 Change) as result of our issuance and sale of preferred stock. Approximately $14.9 million of NOLs were generated through December 31, 2013. As a result of the ownership changes, all of Flywire's NOLs as of the June 2011 Change and the July 2013 Change are subject to limitation under Section 382, of which $1.6 million NOLs will expire unutilized, assuming sufficient taxable income is generated in the future. Additionally, we completed a Section 382 study for Simplificare (Simplee) which we acquired in February 2020. The study was completed for the periods from August 26, 2010, the inception of Simplee, through February 13, 2020, the date that we acquired Simplee. During this period, Simplee underwent four ownership changes. The ownership changes occurred on October 27, 2010, April 13, 2011, May 10, 2012 (the May 2012 Change), all in connection with the issuance and sale of preferred stock, and February 13, 2020 (the February 2020 Change), in connection with its complete acquisition by Flywire. Approximately $35.7 million of NOLs were generated through February 13, 2020. As a result of the ownership changes, all of Simplee’s NOLs as of the May 2012 Change and the February 2020 Change are subject to limitation under Section 382, of which $0.2 million NOLs will expire unutilized, assuming sufficient taxable income is generated in the future.</w:t>
      </w:r>
    </w:p>
    <w:p>
      <w:pPr>
        <w:spacing w:after="0" w:line="15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2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comply with these requirements, we may need to hire more employees in the future or engage outside consultants, which would increase our costs and expenses.</w:t>
      </w:r>
    </w:p>
    <w:p>
      <w:pPr>
        <w:spacing w:after="0" w:line="146"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5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This assessment includes disclosure of any material weaknesses identified by our management in our internal control over financial reporting and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spacing w:after="0" w:line="149"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may need to continue to undertake various actions, such as implementing new internal controls and procedures, hiring risk professionals, accounting and internal audit staff, and engaging outside consultants, which will increase our operating expenses.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actively engaged in the ongoing costly and challenging process of performing the evaluation needed to comply with Section</w:t>
      </w:r>
    </w:p>
    <w:p>
      <w:pPr>
        <w:spacing w:after="0" w:line="8" w:lineRule="exact"/>
        <w:rPr>
          <w:sz w:val="20"/>
          <w:szCs w:val="20"/>
          <w:color w:val="auto"/>
        </w:rPr>
      </w:pPr>
    </w:p>
    <w:p>
      <w:pPr>
        <w:ind w:right="100" w:firstLine="8"/>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p>
    <w:p>
      <w:pPr>
        <w:spacing w:after="0" w:line="15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39"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b w:val="1"/>
          <w:bCs w:val="1"/>
          <w:i w:val="1"/>
          <w:iCs w:val="1"/>
          <w:color w:val="auto"/>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spacing w:after="0" w:line="134"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spacing w:after="0" w:line="156"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compliance with our public company responsibilities and corporate governance practices.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a public company, we will continue to incur significant legal, accounting, and other expenses as a result of operating as a public company, which we expect to further increase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The price of our common stock may be volatile or may decline regardless of our operating performance and you may not be able to resell your shares at or above the price you paid for them.</w:t>
      </w:r>
    </w:p>
    <w:p>
      <w:pPr>
        <w:spacing w:after="0" w:line="99" w:lineRule="exact"/>
        <w:rPr>
          <w:sz w:val="20"/>
          <w:szCs w:val="20"/>
          <w:color w:val="auto"/>
        </w:rPr>
      </w:pPr>
    </w:p>
    <w:p>
      <w:pPr>
        <w:ind w:right="800" w:firstLine="509"/>
        <w:spacing w:after="0" w:line="260" w:lineRule="auto"/>
        <w:rPr>
          <w:sz w:val="20"/>
          <w:szCs w:val="20"/>
          <w:color w:val="auto"/>
        </w:rPr>
      </w:pPr>
      <w:r>
        <w:rPr>
          <w:rFonts w:ascii="Arial" w:cs="Arial" w:eastAsia="Arial" w:hAnsi="Arial"/>
          <w:sz w:val="18"/>
          <w:szCs w:val="18"/>
          <w:color w:val="auto"/>
        </w:rPr>
        <w:t>An active or liquid market in our common stock may not be sustainable. The market price of our common stock may fluctuate significantly in response to numerous factors, many of which are beyond our control, including:</w:t>
      </w:r>
    </w:p>
    <w:p>
      <w:pPr>
        <w:spacing w:after="0" w:line="132"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the roll out of new solutions;</w:t>
      </w:r>
    </w:p>
    <w:p>
      <w:pPr>
        <w:spacing w:after="0" w:line="184" w:lineRule="exact"/>
        <w:rPr>
          <w:rFonts w:ascii="Arial" w:cs="Arial" w:eastAsia="Arial" w:hAnsi="Arial"/>
          <w:sz w:val="18"/>
          <w:szCs w:val="18"/>
          <w:color w:val="auto"/>
        </w:rPr>
      </w:pPr>
    </w:p>
    <w:p>
      <w:pPr>
        <w:ind w:left="1020" w:right="480" w:hanging="503"/>
        <w:spacing w:after="0" w:line="260"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45"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with respect to our payment solutions;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our solutions;</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left="1020" w:right="360" w:hanging="503"/>
        <w:spacing w:after="0" w:line="260"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the lingering effects of the COVID-19 pandemic;</w:t>
      </w:r>
    </w:p>
    <w:p>
      <w:pPr>
        <w:spacing w:after="0" w:line="145" w:lineRule="exact"/>
        <w:rPr>
          <w:rFonts w:ascii="Arial" w:cs="Arial" w:eastAsia="Arial" w:hAnsi="Arial"/>
          <w:sz w:val="18"/>
          <w:szCs w:val="18"/>
          <w:color w:val="auto"/>
        </w:rPr>
      </w:pPr>
    </w:p>
    <w:p>
      <w:pPr>
        <w:ind w:left="1020" w:right="600" w:hanging="503"/>
        <w:spacing w:after="0" w:line="260"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political or social unrest, war or other military conflict, including an escalation of the conflict between Russia and Ukraine, economic instability, repression, or human rights issues;</w:t>
      </w:r>
    </w:p>
    <w:p>
      <w:pPr>
        <w:spacing w:after="0" w:line="13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effects of ongoing United States-China diplomatic and trade friction;</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198"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factors discussed in this Quarterly Report on Form 10-Q and our other SEC filings.</w:t>
      </w:r>
    </w:p>
    <w:p>
      <w:pPr>
        <w:spacing w:after="0" w:line="198" w:lineRule="exact"/>
        <w:rPr>
          <w:sz w:val="20"/>
          <w:szCs w:val="20"/>
          <w:color w:val="auto"/>
        </w:rPr>
      </w:pPr>
    </w:p>
    <w:p>
      <w:pPr>
        <w:ind w:right="260" w:firstLine="509"/>
        <w:spacing w:after="0" w:line="260"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w:t>
      </w:r>
    </w:p>
    <w:p>
      <w:pPr>
        <w:spacing w:after="0" w:line="13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Concerns over economic recession, the ongoing effects of the COVID-19 pandemic,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spacing w:after="0" w:line="153"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51"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440" w:firstLine="509"/>
        <w:spacing w:after="0" w:line="260"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our cash and cash equivalents in ways that you and other stockholders may not approve.</w:t>
      </w:r>
    </w:p>
    <w:p>
      <w:pPr>
        <w:spacing w:after="0" w:line="18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p>
    <w:p>
      <w:pPr>
        <w:spacing w:after="0" w:line="140"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1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39"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could cause the market price of our common stock to decline.</w:t>
      </w:r>
    </w:p>
    <w:p>
      <w:pPr>
        <w:spacing w:after="0" w:line="9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109,911,468 shares of our voting common stock and 1,873,320 shares of our non-voting common stock outstanding as of June 30, 2023. Other than shares held by directors, executive officers and other affiliates that are subject to volume limitations under Rule 144 under the Securities Act and various vesting agreements, these shares of common stock generally are freely tradable without restrictions or further registration under the Securities Act.</w:t>
      </w:r>
    </w:p>
    <w:p>
      <w:pPr>
        <w:spacing w:after="0" w:line="167"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p>
    <w:p>
      <w:pPr>
        <w:spacing w:after="0" w:line="147" w:lineRule="exact"/>
        <w:rPr>
          <w:sz w:val="20"/>
          <w:szCs w:val="20"/>
          <w:color w:val="auto"/>
        </w:rPr>
      </w:pPr>
    </w:p>
    <w:p>
      <w:pPr>
        <w:ind w:right="340" w:firstLine="509"/>
        <w:spacing w:after="0" w:line="289"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00" w:lineRule="exact"/>
        <w:rPr>
          <w:sz w:val="20"/>
          <w:szCs w:val="20"/>
          <w:color w:val="auto"/>
        </w:rPr>
      </w:pPr>
    </w:p>
    <w:p>
      <w:pPr>
        <w:ind w:right="720"/>
        <w:spacing w:after="0" w:line="285"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1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of June 30, 2023,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58"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1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43"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9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162" w:lineRule="exact"/>
        <w:rPr>
          <w:sz w:val="20"/>
          <w:szCs w:val="20"/>
          <w:color w:val="auto"/>
        </w:rPr>
      </w:pPr>
    </w:p>
    <w:p>
      <w:pPr>
        <w:ind w:left="900" w:right="680" w:hanging="263"/>
        <w:spacing w:after="0" w:line="260"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32" w:lineRule="exact"/>
        <w:rPr>
          <w:rFonts w:ascii="Arial" w:cs="Arial" w:eastAsia="Arial" w:hAnsi="Arial"/>
          <w:sz w:val="18"/>
          <w:szCs w:val="18"/>
          <w:color w:val="auto"/>
        </w:rPr>
      </w:pPr>
    </w:p>
    <w:p>
      <w:pPr>
        <w:jc w:val="both"/>
        <w:ind w:left="900" w:right="120" w:hanging="263"/>
        <w:spacing w:after="0" w:line="24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43" w:lineRule="exact"/>
        <w:rPr>
          <w:rFonts w:ascii="Arial" w:cs="Arial" w:eastAsia="Arial" w:hAnsi="Arial"/>
          <w:sz w:val="18"/>
          <w:szCs w:val="18"/>
          <w:color w:val="auto"/>
        </w:rPr>
      </w:pPr>
    </w:p>
    <w:p>
      <w:pPr>
        <w:ind w:left="900" w:hanging="263"/>
        <w:spacing w:after="0" w:line="24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57" w:lineRule="exact"/>
        <w:rPr>
          <w:rFonts w:ascii="Arial" w:cs="Arial" w:eastAsia="Arial" w:hAnsi="Arial"/>
          <w:sz w:val="18"/>
          <w:szCs w:val="18"/>
          <w:color w:val="auto"/>
        </w:rPr>
      </w:pPr>
    </w:p>
    <w:p>
      <w:pPr>
        <w:ind w:left="900" w:right="20" w:hanging="263"/>
        <w:spacing w:after="0" w:line="260"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32" w:lineRule="exact"/>
        <w:rPr>
          <w:rFonts w:ascii="Arial" w:cs="Arial" w:eastAsia="Arial" w:hAnsi="Arial"/>
          <w:sz w:val="18"/>
          <w:szCs w:val="18"/>
          <w:color w:val="auto"/>
        </w:rPr>
      </w:pPr>
    </w:p>
    <w:p>
      <w:pPr>
        <w:ind w:left="900" w:right="220" w:hanging="263"/>
        <w:spacing w:after="0" w:line="24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143" w:lineRule="exact"/>
        <w:rPr>
          <w:rFonts w:ascii="Arial" w:cs="Arial" w:eastAsia="Arial" w:hAnsi="Arial"/>
          <w:sz w:val="18"/>
          <w:szCs w:val="18"/>
          <w:color w:val="auto"/>
        </w:rPr>
      </w:pPr>
    </w:p>
    <w:p>
      <w:pPr>
        <w:ind w:left="900" w:right="200" w:hanging="263"/>
        <w:spacing w:after="0" w:line="24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160" w:lineRule="exact"/>
        <w:rPr>
          <w:rFonts w:ascii="Arial" w:cs="Arial" w:eastAsia="Arial" w:hAnsi="Arial"/>
          <w:sz w:val="18"/>
          <w:szCs w:val="18"/>
          <w:color w:val="auto"/>
        </w:rPr>
      </w:pPr>
    </w:p>
    <w:p>
      <w:pPr>
        <w:ind w:left="900" w:right="200" w:hanging="263"/>
        <w:spacing w:after="0" w:line="24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7" w:lineRule="exact"/>
        <w:rPr>
          <w:sz w:val="20"/>
          <w:szCs w:val="20"/>
          <w:color w:val="auto"/>
        </w:rPr>
      </w:pPr>
    </w:p>
    <w:p>
      <w:pPr>
        <w:ind w:right="120" w:firstLine="509"/>
        <w:spacing w:after="0" w:line="260"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6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p>
    <w:p>
      <w:pPr>
        <w:spacing w:after="0" w:line="13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Financial Officer Transition</w:t>
      </w:r>
    </w:p>
    <w:p>
      <w:pPr>
        <w:spacing w:after="0" w:line="18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On August 8, 2023, we announced that Michael Ellis, our Chief Financial Officer, would be transitioning from Flywire in 2024. We plan to commence a search for a new Chief Financial Officer. Mr. Ellis has agreed to continue to serve as Chief Financial Officer as a successor is identified and a transition period is undertaken, which is currently expected to take place in 2024 (such date, when determined, being the “Transition Date”). Mr. Ellis’ continued services during the Transition Date will help support the successful transfer of responsibilities.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 Trading Plans</w:t>
      </w:r>
    </w:p>
    <w:p>
      <w:pPr>
        <w:spacing w:after="0" w:line="19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On May 17, 2023, Robert Orgel, our President and Chief Operating Officer, adopted a trading arrangement for the sale of shares of our common stock (a "Rule 10b-5 Trading Plan") that is intended to satisfy the affirmative defense conditions of Securities Exchange Act Rule 10b5-1(c). Mr. Orgel's Rule 10b-5 Trading Plan provides for the sale of up to 303,399 shares of common stock pursuant to the terms of the plan. The plan is effective through August 31, 2024 unless earlier terminated in accordance with the terms of the plan.</w:t>
      </w:r>
    </w:p>
    <w:p>
      <w:pPr>
        <w:spacing w:after="0" w:line="14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On May 12, 2023, Michael Ellis, our Chief Financial Officer, adopted a Rule 10b-5 Trading Plan that is intended to satisfy the affirmative defense conditions of Securities Exchange Act Rule 10b5-1(c). Mr. Ellis' Rule 10b-5 Trading Plan provides for the sale of up to 187,572 shares of common stock pursuant to the terms of the plan. The plan is effective through August 14, 2024 unless earlier terminated in accordance with the terms of the plan.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9"/>
        </w:trPr>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gridSpan w:val="8"/>
          </w:tcPr>
          <w:p>
            <w:pPr>
              <w:ind w:left="118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183"/>
        </w:trPr>
        <w:tc>
          <w:tcPr>
            <w:tcW w:w="1160" w:type="dxa"/>
            <w:vAlign w:val="bottom"/>
          </w:tcPr>
          <w:p>
            <w:pPr>
              <w:ind w:left="140"/>
              <w:spacing w:after="0" w:line="18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9920" w:type="dxa"/>
            <w:vAlign w:val="bottom"/>
            <w:gridSpan w:val="10"/>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Amended and Restated Certificate of Incorporation of Flywire Corporation, incorporated by reference to Exhibit 3.1 to the</w:t>
              </w:r>
            </w:hyperlink>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rFonts w:ascii="Arial" w:cs="Arial" w:eastAsia="Arial" w:hAnsi="Arial"/>
                <w:sz w:val="18"/>
                <w:szCs w:val="18"/>
                <w:color w:val="0000FF"/>
              </w:rPr>
            </w:pPr>
            <w:hyperlink r:id="rId439">
              <w:r>
                <w:rPr>
                  <w:rFonts w:ascii="Arial" w:cs="Arial" w:eastAsia="Arial" w:hAnsi="Arial"/>
                  <w:sz w:val="18"/>
                  <w:szCs w:val="18"/>
                  <w:color w:val="0000FF"/>
                </w:rPr>
                <w:t>Registrant’s Current Report on Form 8-K filed on June 1, 2021</w:t>
              </w:r>
            </w:hyperlink>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9920" w:type="dxa"/>
            <w:vAlign w:val="bottom"/>
            <w:gridSpan w:val="10"/>
          </w:tcPr>
          <w:p>
            <w:pPr>
              <w:spacing w:after="0"/>
              <w:rPr>
                <w:rFonts w:ascii="Arial" w:cs="Arial" w:eastAsia="Arial" w:hAnsi="Arial"/>
                <w:sz w:val="18"/>
                <w:szCs w:val="18"/>
                <w:color w:val="0000FF"/>
              </w:rPr>
            </w:pPr>
            <w:hyperlink r:id="rId440">
              <w:r>
                <w:rPr>
                  <w:rFonts w:ascii="Arial" w:cs="Arial" w:eastAsia="Arial" w:hAnsi="Arial"/>
                  <w:sz w:val="18"/>
                  <w:szCs w:val="18"/>
                  <w:color w:val="0000FF"/>
                </w:rPr>
                <w:t>Amended and Restated Bylaws of Flywire Corporation, incorporated by reference to Exhibit 3.2 to the Registrant’s Current</w:t>
              </w:r>
            </w:hyperlink>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rFonts w:ascii="Arial" w:cs="Arial" w:eastAsia="Arial" w:hAnsi="Arial"/>
                <w:sz w:val="18"/>
                <w:szCs w:val="18"/>
                <w:color w:val="0000FF"/>
              </w:rPr>
            </w:pPr>
            <w:hyperlink r:id="rId440">
              <w:r>
                <w:rPr>
                  <w:rFonts w:ascii="Arial" w:cs="Arial" w:eastAsia="Arial" w:hAnsi="Arial"/>
                  <w:sz w:val="18"/>
                  <w:szCs w:val="18"/>
                  <w:color w:val="0000FF"/>
                </w:rPr>
                <w:t>Report on Form 8-K filed on June 1, 2021</w:t>
              </w:r>
            </w:hyperlink>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0000FF"/>
              </w:rPr>
              <w:t>Credit Agreement, dated July 29, 2021, as amended by the First Amendment to Credit Agreement dated June 23, 2023, by</w:t>
            </w: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sz w:val="20"/>
                <w:szCs w:val="20"/>
                <w:color w:val="auto"/>
              </w:rPr>
            </w:pPr>
            <w:r>
              <w:rPr>
                <w:rFonts w:ascii="Arial" w:cs="Arial" w:eastAsia="Arial" w:hAnsi="Arial"/>
                <w:sz w:val="18"/>
                <w:szCs w:val="18"/>
                <w:color w:val="0000FF"/>
              </w:rPr>
              <w:t>and among Flywire Corporation, the other Loan Parties party thereto from time to time, the Lenders party thereto from time</w:t>
            </w: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sz w:val="20"/>
                <w:szCs w:val="20"/>
                <w:color w:val="auto"/>
              </w:rPr>
            </w:pPr>
            <w:r>
              <w:rPr>
                <w:rFonts w:ascii="Arial" w:cs="Arial" w:eastAsia="Arial" w:hAnsi="Arial"/>
                <w:sz w:val="18"/>
                <w:szCs w:val="18"/>
                <w:color w:val="0000FF"/>
              </w:rPr>
              <w:t>to time, the Issuing Banks party thereto from time to time, and Citibank</w:t>
            </w: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0000FF"/>
              </w:rPr>
              <w:t>Office Lease, dated April 8, 2015, as amended by that certain First Amendment to Office Lease dated April 7, 2016, that</w:t>
            </w: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sz w:val="20"/>
                <w:szCs w:val="20"/>
                <w:color w:val="auto"/>
              </w:rPr>
            </w:pPr>
            <w:r>
              <w:rPr>
                <w:rFonts w:ascii="Arial" w:cs="Arial" w:eastAsia="Arial" w:hAnsi="Arial"/>
                <w:sz w:val="18"/>
                <w:szCs w:val="18"/>
                <w:color w:val="0000FF"/>
                <w:w w:val="99"/>
              </w:rPr>
              <w:t>certain Second Amendment to Office Lease dated October 23, 2018 and that certain Third Amendment to Office Lease dated</w:t>
            </w: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sz w:val="20"/>
                <w:szCs w:val="20"/>
                <w:color w:val="auto"/>
              </w:rPr>
            </w:pPr>
            <w:r>
              <w:rPr>
                <w:rFonts w:ascii="Arial" w:cs="Arial" w:eastAsia="Arial" w:hAnsi="Arial"/>
                <w:sz w:val="18"/>
                <w:szCs w:val="18"/>
                <w:color w:val="0000FF"/>
              </w:rPr>
              <w:t>May 1, 2023, by and between the Registrant and NS 141 Tremont LLC</w:t>
            </w: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420" w:type="dxa"/>
            <w:vAlign w:val="bottom"/>
            <w:gridSpan w:val="6"/>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3920" w:type="dxa"/>
            <w:vAlign w:val="bottom"/>
            <w:gridSpan w:val="4"/>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42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420" w:type="dxa"/>
            <w:vAlign w:val="bottom"/>
            <w:gridSpan w:val="6"/>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40" w:type="dxa"/>
            <w:vAlign w:val="bottom"/>
            <w:gridSpan w:val="7"/>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20" w:type="dxa"/>
            <w:vAlign w:val="bottom"/>
            <w:gridSpan w:val="10"/>
          </w:tcPr>
          <w:p>
            <w:pPr>
              <w:spacing w:after="0" w:line="182" w:lineRule="exact"/>
              <w:rPr>
                <w:sz w:val="20"/>
                <w:szCs w:val="20"/>
                <w:color w:val="auto"/>
              </w:rPr>
            </w:pPr>
            <w:r>
              <w:rPr>
                <w:rFonts w:ascii="Arial" w:cs="Arial" w:eastAsia="Arial" w:hAnsi="Arial"/>
                <w:sz w:val="18"/>
                <w:szCs w:val="18"/>
                <w:color w:val="0000FF"/>
              </w:rPr>
              <w:t>Sarbanes-Oxley Act of 2002</w:t>
            </w:r>
          </w:p>
        </w:tc>
        <w:tc>
          <w:tcPr>
            <w:tcW w:w="4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770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1160" w:type="dxa"/>
            <w:vAlign w:val="bottom"/>
          </w:tcPr>
          <w:p>
            <w:pPr>
              <w:ind w:left="14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c>
          <w:tcPr>
            <w:tcW w:w="40" w:type="dxa"/>
            <w:vAlign w:val="bottom"/>
          </w:tcPr>
          <w:p>
            <w:pPr>
              <w:spacing w:after="0"/>
              <w:rPr>
                <w:sz w:val="19"/>
                <w:szCs w:val="19"/>
                <w:color w:val="auto"/>
              </w:rPr>
            </w:pPr>
          </w:p>
        </w:tc>
      </w:tr>
      <w:tr>
        <w:trPr>
          <w:trHeight w:val="229"/>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are embedded within the Inline XBRL document</w:t>
            </w:r>
          </w:p>
        </w:tc>
        <w:tc>
          <w:tcPr>
            <w:tcW w:w="40" w:type="dxa"/>
            <w:vAlign w:val="bottom"/>
          </w:tcPr>
          <w:p>
            <w:pPr>
              <w:spacing w:after="0"/>
              <w:rPr>
                <w:sz w:val="19"/>
                <w:szCs w:val="19"/>
                <w:color w:val="auto"/>
              </w:rPr>
            </w:pPr>
          </w:p>
        </w:tc>
      </w:tr>
      <w:tr>
        <w:trPr>
          <w:trHeight w:val="229"/>
        </w:trPr>
        <w:tc>
          <w:tcPr>
            <w:tcW w:w="1160" w:type="dxa"/>
            <w:vAlign w:val="bottom"/>
          </w:tcPr>
          <w:p>
            <w:pPr>
              <w:ind w:left="14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40" w:type="dxa"/>
            <w:vAlign w:val="bottom"/>
          </w:tcPr>
          <w:p>
            <w:pPr>
              <w:spacing w:after="0"/>
              <w:rPr>
                <w:sz w:val="19"/>
                <w:szCs w:val="19"/>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0" w:type="dxa"/>
            <w:vAlign w:val="bottom"/>
          </w:tcPr>
          <w:p>
            <w:pPr>
              <w:spacing w:after="0"/>
              <w:rPr>
                <w:sz w:val="19"/>
                <w:szCs w:val="19"/>
                <w:color w:val="auto"/>
              </w:rPr>
            </w:pPr>
          </w:p>
        </w:tc>
      </w:tr>
      <w:tr>
        <w:trPr>
          <w:trHeight w:val="229"/>
        </w:trPr>
        <w:tc>
          <w:tcPr>
            <w:tcW w:w="1160" w:type="dxa"/>
            <w:vAlign w:val="bottom"/>
          </w:tcPr>
          <w:p>
            <w:pPr>
              <w:ind w:left="14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0" w:type="dxa"/>
            <w:vAlign w:val="bottom"/>
          </w:tcPr>
          <w:p>
            <w:pPr>
              <w:spacing w:after="0"/>
              <w:rPr>
                <w:sz w:val="19"/>
                <w:szCs w:val="19"/>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0" w:type="dxa"/>
            <w:vAlign w:val="bottom"/>
          </w:tcPr>
          <w:p>
            <w:pPr>
              <w:spacing w:after="0"/>
              <w:rPr>
                <w:sz w:val="19"/>
                <w:szCs w:val="19"/>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0" w:type="dxa"/>
            <w:vAlign w:val="bottom"/>
          </w:tcPr>
          <w:p>
            <w:pPr>
              <w:spacing w:after="0"/>
              <w:rPr>
                <w:sz w:val="19"/>
                <w:szCs w:val="19"/>
                <w:color w:val="auto"/>
              </w:rPr>
            </w:pPr>
          </w:p>
        </w:tc>
      </w:tr>
      <w:tr>
        <w:trPr>
          <w:trHeight w:val="230"/>
        </w:trPr>
        <w:tc>
          <w:tcPr>
            <w:tcW w:w="1160" w:type="dxa"/>
            <w:vAlign w:val="bottom"/>
          </w:tcPr>
          <w:p>
            <w:pPr>
              <w:ind w:left="1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992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4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4"/>
          <w:szCs w:val="14"/>
          <w:color w:val="auto"/>
        </w:rPr>
        <w:t>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8890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889000" cy="8890"/>
                    </a:xfrm>
                    <a:prstGeom prst="rect">
                      <a:avLst/>
                    </a:prstGeom>
                    <a:noFill/>
                  </pic:spPr>
                </pic:pic>
              </a:graphicData>
            </a:graphic>
          </wp:anchor>
        </w:drawing>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91"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FLYWIRE CORPORATION</w:t>
      </w:r>
    </w:p>
    <w:p>
      <w:pPr>
        <w:spacing w:after="0" w:line="245" w:lineRule="exact"/>
        <w:rPr>
          <w:sz w:val="20"/>
          <w:szCs w:val="20"/>
          <w:color w:val="auto"/>
        </w:rPr>
      </w:pPr>
    </w:p>
    <w:p>
      <w:pPr>
        <w:ind w:left="20"/>
        <w:spacing w:after="0"/>
        <w:tabs>
          <w:tab w:leader="none" w:pos="5420" w:val="left"/>
          <w:tab w:leader="none" w:pos="7840" w:val="left"/>
        </w:tabs>
        <w:rPr>
          <w:sz w:val="20"/>
          <w:szCs w:val="20"/>
          <w:color w:val="auto"/>
        </w:rPr>
      </w:pPr>
      <w:r>
        <w:rPr>
          <w:rFonts w:ascii="Arial" w:cs="Arial" w:eastAsia="Arial" w:hAnsi="Arial"/>
          <w:sz w:val="17"/>
          <w:szCs w:val="17"/>
          <w:color w:val="auto"/>
        </w:rPr>
        <w:t>Date: August 8,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33000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36"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Michael Massaro</w:t>
      </w:r>
    </w:p>
    <w:p>
      <w:pPr>
        <w:spacing w:after="0" w:line="4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0" w:lineRule="exact"/>
        <w:rPr>
          <w:sz w:val="20"/>
          <w:szCs w:val="20"/>
          <w:color w:val="auto"/>
        </w:rPr>
      </w:pPr>
    </w:p>
    <w:p>
      <w:pPr>
        <w:ind w:left="7480"/>
        <w:spacing w:after="0"/>
        <w:rPr>
          <w:sz w:val="20"/>
          <w:szCs w:val="20"/>
          <w:color w:val="auto"/>
        </w:rPr>
      </w:pPr>
      <w:r>
        <w:rPr>
          <w:rFonts w:ascii="Arial" w:cs="Arial" w:eastAsia="Arial" w:hAnsi="Arial"/>
          <w:sz w:val="17"/>
          <w:szCs w:val="17"/>
          <w:b w:val="1"/>
          <w:bCs w:val="1"/>
          <w:color w:val="auto"/>
        </w:rPr>
        <w:t>(Principal Executive Officer)</w:t>
      </w:r>
    </w:p>
    <w:p>
      <w:pPr>
        <w:spacing w:after="0" w:line="225" w:lineRule="exact"/>
        <w:rPr>
          <w:sz w:val="20"/>
          <w:szCs w:val="20"/>
          <w:color w:val="auto"/>
        </w:rPr>
      </w:pPr>
    </w:p>
    <w:p>
      <w:pPr>
        <w:ind w:left="20"/>
        <w:spacing w:after="0"/>
        <w:tabs>
          <w:tab w:leader="none" w:pos="5420" w:val="left"/>
          <w:tab w:leader="none" w:pos="8020" w:val="left"/>
        </w:tabs>
        <w:rPr>
          <w:sz w:val="20"/>
          <w:szCs w:val="20"/>
          <w:color w:val="auto"/>
        </w:rPr>
      </w:pPr>
      <w:r>
        <w:rPr>
          <w:rFonts w:ascii="Arial" w:cs="Arial" w:eastAsia="Arial" w:hAnsi="Arial"/>
          <w:sz w:val="17"/>
          <w:szCs w:val="17"/>
          <w:color w:val="auto"/>
        </w:rPr>
        <w:t>Date: August 8,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24765</wp:posOffset>
            </wp:positionV>
            <wp:extent cx="330009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36" w:lineRule="exact"/>
        <w:rPr>
          <w:sz w:val="20"/>
          <w:szCs w:val="20"/>
          <w:color w:val="auto"/>
        </w:rPr>
      </w:pPr>
    </w:p>
    <w:p>
      <w:pPr>
        <w:jc w:val="center"/>
        <w:ind w:left="6000"/>
        <w:spacing w:after="0"/>
        <w:rPr>
          <w:sz w:val="20"/>
          <w:szCs w:val="20"/>
          <w:color w:val="auto"/>
        </w:rPr>
      </w:pPr>
      <w:r>
        <w:rPr>
          <w:rFonts w:ascii="Arial" w:cs="Arial" w:eastAsia="Arial" w:hAnsi="Arial"/>
          <w:sz w:val="17"/>
          <w:szCs w:val="17"/>
          <w:b w:val="1"/>
          <w:bCs w:val="1"/>
          <w:color w:val="auto"/>
        </w:rPr>
        <w:t>Michael Ellis</w:t>
      </w:r>
    </w:p>
    <w:p>
      <w:pPr>
        <w:spacing w:after="0" w:line="4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(Principal Financial and Accounting Officer)</w:t>
      </w: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ind w:left="9160"/>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0" w:lineRule="exact"/>
        <w:rPr>
          <w:sz w:val="20"/>
          <w:szCs w:val="20"/>
          <w:color w:val="auto"/>
        </w:rPr>
      </w:pPr>
    </w:p>
    <w:p>
      <w:pPr>
        <w:spacing w:after="0" w:line="286" w:lineRule="exact"/>
        <w:rPr>
          <w:sz w:val="20"/>
          <w:szCs w:val="20"/>
          <w:color w:val="auto"/>
        </w:rPr>
      </w:pPr>
    </w:p>
    <w:p>
      <w:pPr>
        <w:ind w:left="8240"/>
        <w:spacing w:after="0"/>
        <w:rPr>
          <w:sz w:val="20"/>
          <w:szCs w:val="20"/>
          <w:color w:val="auto"/>
        </w:rPr>
      </w:pPr>
      <w:r>
        <w:rPr>
          <w:rFonts w:ascii="Arial" w:cs="Arial" w:eastAsia="Arial" w:hAnsi="Arial"/>
          <w:sz w:val="22"/>
          <w:szCs w:val="22"/>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FIRST AMENDMENT TO CREDIT AGREEMENT</w:t>
      </w:r>
    </w:p>
    <w:p>
      <w:pPr>
        <w:spacing w:after="0" w:line="22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THIS FIRST AMENDMENT TO CREDIT AGREEMENT (together with the Exhibit attached hereto and incorporated herein by reference, this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dated as of June 23, 2023 (the “</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amends that certain Credit Agreement, dated as of July 29, 2021, by and among, FLYWIRE CORPORATION, a Delaware corporation (the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xml:space="preserve">”), the other loan parties party thereto, the lenders party thereto, the issuing banks party thereto and CITIBANK N.A., as administrative agent (in such capacity, the “ </w:t>
      </w:r>
      <w:r>
        <w:rPr>
          <w:rFonts w:ascii="Arial" w:cs="Arial" w:eastAsia="Arial" w:hAnsi="Arial"/>
          <w:sz w:val="18"/>
          <w:szCs w:val="18"/>
          <w:b w:val="1"/>
          <w:bCs w:val="1"/>
          <w:u w:val="single" w:color="auto"/>
          <w:color w:val="auto"/>
        </w:rPr>
        <w:t>Administrative Agent</w:t>
      </w:r>
      <w:r>
        <w:rPr>
          <w:rFonts w:ascii="Arial" w:cs="Arial" w:eastAsia="Arial" w:hAnsi="Arial"/>
          <w:sz w:val="18"/>
          <w:szCs w:val="18"/>
          <w:color w:val="auto"/>
        </w:rPr>
        <w:t>”) (such agreement, as amended, restated, amended and restated, supplemented, renewed or otherwise modified from time to time prior to the date hereof, the “</w:t>
      </w:r>
      <w:r>
        <w:rPr>
          <w:rFonts w:ascii="Arial" w:cs="Arial" w:eastAsia="Arial" w:hAnsi="Arial"/>
          <w:sz w:val="18"/>
          <w:szCs w:val="18"/>
          <w:b w:val="1"/>
          <w:bCs w:val="1"/>
          <w:u w:val="single" w:color="auto"/>
          <w:color w:val="auto"/>
        </w:rPr>
        <w:t>Existing Agreement</w:t>
      </w:r>
      <w:r>
        <w:rPr>
          <w:rFonts w:ascii="Arial" w:cs="Arial" w:eastAsia="Arial" w:hAnsi="Arial"/>
          <w:sz w:val="18"/>
          <w:szCs w:val="18"/>
          <w:color w:val="auto"/>
        </w:rPr>
        <w:t>”, and the Existing Agreement, as amended, supplemented, renewed, reaffirmed, ratified or otherwise modified by this Amendment, the “</w:t>
      </w:r>
      <w:r>
        <w:rPr>
          <w:rFonts w:ascii="Arial" w:cs="Arial" w:eastAsia="Arial" w:hAnsi="Arial"/>
          <w:sz w:val="18"/>
          <w:szCs w:val="18"/>
          <w:b w:val="1"/>
          <w:bCs w:val="1"/>
          <w:u w:val="single" w:color="auto"/>
          <w:color w:val="auto"/>
        </w:rPr>
        <w:t>Amended Agreement</w:t>
      </w:r>
      <w:r>
        <w:rPr>
          <w:rFonts w:ascii="Arial" w:cs="Arial" w:eastAsia="Arial" w:hAnsi="Arial"/>
          <w:sz w:val="18"/>
          <w:szCs w:val="18"/>
          <w:color w:val="auto"/>
        </w:rPr>
        <w:t>” and together with each Existing Document which is amended or otherwise modified by this Amendment, the “</w:t>
      </w:r>
      <w:r>
        <w:rPr>
          <w:rFonts w:ascii="Arial" w:cs="Arial" w:eastAsia="Arial" w:hAnsi="Arial"/>
          <w:sz w:val="18"/>
          <w:szCs w:val="18"/>
          <w:b w:val="1"/>
          <w:bCs w:val="1"/>
          <w:u w:val="single" w:color="auto"/>
          <w:color w:val="auto"/>
        </w:rPr>
        <w:t>Amended Documents</w:t>
      </w:r>
      <w:r>
        <w:rPr>
          <w:rFonts w:ascii="Arial" w:cs="Arial" w:eastAsia="Arial" w:hAnsi="Arial"/>
          <w:sz w:val="18"/>
          <w:szCs w:val="18"/>
          <w:color w:val="auto"/>
        </w:rPr>
        <w:t>”). Capitalized terms used and not defined herein shall have the meanings assigned to such terms in the Exhibit attached hereto or the Existing Documents, as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RECITALS:</w:t>
      </w:r>
    </w:p>
    <w:p>
      <w:pPr>
        <w:spacing w:after="0" w:line="21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8"/>
          <w:szCs w:val="18"/>
          <w:color w:val="auto"/>
        </w:rPr>
        <w:t>WHEREAS, certain loans or other extensions of credit under the Existing Agreement and/or other Existing Documents bear or are permitted to bear interest, or incur or are permitted to incur fees, commissions or other amounts, based on the London Interbank Offered Rate for U.S. Dollars (“</w:t>
      </w:r>
      <w:r>
        <w:rPr>
          <w:rFonts w:ascii="Arial" w:cs="Arial" w:eastAsia="Arial" w:hAnsi="Arial"/>
          <w:sz w:val="18"/>
          <w:szCs w:val="18"/>
          <w:b w:val="1"/>
          <w:bCs w:val="1"/>
          <w:u w:val="single" w:color="auto"/>
          <w:color w:val="auto"/>
        </w:rPr>
        <w:t>LIBOR</w:t>
      </w:r>
      <w:r>
        <w:rPr>
          <w:rFonts w:ascii="Arial" w:cs="Arial" w:eastAsia="Arial" w:hAnsi="Arial"/>
          <w:sz w:val="18"/>
          <w:szCs w:val="18"/>
          <w:color w:val="auto"/>
        </w:rPr>
        <w:t>”) in accordance with the terms of the Existing Agreement and/or the other Existing Documents;</w:t>
      </w:r>
    </w:p>
    <w:p>
      <w:pPr>
        <w:spacing w:after="0" w:line="15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8"/>
          <w:szCs w:val="18"/>
          <w:color w:val="auto"/>
        </w:rPr>
        <w:t>WHEREAS, a benchmark transition event (or other analogous or similar event) or an early opt-in election (or other analogous or similar election) has occurred with respect to LIBOR and LIBOR has or will be replaced with Adjusted Term SOFR as an alternative benchmark rate for purposes of the Existing Agreement and the other Existing Documents for settings of benchmark rates that occur on or after the Transition Date (as defined in the Exhibit hereto) in accordance with the benchmark replacement provisions set forth in any applicable Existing Document, and pursuant thereto the Administrative Agent is exercising its right to make certain benchmark replacement conforming changes in connection with the implementation of the applicable benchmark replacement as set forth herein; and</w:t>
      </w:r>
    </w:p>
    <w:p>
      <w:pPr>
        <w:spacing w:after="0" w:line="16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WHEREAS, the amendments and modifications set forth in this Amendment constitute benchmark replacement conforming changes (or other similar conforming changes) for purposes of the Existing Agreement and the other Existing Documents;</w:t>
      </w:r>
    </w:p>
    <w:p>
      <w:pPr>
        <w:spacing w:after="0" w:line="15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0"/>
          <w:szCs w:val="20"/>
          <w:color w:val="auto"/>
        </w:rPr>
        <w:t>NOW, THEREFORE, in consideration of the foregoing premises and other good and valuable consideration, the receipt and sufficiency of which are hereby acknowledged, the following shall be effective: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u w:val="single" w:color="auto"/>
          <w:color w:val="auto"/>
        </w:rPr>
        <w:t>Article I.Amendment</w:t>
      </w:r>
      <w:r>
        <w:rPr>
          <w:rFonts w:ascii="Arial" w:cs="Arial" w:eastAsia="Arial" w:hAnsi="Arial"/>
          <w:sz w:val="20"/>
          <w:szCs w:val="20"/>
          <w:color w:val="auto"/>
        </w:rPr>
        <w:t>. Notwithstanding anything to the contrary contained in the Existing Agreement or in any other Existing Document,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Existing Agreement and each other applicable Existing Document are each hereby amended and modified to give effect to the definitions and provisions set forth on the Exhibit hereto on and as of the Effective Date.</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u w:val="single" w:color="auto"/>
          <w:color w:val="auto"/>
        </w:rPr>
        <w:t>Article II.Notice</w:t>
      </w:r>
      <w:r>
        <w:rPr>
          <w:rFonts w:ascii="Arial" w:cs="Arial" w:eastAsia="Arial" w:hAnsi="Arial"/>
          <w:sz w:val="19"/>
          <w:szCs w:val="19"/>
          <w:color w:val="auto"/>
        </w:rPr>
        <w:t>. To the extent that the Administrative Agent is required (pursuant to any Existing Document or otherwise) to provide notice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Borrower, any Lender or any other party to the Existing Agreement of (i) a benchmark transition event (or other analogous or similar event) or an early opt-in election (or other analogous or similar election) with respect to LIBOR, (ii) a benchmark replacement date (or other analogous or similar date), (iii) the implementation of Adjusted Term SOFR as a benchmark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95" w:name="page96"/>
    <w:bookmarkEnd w:id="95"/>
    <w:p>
      <w:pPr>
        <w:jc w:val="both"/>
        <w:ind w:firstLine="509"/>
        <w:spacing w:after="0" w:line="250" w:lineRule="auto"/>
        <w:rPr>
          <w:sz w:val="20"/>
          <w:szCs w:val="20"/>
          <w:color w:val="auto"/>
        </w:rPr>
      </w:pPr>
      <w:r>
        <w:rPr>
          <w:rFonts w:ascii="Arial" w:cs="Arial" w:eastAsia="Arial" w:hAnsi="Arial"/>
          <w:sz w:val="20"/>
          <w:szCs w:val="20"/>
          <w:color w:val="auto"/>
        </w:rPr>
        <w:t>replacement (or other analogous or similar term) or (iv) any benchmark replacement conforming changes (or other similar conforming changes) in connection with the adoption and implementation of Adjusted Term SOFR or the use and administration thereof, this Amendment shall constitute such notice.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III.Miscellaneous</w:t>
      </w:r>
      <w:r>
        <w:rPr>
          <w:rFonts w:ascii="Arial" w:cs="Arial" w:eastAsia="Arial" w:hAnsi="Arial"/>
          <w:sz w:val="20"/>
          <w:szCs w:val="20"/>
          <w:b w:val="1"/>
          <w:bCs w:val="1"/>
          <w:color w:val="auto"/>
        </w:rPr>
        <w: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Section 3.01</w:t>
      </w:r>
      <w:r>
        <w:rPr>
          <w:rFonts w:ascii="Arial" w:cs="Arial" w:eastAsia="Arial" w:hAnsi="Arial"/>
          <w:sz w:val="20"/>
          <w:szCs w:val="20"/>
          <w:u w:val="single" w:color="auto"/>
          <w:color w:val="auto"/>
        </w:rPr>
        <w:t>Survival</w:t>
      </w:r>
      <w:r>
        <w:rPr>
          <w:rFonts w:ascii="Arial" w:cs="Arial" w:eastAsia="Arial" w:hAnsi="Arial"/>
          <w:sz w:val="20"/>
          <w:szCs w:val="20"/>
          <w:color w:val="auto"/>
        </w:rPr>
        <w:t>. Except as expressly provided in this Amendment, all of the terms, provisions, covenants, agreements, representations</w:t>
      </w:r>
      <w:r>
        <w:rPr>
          <w:rFonts w:ascii="Arial" w:cs="Arial" w:eastAsia="Arial" w:hAnsi="Arial"/>
          <w:sz w:val="20"/>
          <w:szCs w:val="20"/>
          <w:b w:val="1"/>
          <w:bCs w:val="1"/>
          <w:color w:val="auto"/>
        </w:rPr>
        <w:t xml:space="preserve"> </w:t>
      </w:r>
      <w:r>
        <w:rPr>
          <w:rFonts w:ascii="Arial" w:cs="Arial" w:eastAsia="Arial" w:hAnsi="Arial"/>
          <w:sz w:val="20"/>
          <w:szCs w:val="20"/>
          <w:color w:val="auto"/>
        </w:rPr>
        <w:t>and warranties and conditions of the Existing Agreement and the other Existing Documents shall be and remain in full force and effect as written, unmodified hereby. In the event of any conflict between the terms, provisions, covenants, representations and warranties and conditions of this Amendment, on the one hand, and the Existing Agreement or any other applicable Existing Document, on the other hand, this Amendment shall control.</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Section 3.02</w:t>
      </w: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Amendment that is invalid, illegal or unenforceable in any jurisdiction shall, solely as</w:t>
      </w:r>
      <w:r>
        <w:rPr>
          <w:rFonts w:ascii="Arial" w:cs="Arial" w:eastAsia="Arial" w:hAnsi="Arial"/>
          <w:sz w:val="20"/>
          <w:szCs w:val="20"/>
          <w:b w:val="1"/>
          <w:bCs w:val="1"/>
          <w:color w:val="auto"/>
        </w:rPr>
        <w:t xml:space="preserve"> </w:t>
      </w:r>
      <w:r>
        <w:rPr>
          <w:rFonts w:ascii="Arial" w:cs="Arial" w:eastAsia="Arial" w:hAnsi="Arial"/>
          <w:sz w:val="20"/>
          <w:szCs w:val="20"/>
          <w:color w:val="auto"/>
        </w:rPr>
        <w:t>to that jurisdiction, be ineffective solely to the extent of such invalidity, illegality or unenforceability without rendering invalid, illegal or unenforceable the remaining terms and provisions of this Amendment or affecting the validity, legality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Section 3.03</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any claims, controversy, dispute or cause of action (whether in contract or tort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based upon, arising out of or relating to this Amendment and the transactions contemplated hereby shall be governed by, and construed in accordance with, the laws of the jurisdiction that governs the Existing Agreement in accordance with the terms thereof.</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Section 3.04</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the Existing Agreement (as amended hereby) and the other applicable Existing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(as amended hereby) constitute the entire agreement among the parties to the Existing Agreement and such other applicable Existing Document with respect to the subject matter hereof and supersede all other prior agreements and understandings, both written and verbal, among such parties or any of them with respect to the subject matter hereof. Any exhibits or annexes attached hereto (including, without limitation, the Exhibit) are hereby incorporated herein by reference and made a part hereof.</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Section 3.05</w:t>
      </w:r>
      <w:r>
        <w:rPr>
          <w:rFonts w:ascii="Arial" w:cs="Arial" w:eastAsia="Arial" w:hAnsi="Arial"/>
          <w:sz w:val="20"/>
          <w:szCs w:val="20"/>
          <w:u w:val="single" w:color="auto"/>
          <w:color w:val="auto"/>
        </w:rPr>
        <w:t>Binding Effect, Beneficiaries</w:t>
      </w:r>
      <w:r>
        <w:rPr>
          <w:rFonts w:ascii="Arial" w:cs="Arial" w:eastAsia="Arial" w:hAnsi="Arial"/>
          <w:sz w:val="20"/>
          <w:szCs w:val="20"/>
          <w:color w:val="auto"/>
        </w:rPr>
        <w:t>. This Amendment shall be binding upon and inure to the benefit of the parties to the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each other applicable Existing Document and their respective heirs, executors, administrators, successors, legal representatives and assigns, and no other party shall derive any rights or benefits herefrom.</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Section 3.06</w:t>
      </w:r>
      <w:r>
        <w:rPr>
          <w:rFonts w:ascii="Arial" w:cs="Arial" w:eastAsia="Arial" w:hAnsi="Arial"/>
          <w:sz w:val="20"/>
          <w:szCs w:val="20"/>
          <w:u w:val="single" w:color="auto"/>
          <w:color w:val="auto"/>
        </w:rPr>
        <w:t>Construction</w:t>
      </w:r>
      <w:r>
        <w:rPr>
          <w:rFonts w:ascii="Arial" w:cs="Arial" w:eastAsia="Arial" w:hAnsi="Arial"/>
          <w:sz w:val="20"/>
          <w:szCs w:val="20"/>
          <w:color w:val="auto"/>
        </w:rPr>
        <w:t>. This Amendment shall be construed without regard to any presumption or other rule requiring 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the party drafting this Amendment.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Section 3.07</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relating to this Amendment shall be delivered in the manner and subject to the provisions set forth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Agreement.</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Section 3.08</w:t>
      </w:r>
      <w:r>
        <w:rPr>
          <w:rFonts w:ascii="Arial" w:cs="Arial" w:eastAsia="Arial" w:hAnsi="Arial"/>
          <w:sz w:val="20"/>
          <w:szCs w:val="20"/>
          <w:u w:val="single" w:color="auto"/>
          <w:color w:val="auto"/>
        </w:rPr>
        <w:t>Electronic Execution</w:t>
      </w:r>
      <w:r>
        <w:rPr>
          <w:rFonts w:ascii="Arial" w:cs="Arial" w:eastAsia="Arial" w:hAnsi="Arial"/>
          <w:sz w:val="20"/>
          <w:szCs w:val="20"/>
          <w:color w:val="auto"/>
        </w:rPr>
        <w:t>. Delivery of an executed counterpart of a signature page of this Amendment by facsimile or in electronic</w:t>
      </w:r>
      <w:r>
        <w:rPr>
          <w:rFonts w:ascii="Arial" w:cs="Arial" w:eastAsia="Arial" w:hAnsi="Arial"/>
          <w:sz w:val="20"/>
          <w:szCs w:val="20"/>
          <w:b w:val="1"/>
          <w:bCs w:val="1"/>
          <w:color w:val="auto"/>
        </w:rPr>
        <w:t xml:space="preserve"> </w:t>
      </w:r>
      <w:r>
        <w:rPr>
          <w:rFonts w:ascii="Arial" w:cs="Arial" w:eastAsia="Arial" w:hAnsi="Arial"/>
          <w:sz w:val="20"/>
          <w:szCs w:val="20"/>
          <w:color w:val="auto"/>
        </w:rPr>
        <w:t>(e.g., “pdf” or “tif”) format shall be effective as delivery of a manually executed counterpart of this Amendment. 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6" w:name="page97"/>
    <w:bookmarkEnd w:id="96"/>
    <w:p>
      <w:pPr>
        <w:jc w:val="both"/>
        <w:ind w:firstLine="509"/>
        <w:spacing w:after="0" w:line="287" w:lineRule="auto"/>
        <w:rPr>
          <w:sz w:val="20"/>
          <w:szCs w:val="20"/>
          <w:color w:val="auto"/>
        </w:rPr>
      </w:pPr>
      <w:r>
        <w:rPr>
          <w:rFonts w:ascii="Arial" w:cs="Arial" w:eastAsia="Arial" w:hAnsi="Arial"/>
          <w:sz w:val="19"/>
          <w:szCs w:val="19"/>
          <w:color w:val="auto"/>
        </w:rPr>
        <w:t>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Section 3.09</w:t>
      </w:r>
      <w:r>
        <w:rPr>
          <w:rFonts w:ascii="Arial" w:cs="Arial" w:eastAsia="Arial" w:hAnsi="Arial"/>
          <w:sz w:val="20"/>
          <w:szCs w:val="20"/>
          <w:u w:val="single" w:color="auto"/>
          <w:color w:val="auto"/>
        </w:rPr>
        <w:t>Headings</w:t>
      </w:r>
      <w:r>
        <w:rPr>
          <w:rFonts w:ascii="Arial" w:cs="Arial" w:eastAsia="Arial" w:hAnsi="Arial"/>
          <w:sz w:val="20"/>
          <w:szCs w:val="20"/>
          <w:color w:val="auto"/>
        </w:rPr>
        <w:t>. Article and Section headings used herein are for convenience of reference only, are not part of this Amendment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affect the construction of, or be taken into consideration in interpreting, this Amendment.</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Section 3.10</w:t>
      </w:r>
      <w:r>
        <w:rPr>
          <w:rFonts w:ascii="Arial" w:cs="Arial" w:eastAsia="Arial" w:hAnsi="Arial"/>
          <w:sz w:val="18"/>
          <w:szCs w:val="18"/>
          <w:u w:val="single" w:color="auto"/>
          <w:color w:val="auto"/>
        </w:rPr>
        <w:t>Reference to and Effect on the Existing Agreement and the Other Existing Documents</w:t>
      </w:r>
      <w:r>
        <w:rPr>
          <w:rFonts w:ascii="Arial" w:cs="Arial" w:eastAsia="Arial" w:hAnsi="Arial"/>
          <w:sz w:val="18"/>
          <w:szCs w:val="18"/>
          <w:color w:val="auto"/>
        </w:rPr>
        <w:t>. On and after the Effective Date, each</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in any Existing Document to such Existing Document and the use therein of “hereunder”, “herein” or words of like import referring to such Existing Document, and each reference in the other Existing Documents to another Existing Document and the use therein of “thereunder”, “thereof” or words of like import referring to such Existing Document, shall, in each case, mean and be a reference to such Existing Document as amended by this Amendment. Except as specifically amended by this Amendment, the Existing Agreement and the other Existing Documents shall remain in full force and effect (with the same priority, as applicable) and are hereby ratified and confirmed and this Amendment shall not be considered a novation. The execution, delivery and performance of this Amendment shall not constitute a waiver of any provision of, or operate as a waiver of any right, power or remedy of the Administrative Agent, any Lender or any other party under, the Amended Agreement, any of the other Amended Documents or otherwise. This Amendment shall be deemed to be a “Loan Document”, “Credit Document”, “Transaction Document”, “Financing Agreement” or “Related Document” (or other analogous or similar defined term) for purposes of the Amended Agreement and the other Amended Documents.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97" w:name="page98"/>
    <w:bookmarkEnd w:id="97"/>
    <w:p>
      <w:pPr>
        <w:ind w:firstLine="749"/>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and delivered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CITIBANK, N.A., as Administrative Agent</w:t>
      </w:r>
    </w:p>
    <w:p>
      <w:pPr>
        <w:spacing w:after="0" w:line="238"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By: /s/ Stephanie Epkins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-17780</wp:posOffset>
            </wp:positionV>
            <wp:extent cx="115443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4840"/>
        <w:spacing w:after="0" w:line="238" w:lineRule="auto"/>
        <w:rPr>
          <w:sz w:val="20"/>
          <w:szCs w:val="20"/>
          <w:color w:val="auto"/>
        </w:rPr>
      </w:pPr>
      <w:r>
        <w:rPr>
          <w:rFonts w:ascii="Arial" w:cs="Arial" w:eastAsia="Arial" w:hAnsi="Arial"/>
          <w:sz w:val="22"/>
          <w:szCs w:val="22"/>
          <w:color w:val="auto"/>
        </w:rPr>
        <w:t>Name: Stephanie Epkins</w:t>
      </w:r>
    </w:p>
    <w:p>
      <w:pPr>
        <w:ind w:left="48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 Page to First Amendment to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NAI-1537143219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609" w:right="679" w:bottom="1440" w:gutter="0" w:footer="0" w:header="0"/>
        </w:sectPr>
      </w:pPr>
    </w:p>
    <w:bookmarkStart w:id="98" w:name="page99"/>
    <w:bookmarkEnd w:id="98"/>
    <w:p>
      <w:pPr>
        <w:ind w:left="4680"/>
        <w:spacing w:after="0"/>
        <w:rPr>
          <w:sz w:val="20"/>
          <w:szCs w:val="20"/>
          <w:color w:val="auto"/>
        </w:rPr>
      </w:pPr>
      <w:r>
        <w:rPr>
          <w:rFonts w:ascii="Arial" w:cs="Arial" w:eastAsia="Arial" w:hAnsi="Arial"/>
          <w:sz w:val="20"/>
          <w:szCs w:val="20"/>
          <w:b w:val="1"/>
          <w:bCs w:val="1"/>
          <w:color w:val="auto"/>
        </w:rPr>
        <w:t>BORROWER:</w:t>
      </w:r>
    </w:p>
    <w:p>
      <w:pPr>
        <w:spacing w:after="0" w:line="22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FLYWIRE CORPORATION, a Delaware corporation</w:t>
      </w:r>
    </w:p>
    <w:p>
      <w:pPr>
        <w:spacing w:after="0" w:line="26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By: /s/ Peter Butterfield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-17780</wp:posOffset>
            </wp:positionV>
            <wp:extent cx="11087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4680"/>
        <w:spacing w:after="0" w:line="238" w:lineRule="auto"/>
        <w:rPr>
          <w:sz w:val="20"/>
          <w:szCs w:val="20"/>
          <w:color w:val="auto"/>
        </w:rPr>
      </w:pPr>
      <w:r>
        <w:rPr>
          <w:rFonts w:ascii="Arial" w:cs="Arial" w:eastAsia="Arial" w:hAnsi="Arial"/>
          <w:sz w:val="22"/>
          <w:szCs w:val="22"/>
          <w:color w:val="auto"/>
        </w:rPr>
        <w:t>Name: Peter Butterfield</w:t>
      </w:r>
    </w:p>
    <w:p>
      <w:pPr>
        <w:ind w:left="4680"/>
        <w:spacing w:after="0" w:line="230" w:lineRule="auto"/>
        <w:rPr>
          <w:sz w:val="20"/>
          <w:szCs w:val="20"/>
          <w:color w:val="auto"/>
        </w:rPr>
      </w:pPr>
      <w:r>
        <w:rPr>
          <w:rFonts w:ascii="Arial" w:cs="Arial" w:eastAsia="Arial" w:hAnsi="Arial"/>
          <w:sz w:val="22"/>
          <w:szCs w:val="22"/>
          <w:color w:val="auto"/>
        </w:rPr>
        <w:t>Title: General Counsel &amp; Chief Compliance</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Officer</w:t>
      </w:r>
    </w:p>
    <w:p>
      <w:pPr>
        <w:spacing w:after="0" w:line="19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[Signature Page to First Amendment to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NAI-1537143219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05"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20"/>
          <w:szCs w:val="20"/>
          <w:b w:val="1"/>
          <w:bCs w:val="1"/>
          <w:u w:val="single" w:color="auto"/>
          <w:color w:val="auto"/>
        </w:rPr>
        <w:t>EXHIBIT TO AMENDMENT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OPERATIVE TERMS FOR LIBOR REPLACEMENT WITH TERM SOFR</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color w:val="auto"/>
        </w:rPr>
        <w:t>Notwithstanding anything to the contrary contained in the Existing Agreement or in any other Existing Document, the Existing Agreement and, solely to the extent applicable, each other Existing Document are each hereby amended and modified to give effect to the provisions set forth on this Exhibit.</w:t>
      </w:r>
    </w:p>
    <w:p>
      <w:pPr>
        <w:spacing w:after="0"/>
        <w:rPr>
          <w:sz w:val="20"/>
          <w:szCs w:val="20"/>
          <w:color w:val="auto"/>
        </w:rPr>
      </w:pPr>
      <w:r>
        <w:rPr>
          <w:rFonts w:ascii="Arial" w:cs="Arial" w:eastAsia="Arial" w:hAnsi="Arial"/>
          <w:sz w:val="20"/>
          <w:szCs w:val="20"/>
          <w:b w:val="1"/>
          <w:bCs w:val="1"/>
          <w:u w:val="single" w:color="auto"/>
          <w:color w:val="auto"/>
        </w:rPr>
        <w:t>Article IV.</w:t>
      </w:r>
      <w:r>
        <w:rPr>
          <w:rFonts w:ascii="Arial" w:cs="Arial" w:eastAsia="Arial" w:hAnsi="Arial"/>
          <w:sz w:val="20"/>
          <w:szCs w:val="20"/>
          <w:u w:val="single" w:color="auto"/>
          <w:color w:val="auto"/>
        </w:rPr>
        <w:t>Discontinuance of LIBOR Referencing Credit Extensions.</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Section 4.01</w:t>
      </w:r>
      <w:r>
        <w:rPr>
          <w:rFonts w:ascii="Arial" w:cs="Arial" w:eastAsia="Arial" w:hAnsi="Arial"/>
          <w:sz w:val="20"/>
          <w:szCs w:val="20"/>
          <w:u w:val="single" w:color="auto"/>
          <w:color w:val="auto"/>
        </w:rPr>
        <w:t>LIBOR Credit Extensions</w:t>
      </w:r>
      <w:r>
        <w:rPr>
          <w:rFonts w:ascii="Arial" w:cs="Arial" w:eastAsia="Arial" w:hAnsi="Arial"/>
          <w:sz w:val="20"/>
          <w:szCs w:val="20"/>
          <w:color w:val="auto"/>
        </w:rPr>
        <w:t>. Notwithstanding any provision of the Existing Agreement or any other Existing Document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contrary, from and after the Transition Date, whether or not LIBOR is operational, reported, representative or otherwise available in the market as of such date, subject to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of this Exhibit: (a) no LIBOR Credit Extension shall be available, requested or made thereunder, (b) any request to continue or convert an existing Credit Extension to a LIBOR Credit Extension shall be ineffective and (c) any request for a new LIBOR Credit Extension, or to continue an existing LIBOR Credit Extension as a LIBOR Credit Extension, shall be ineffective.</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Section 4.02</w:t>
      </w:r>
      <w:r>
        <w:rPr>
          <w:rFonts w:ascii="Arial" w:cs="Arial" w:eastAsia="Arial" w:hAnsi="Arial"/>
          <w:sz w:val="18"/>
          <w:szCs w:val="18"/>
          <w:u w:val="single" w:color="auto"/>
          <w:color w:val="auto"/>
        </w:rPr>
        <w:t>LIBOR Related Definitions and Provisions</w:t>
      </w:r>
      <w:r>
        <w:rPr>
          <w:rFonts w:ascii="Arial" w:cs="Arial" w:eastAsia="Arial" w:hAnsi="Arial"/>
          <w:sz w:val="18"/>
          <w:szCs w:val="18"/>
          <w:color w:val="auto"/>
        </w:rPr>
        <w:t>. Notwithstanding any provision of the Existing Agreement or any other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 to the contrary, subject to the provisions of </w:t>
      </w:r>
      <w:r>
        <w:rPr>
          <w:rFonts w:ascii="Arial" w:cs="Arial" w:eastAsia="Arial" w:hAnsi="Arial"/>
          <w:sz w:val="18"/>
          <w:szCs w:val="18"/>
          <w:u w:val="single" w:color="auto"/>
          <w:color w:val="auto"/>
        </w:rPr>
        <w:t>Sections 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2.02</w:t>
      </w:r>
      <w:r>
        <w:rPr>
          <w:rFonts w:ascii="Arial" w:cs="Arial" w:eastAsia="Arial" w:hAnsi="Arial"/>
          <w:sz w:val="18"/>
          <w:szCs w:val="18"/>
          <w:color w:val="auto"/>
        </w:rPr>
        <w:t xml:space="preserve"> of this Exhibit, from and after the Transition Date,</w:t>
      </w:r>
    </w:p>
    <w:p>
      <w:pPr>
        <w:spacing w:after="0" w:line="1" w:lineRule="exact"/>
        <w:rPr>
          <w:sz w:val="20"/>
          <w:szCs w:val="20"/>
          <w:color w:val="auto"/>
        </w:rPr>
      </w:pPr>
    </w:p>
    <w:p>
      <w:pPr>
        <w:jc w:val="both"/>
        <w:ind w:firstLine="8"/>
        <w:spacing w:after="0" w:line="266"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LIBOR Related Definitions shall be deemed deleted from the Existing Agreement and each other applicable Existing Document and of no further force or effect, and (b) the LIBOR Related Provisions (other than LIBOR Related Provisions of the type described in clause (b)</w:t>
      </w:r>
    </w:p>
    <w:p>
      <w:pPr>
        <w:jc w:val="both"/>
        <w:ind w:firstLine="8"/>
        <w:spacing w:after="0" w:line="241" w:lineRule="auto"/>
        <w:tabs>
          <w:tab w:leader="none" w:pos="282" w:val="left"/>
        </w:tabs>
        <w:numPr>
          <w:ilvl w:val="0"/>
          <w:numId w:val="39"/>
        </w:numPr>
        <w:rPr>
          <w:rFonts w:ascii="Arial" w:cs="Arial" w:eastAsia="Arial" w:hAnsi="Arial"/>
          <w:sz w:val="20"/>
          <w:szCs w:val="20"/>
          <w:color w:val="auto"/>
        </w:rPr>
      </w:pPr>
      <w:r>
        <w:rPr>
          <w:rFonts w:ascii="Arial" w:cs="Arial" w:eastAsia="Arial" w:hAnsi="Arial"/>
          <w:sz w:val="20"/>
          <w:szCs w:val="20"/>
          <w:color w:val="auto"/>
        </w:rPr>
        <w:t>of the definition thereof) shall be deemed to be amended or modified, as applicable, such that any such LIBOR Related Provision shall no longer refer to or have effect as it relates to (i) LIBOR, (ii) any LIBOR Related Definition, (iii) any LIBOR Referencing Credit Extension, (iv) any other LIBOR Related Provision, or (v) dates, times, activities or other matters relating to London or the United Kingdom to the extent primarily related to the determination, administration or calculation of LIBOR.</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Section 4.03</w:t>
      </w:r>
      <w:r>
        <w:rPr>
          <w:rFonts w:ascii="Arial" w:cs="Arial" w:eastAsia="Arial" w:hAnsi="Arial"/>
          <w:sz w:val="20"/>
          <w:szCs w:val="20"/>
          <w:u w:val="single" w:color="auto"/>
          <w:color w:val="auto"/>
        </w:rPr>
        <w:t>Fees, Costs or Other Amounts</w:t>
      </w:r>
      <w:r>
        <w:rPr>
          <w:rFonts w:ascii="Arial" w:cs="Arial" w:eastAsia="Arial" w:hAnsi="Arial"/>
          <w:sz w:val="20"/>
          <w:szCs w:val="20"/>
          <w:color w:val="auto"/>
        </w:rPr>
        <w:t>. Notwithstanding any provision of the Existing Agreement or any other Existing Document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contrary, except to the extent otherwise explicitly provided pursuant to the provisions of Article II of this Exhibit, to the extent that any fee, cost, expense, all-in-yield or other amount under the Existing Agreement or any other Existing Document is based upon or calculated with reference to LIBOR, from and after the Transition Date, such fee, cost, expense, all-in-yield or other amount shall be deemed to refer to Adjusted Term SOFR in lieu of LIBOR.</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Section 4.04</w:t>
      </w:r>
      <w:r>
        <w:rPr>
          <w:rFonts w:ascii="Arial" w:cs="Arial" w:eastAsia="Arial" w:hAnsi="Arial"/>
          <w:sz w:val="18"/>
          <w:szCs w:val="18"/>
          <w:u w:val="single" w:color="auto"/>
          <w:color w:val="auto"/>
        </w:rPr>
        <w:t>Prior LIBOR Referencing Credit Extensions</w:t>
      </w:r>
      <w:r>
        <w:rPr>
          <w:rFonts w:ascii="Arial" w:cs="Arial" w:eastAsia="Arial" w:hAnsi="Arial"/>
          <w:sz w:val="18"/>
          <w:szCs w:val="18"/>
          <w:color w:val="auto"/>
        </w:rPr>
        <w:t>. The foregoing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Exhibit shall not apply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(a) LIBOR Credit Extension requested, made or outstanding at any time prior to the Transition Date (and, for the avoidance of doubt, the LIBOR Related Provisions, LIBOR Related Definitions (in each case, solely to the extent relating to such LIBOR Credit Extension), and any related rights or obligations) and (b) any retroactive margin or yield increases available to the Lenders as a result of any inaccuracy in any financial statement or compliance certificate that, if corrected, would have led to the application of a higher interest margin or yield with respect to any LIBOR Referencing Credit Extension or any higher fee for any applicable period, and in each case, the LIBOR Related Definitions and LIBOR Related Provisions (as in effect immediately prior to giving effect to the provisions of this Amendment on the Transition Date) shall continue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LIBOR Credit Extension described in clause (a), such LIBOR Credit Extension shall only continue in effect in accordance with its terms until the end of the then-current Interest Period for such LIBOR Credit Extension. For the avoidance of doubt, unless the Borrower elects otherwise in accordance with the Amended Documents, at the end of the then-current Interest Period such outstanding LIBOR Credit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0" w:name="page101"/>
    <w:bookmarkEnd w:id="100"/>
    <w:p>
      <w:pPr>
        <w:jc w:val="both"/>
        <w:ind w:firstLine="509"/>
        <w:spacing w:after="0" w:line="260" w:lineRule="auto"/>
        <w:rPr>
          <w:sz w:val="20"/>
          <w:szCs w:val="20"/>
          <w:color w:val="auto"/>
        </w:rPr>
      </w:pPr>
      <w:r>
        <w:rPr>
          <w:rFonts w:ascii="Arial" w:cs="Arial" w:eastAsia="Arial" w:hAnsi="Arial"/>
          <w:sz w:val="20"/>
          <w:szCs w:val="20"/>
          <w:color w:val="auto"/>
        </w:rPr>
        <w:t xml:space="preserve">Extension shall be converted and/or continued in accordance with the Amended Documents, and if no such election is made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2.03(c)</w:t>
      </w:r>
      <w:r>
        <w:rPr>
          <w:rFonts w:ascii="Arial" w:cs="Arial" w:eastAsia="Arial" w:hAnsi="Arial"/>
          <w:sz w:val="20"/>
          <w:szCs w:val="20"/>
          <w:color w:val="auto"/>
        </w:rPr>
        <w:t xml:space="preserve"> of this Exhibit shall apply.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V.</w:t>
      </w:r>
      <w:r>
        <w:rPr>
          <w:rFonts w:ascii="Arial" w:cs="Arial" w:eastAsia="Arial" w:hAnsi="Arial"/>
          <w:sz w:val="20"/>
          <w:szCs w:val="20"/>
          <w:u w:val="single" w:color="auto"/>
          <w:color w:val="auto"/>
        </w:rPr>
        <w:t>New SOFR Referencing Credit Extensions</w:t>
      </w:r>
      <w:r>
        <w:rPr>
          <w:rFonts w:ascii="Arial" w:cs="Arial" w:eastAsia="Arial" w:hAnsi="Arial"/>
          <w:sz w:val="20"/>
          <w:szCs w:val="20"/>
          <w:color w:val="auto"/>
        </w:rPr>
        <w:t>.</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Section 5.01</w:t>
      </w:r>
      <w:r>
        <w:rPr>
          <w:rFonts w:ascii="Arial" w:cs="Arial" w:eastAsia="Arial" w:hAnsi="Arial"/>
          <w:sz w:val="18"/>
          <w:szCs w:val="18"/>
          <w:u w:val="single" w:color="auto"/>
          <w:color w:val="auto"/>
        </w:rPr>
        <w:t>SOFR Conventions with Respect to Existing Definitions</w:t>
      </w:r>
      <w:r>
        <w:rPr>
          <w:rFonts w:ascii="Arial" w:cs="Arial" w:eastAsia="Arial" w:hAnsi="Arial"/>
          <w:sz w:val="18"/>
          <w:szCs w:val="18"/>
          <w:color w:val="auto"/>
        </w:rPr>
        <w:t>. Notwithstanding any provision of the Existing Agreement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Document to the contrary, subject to </w:t>
      </w:r>
      <w:r>
        <w:rPr>
          <w:rFonts w:ascii="Arial" w:cs="Arial" w:eastAsia="Arial" w:hAnsi="Arial"/>
          <w:sz w:val="18"/>
          <w:szCs w:val="18"/>
          <w:u w:val="single" w:color="auto"/>
          <w:color w:val="auto"/>
        </w:rPr>
        <w:t>Sections 2.02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2.03</w:t>
      </w:r>
      <w:r>
        <w:rPr>
          <w:rFonts w:ascii="Arial" w:cs="Arial" w:eastAsia="Arial" w:hAnsi="Arial"/>
          <w:sz w:val="18"/>
          <w:szCs w:val="18"/>
          <w:color w:val="auto"/>
        </w:rPr>
        <w:t xml:space="preserve"> of this Exhibit, the following provisions shall apply for the purposes of the Amended Agreement and each other applicable Amended Document, and the Existing Agreement and each other applicable Existing Document are hereby amended and modified from and after the Transition Date to incorporate such provisions therein:</w:t>
      </w:r>
    </w:p>
    <w:p>
      <w:pPr>
        <w:spacing w:after="0" w:line="151" w:lineRule="exact"/>
        <w:rPr>
          <w:sz w:val="20"/>
          <w:szCs w:val="20"/>
          <w:color w:val="auto"/>
        </w:rPr>
      </w:pPr>
    </w:p>
    <w:p>
      <w:pPr>
        <w:jc w:val="both"/>
        <w:ind w:left="760" w:hanging="452"/>
        <w:spacing w:after="0" w:line="245" w:lineRule="auto"/>
        <w:tabs>
          <w:tab w:leader="none" w:pos="760" w:val="left"/>
        </w:tabs>
        <w:numPr>
          <w:ilvl w:val="0"/>
          <w:numId w:val="40"/>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Business Days</w:t>
      </w:r>
      <w:r>
        <w:rPr>
          <w:rFonts w:ascii="Arial" w:cs="Arial" w:eastAsia="Arial" w:hAnsi="Arial"/>
          <w:sz w:val="20"/>
          <w:szCs w:val="20"/>
          <w:color w:val="auto"/>
        </w:rPr>
        <w:t>. To the extent that any term or provision of the Existing Agreement or any other Existing Document refers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 “Business Day”, “Banking Day”, “business day” or other analogous or similar term or provision defining generally the days on which banks are deemed to be open for business, such term or provision shall instead be deemed to require that such day be a U.S. Government Securities Business Day when used in connection with a SOFR Credit Extension, or the component of any other rate (including an Alternate Rate Credit Extension), calculation, administration or determination involving SOFR or Adjusted Term SOFR.</w:t>
      </w:r>
    </w:p>
    <w:p>
      <w:pPr>
        <w:spacing w:after="0" w:line="184" w:lineRule="exact"/>
        <w:rPr>
          <w:rFonts w:ascii="Arial" w:cs="Arial" w:eastAsia="Arial" w:hAnsi="Arial"/>
          <w:sz w:val="20"/>
          <w:szCs w:val="20"/>
          <w:b w:val="1"/>
          <w:bCs w:val="1"/>
          <w:u w:val="single" w:color="auto"/>
          <w:color w:val="auto"/>
        </w:rPr>
      </w:pPr>
    </w:p>
    <w:p>
      <w:pPr>
        <w:jc w:val="both"/>
        <w:ind w:left="760" w:hanging="452"/>
        <w:spacing w:after="0" w:line="277" w:lineRule="auto"/>
        <w:tabs>
          <w:tab w:leader="none" w:pos="760" w:val="left"/>
        </w:tabs>
        <w:numPr>
          <w:ilvl w:val="0"/>
          <w:numId w:val="4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Interest Payment Dates</w:t>
      </w:r>
      <w:r>
        <w:rPr>
          <w:rFonts w:ascii="Arial" w:cs="Arial" w:eastAsia="Arial" w:hAnsi="Arial"/>
          <w:sz w:val="18"/>
          <w:szCs w:val="18"/>
          <w:color w:val="auto"/>
        </w:rPr>
        <w:t>. To the extent that any provision of the Existing Agreement or any other Existing Document refers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“Interest Payment Date” (in the context of the dates on which payments of interest, fees, commissions or other amounts on certain Credit Extensions are to be made) or any other analogous or similar term or provision defining generally the dates on which payments of interest, fees, commissions or other amounts on Credit Extensions are to be made, such term or provision shall be deemed to apply to SOFR Credit Extensions and payments of such interest, fees and commissions on SOFR Credit Extensions shall be paid on the same dates as required with respect to LIBOR Credit Extensions.</w:t>
      </w:r>
    </w:p>
    <w:p>
      <w:pPr>
        <w:spacing w:after="0" w:line="159" w:lineRule="exact"/>
        <w:rPr>
          <w:rFonts w:ascii="Arial" w:cs="Arial" w:eastAsia="Arial" w:hAnsi="Arial"/>
          <w:sz w:val="18"/>
          <w:szCs w:val="18"/>
          <w:b w:val="1"/>
          <w:bCs w:val="1"/>
          <w:u w:val="single" w:color="auto"/>
          <w:color w:val="auto"/>
        </w:rPr>
      </w:pPr>
    </w:p>
    <w:p>
      <w:pPr>
        <w:jc w:val="both"/>
        <w:ind w:left="760" w:hanging="452"/>
        <w:spacing w:after="0" w:line="253" w:lineRule="auto"/>
        <w:tabs>
          <w:tab w:leader="none" w:pos="760" w:val="left"/>
        </w:tabs>
        <w:numPr>
          <w:ilvl w:val="0"/>
          <w:numId w:val="40"/>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Types of Credit Extension</w:t>
      </w:r>
      <w:r>
        <w:rPr>
          <w:rFonts w:ascii="Arial" w:cs="Arial" w:eastAsia="Arial" w:hAnsi="Arial"/>
          <w:sz w:val="20"/>
          <w:szCs w:val="20"/>
          <w:color w:val="auto"/>
        </w:rPr>
        <w:t>. To the extent that the Existing Agreement or any other Existing Document categorizes Credit</w:t>
      </w:r>
      <w:r>
        <w:rPr>
          <w:rFonts w:ascii="Arial" w:cs="Arial" w:eastAsia="Arial" w:hAnsi="Arial"/>
          <w:sz w:val="20"/>
          <w:szCs w:val="20"/>
          <w:b w:val="1"/>
          <w:bCs w:val="1"/>
          <w:color w:val="auto"/>
        </w:rPr>
        <w:t xml:space="preserve"> </w:t>
      </w:r>
      <w:r>
        <w:rPr>
          <w:rFonts w:ascii="Arial" w:cs="Arial" w:eastAsia="Arial" w:hAnsi="Arial"/>
          <w:sz w:val="20"/>
          <w:szCs w:val="20"/>
          <w:color w:val="auto"/>
        </w:rPr>
        <w:t>Extensions by type of benchmark rate that applies to such Credit Extensions, SOFR Credit Extensions shall constitute a type of Credit Extension, and any such definition shall be deemed to include SOFR Credit Extensions.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color w:val="auto"/>
        </w:rPr>
        <w:t>Section 5.02</w:t>
      </w:r>
      <w:r>
        <w:rPr>
          <w:rFonts w:ascii="Arial" w:cs="Arial" w:eastAsia="Arial" w:hAnsi="Arial"/>
          <w:sz w:val="18"/>
          <w:szCs w:val="18"/>
          <w:u w:val="single" w:color="auto"/>
          <w:color w:val="auto"/>
        </w:rPr>
        <w:t>SOFR Referencing Credit Extensions</w:t>
      </w:r>
      <w:r>
        <w:rPr>
          <w:rFonts w:ascii="Arial" w:cs="Arial" w:eastAsia="Arial" w:hAnsi="Arial"/>
          <w:sz w:val="18"/>
          <w:szCs w:val="18"/>
          <w:color w:val="auto"/>
        </w:rPr>
        <w:t>. Notwithstanding any provision of the Existing Agreement or any other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 to the contrary, to the extent that, (a) immediately prior to giving effect to the provisions of </w:t>
      </w:r>
      <w:r>
        <w:rPr>
          <w:rFonts w:ascii="Arial" w:cs="Arial" w:eastAsia="Arial" w:hAnsi="Arial"/>
          <w:sz w:val="18"/>
          <w:szCs w:val="18"/>
          <w:u w:val="single" w:color="auto"/>
          <w:color w:val="auto"/>
        </w:rPr>
        <w:t>Sections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w:t>
      </w:r>
      <w:r>
        <w:rPr>
          <w:rFonts w:ascii="Arial" w:cs="Arial" w:eastAsia="Arial" w:hAnsi="Arial"/>
          <w:sz w:val="18"/>
          <w:szCs w:val="18"/>
          <w:color w:val="auto"/>
        </w:rPr>
        <w:t xml:space="preserve"> of this Exhibit, the Existing Agreement or any other Existing Document required or permitted the request, making and maintenance of any type of Credit Extension as a LIBOR Referencing Credit Extension, such type of Credit Extension shall only be available, and may be requested, made and maintained, as a SOFR Referencing Credit Extension from and after the Transition Date, subject to satisfaction of the applicable provisions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of this Exhibit and the other provisions of the Amended Agreement and any other applicable Amended Document, and (b) any term or provision of the Existing Agreement or any other Existing Document (other than a LIBOR Related Definition) that refers or is applicable to a LIBOR Referencing Credit Extension immediately prior to giving effect to the provisions of this Amendment on the Transition Date shall be deemed to refer to and be applicable to a SOFR Referencing Credit Extension from and after the Transition Date, unless, and to the extent that, such provision is superseded or otherwise modified by this Amendment.</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Section 5.03</w:t>
      </w:r>
      <w:r>
        <w:rPr>
          <w:rFonts w:ascii="Arial" w:cs="Arial" w:eastAsia="Arial" w:hAnsi="Arial"/>
          <w:sz w:val="20"/>
          <w:szCs w:val="20"/>
          <w:u w:val="single" w:color="auto"/>
          <w:color w:val="auto"/>
        </w:rPr>
        <w:t>Provisions Relating to SOFR Referencing Credit Extensions</w:t>
      </w:r>
      <w:r>
        <w:rPr>
          <w:rFonts w:ascii="Arial" w:cs="Arial" w:eastAsia="Arial" w:hAnsi="Arial"/>
          <w:sz w:val="20"/>
          <w:szCs w:val="20"/>
          <w:color w:val="auto"/>
        </w:rPr>
        <w:t>. Notwithstanding any provision of the Existing Agreement or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Existing Document to the contrary, in addition to any requirements with respect to Credit Extensions generally in the Amended Agreement or any other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1" w:name="page102"/>
    <w:bookmarkEnd w:id="101"/>
    <w:p>
      <w:pPr>
        <w:ind w:left="520"/>
        <w:spacing w:after="0"/>
        <w:rPr>
          <w:sz w:val="20"/>
          <w:szCs w:val="20"/>
          <w:color w:val="auto"/>
        </w:rPr>
      </w:pPr>
      <w:r>
        <w:rPr>
          <w:rFonts w:ascii="Arial" w:cs="Arial" w:eastAsia="Arial" w:hAnsi="Arial"/>
          <w:sz w:val="18"/>
          <w:szCs w:val="18"/>
          <w:color w:val="auto"/>
        </w:rPr>
        <w:t>applicable Amended Document, SOFR Referencing Credit Extensions shall be subject to the following provisions from and after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Transition Date:</w:t>
      </w:r>
    </w:p>
    <w:p>
      <w:pPr>
        <w:spacing w:after="0" w:line="194" w:lineRule="exact"/>
        <w:rPr>
          <w:sz w:val="20"/>
          <w:szCs w:val="20"/>
          <w:color w:val="auto"/>
        </w:rPr>
      </w:pPr>
    </w:p>
    <w:p>
      <w:pPr>
        <w:jc w:val="both"/>
        <w:ind w:left="760" w:hanging="452"/>
        <w:spacing w:after="0" w:line="258" w:lineRule="auto"/>
        <w:tabs>
          <w:tab w:leader="none" w:pos="760" w:val="left"/>
        </w:tabs>
        <w:numPr>
          <w:ilvl w:val="0"/>
          <w:numId w:val="4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Borrowing Notice</w:t>
      </w:r>
      <w:r>
        <w:rPr>
          <w:rFonts w:ascii="Arial" w:cs="Arial" w:eastAsia="Arial" w:hAnsi="Arial"/>
          <w:sz w:val="19"/>
          <w:szCs w:val="19"/>
          <w:color w:val="auto"/>
        </w:rPr>
        <w:t>. Any provision under the Existing Agreement or any other Existing Document that required, immediately prior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giving effect to the provisions of </w:t>
      </w:r>
      <w:r>
        <w:rPr>
          <w:rFonts w:ascii="Arial" w:cs="Arial" w:eastAsia="Arial" w:hAnsi="Arial"/>
          <w:sz w:val="19"/>
          <w:szCs w:val="19"/>
          <w:u w:val="single" w:color="auto"/>
          <w:color w:val="auto"/>
        </w:rPr>
        <w:t>Sections 1.01 and 1.02</w:t>
      </w:r>
      <w:r>
        <w:rPr>
          <w:rFonts w:ascii="Arial" w:cs="Arial" w:eastAsia="Arial" w:hAnsi="Arial"/>
          <w:sz w:val="19"/>
          <w:szCs w:val="19"/>
          <w:color w:val="auto"/>
        </w:rPr>
        <w:t xml:space="preserve"> of this Exhibit, the Borrower to provide notice to the Administrative Agent of a borrowing of any LIBOR Credit Extension shall be deemed, in each case, to refer to a SOFR Credit Extension in lieu of a LIBOR Credit Extension and all requirements applicable to any such borrowing of a LIBOR Credit Extension shall be deemed to refer and apply to a SOFR Credit Extension. For the avoidance of doubt, with respect to a SOFR Credit Extension, any notice of any borrowing must be received by the Administrative Agent in accordance with the time periods and subject to the requirements (modified solely to apply Adjusted Term SOFR as the benchmark rate) for notice of borrowings set forth in the Existing Documents and applicable to LIBOR Credit Extensions.</w:t>
      </w:r>
    </w:p>
    <w:p>
      <w:pPr>
        <w:spacing w:after="0" w:line="173" w:lineRule="exact"/>
        <w:rPr>
          <w:rFonts w:ascii="Arial" w:cs="Arial" w:eastAsia="Arial" w:hAnsi="Arial"/>
          <w:sz w:val="19"/>
          <w:szCs w:val="19"/>
          <w:b w:val="1"/>
          <w:bCs w:val="1"/>
          <w:u w:val="single" w:color="auto"/>
          <w:color w:val="auto"/>
        </w:rPr>
      </w:pPr>
    </w:p>
    <w:p>
      <w:pPr>
        <w:jc w:val="both"/>
        <w:ind w:left="760" w:hanging="452"/>
        <w:spacing w:after="0" w:line="256" w:lineRule="auto"/>
        <w:tabs>
          <w:tab w:leader="none" w:pos="760" w:val="left"/>
        </w:tabs>
        <w:numPr>
          <w:ilvl w:val="0"/>
          <w:numId w:val="4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Conversions and Continuations of SOFR Credit Extensions</w:t>
      </w:r>
      <w:r>
        <w:rPr>
          <w:rFonts w:ascii="Arial" w:cs="Arial" w:eastAsia="Arial" w:hAnsi="Arial"/>
          <w:sz w:val="19"/>
          <w:szCs w:val="19"/>
          <w:color w:val="auto"/>
        </w:rPr>
        <w:t>. Any provision under the Existing Agreement or any other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 that required, immediately prior to giving effect to the provisions of </w:t>
      </w:r>
      <w:r>
        <w:rPr>
          <w:rFonts w:ascii="Arial" w:cs="Arial" w:eastAsia="Arial" w:hAnsi="Arial"/>
          <w:sz w:val="19"/>
          <w:szCs w:val="19"/>
          <w:u w:val="single" w:color="auto"/>
          <w:color w:val="auto"/>
        </w:rPr>
        <w:t>Sections 1.01 and 1.02</w:t>
      </w:r>
      <w:r>
        <w:rPr>
          <w:rFonts w:ascii="Arial" w:cs="Arial" w:eastAsia="Arial" w:hAnsi="Arial"/>
          <w:sz w:val="19"/>
          <w:szCs w:val="19"/>
          <w:color w:val="auto"/>
        </w:rPr>
        <w:t xml:space="preserve"> of this Exhibit, the Borrower to provide notice to the Administrative Agent that the Borrower has elected to convert any Credit Extension that is not a LIBOR Credit Extension into a LIBOR Credit Extension, or continue a LIBOR Credit Extension at the termination of the Interest Period therefor, shall be deemed, in each case, to refer to a SOFR Credit Extension in lieu of a LIBOR Credit Extension and all requirements applicable to any such request or continuation of a LIBOR Credit Extension shall be deemed to refer and apply to a SOFR Credit Extension. For the avoidance of doubt, with respect to any SOFR Credit Extension, any notice of any such conversion or continuation must be received by the Administrative Agent in accordance with the time periods and subject to the requirements (modified solely to apply Adjusted Term SOFR as the benchmark rate) set forth in the Existing Documents and applicable to LIBOR Credit Extensions.</w:t>
      </w:r>
    </w:p>
    <w:p>
      <w:pPr>
        <w:spacing w:after="0" w:line="180" w:lineRule="exact"/>
        <w:rPr>
          <w:rFonts w:ascii="Arial" w:cs="Arial" w:eastAsia="Arial" w:hAnsi="Arial"/>
          <w:sz w:val="19"/>
          <w:szCs w:val="19"/>
          <w:b w:val="1"/>
          <w:bCs w:val="1"/>
          <w:u w:val="single" w:color="auto"/>
          <w:color w:val="auto"/>
        </w:rPr>
      </w:pPr>
    </w:p>
    <w:p>
      <w:pPr>
        <w:jc w:val="both"/>
        <w:ind w:left="760" w:hanging="452"/>
        <w:spacing w:after="0" w:line="242" w:lineRule="auto"/>
        <w:tabs>
          <w:tab w:leader="none" w:pos="760" w:val="left"/>
        </w:tabs>
        <w:numPr>
          <w:ilvl w:val="0"/>
          <w:numId w:val="41"/>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Failure to Elect</w:t>
      </w:r>
      <w:r>
        <w:rPr>
          <w:rFonts w:ascii="Arial" w:cs="Arial" w:eastAsia="Arial" w:hAnsi="Arial"/>
          <w:sz w:val="20"/>
          <w:szCs w:val="20"/>
          <w:color w:val="auto"/>
        </w:rPr>
        <w:t>. After giving effect to Sections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2.03(a)</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Exhibit, if the Borrower (x) is required to elect a SOFR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Interest Period pursuant to a notice of borrowing, continuation or conversion (y) is required to provide notice to the Administrative Agent that the Borrower has elected to convert any Credit Extension that is not a SOFR Credit Extension into a SOFR Credit Extension, or continue a SOFR Credit Extension at the termination of the SOFR Interest Period therefor or (z) the Borrower otherwise fails to deliver a timely and complete notice for conversion or continuation of a SOFR Credit Extension prior to the end of the SOFR Interest Period therefor, then, upon such event, the application of any automatic Interest Period elections, conversions, repayments or any other result that would have applied to LIBOR Credit Extensions shall be applied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SOFR Credit Extensions; provided however, if such LIBOR Credit Extension would have been automatically borrowed, continued or converted in an Interest Period that does not correspond to a SOFR Interest Period, then a one month SOFR Interest Period shall be applied.</w:t>
      </w:r>
    </w:p>
    <w:p>
      <w:pPr>
        <w:spacing w:after="0" w:line="192" w:lineRule="exact"/>
        <w:rPr>
          <w:rFonts w:ascii="Arial" w:cs="Arial" w:eastAsia="Arial" w:hAnsi="Arial"/>
          <w:sz w:val="20"/>
          <w:szCs w:val="20"/>
          <w:b w:val="1"/>
          <w:bCs w:val="1"/>
          <w:u w:val="single" w:color="auto"/>
          <w:color w:val="auto"/>
        </w:rPr>
      </w:pPr>
    </w:p>
    <w:p>
      <w:pPr>
        <w:jc w:val="both"/>
        <w:ind w:left="760" w:hanging="452"/>
        <w:spacing w:after="0" w:line="259" w:lineRule="auto"/>
        <w:tabs>
          <w:tab w:leader="none" w:pos="760" w:val="left"/>
        </w:tabs>
        <w:numPr>
          <w:ilvl w:val="0"/>
          <w:numId w:val="41"/>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Prepayments of SOFR Credit Extensions</w:t>
      </w:r>
      <w:r>
        <w:rPr>
          <w:rFonts w:ascii="Arial" w:cs="Arial" w:eastAsia="Arial" w:hAnsi="Arial"/>
          <w:sz w:val="19"/>
          <w:szCs w:val="19"/>
          <w:color w:val="auto"/>
        </w:rPr>
        <w:t>. Any provision under the Existing Agreement or any other Existing Document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required, immediately prior to giving effect to the provisions of </w:t>
      </w:r>
      <w:r>
        <w:rPr>
          <w:rFonts w:ascii="Arial" w:cs="Arial" w:eastAsia="Arial" w:hAnsi="Arial"/>
          <w:sz w:val="19"/>
          <w:szCs w:val="19"/>
          <w:u w:val="single" w:color="auto"/>
          <w:color w:val="auto"/>
        </w:rPr>
        <w:t>Sections 1.01 and 1.02</w:t>
      </w:r>
      <w:r>
        <w:rPr>
          <w:rFonts w:ascii="Arial" w:cs="Arial" w:eastAsia="Arial" w:hAnsi="Arial"/>
          <w:sz w:val="19"/>
          <w:szCs w:val="19"/>
          <w:color w:val="auto"/>
        </w:rPr>
        <w:t xml:space="preserve"> of this Exhibit, the Borrower to provide notice to the Administrative Agent of a prepayment of any LIBOR Credit Extension shall be deemed, in each case, to refer to a SOFR Credit Extension in lieu of such LIBOR Credit Extension. For the avoidance of doubt, with respect to any SOFR Credit Extension, any notice or terms applicable to such prepayment must be received by the Administrative Agent in accordance with the time periods and subject to the requirements (modified solely to apply Adjusted Term SOFR as the benchmark rate) set forth in the Existing Documents and applicable to LIBOR Credit Extensions.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2" w:name="page103"/>
    <w:bookmarkEnd w:id="102"/>
    <w:p>
      <w:pPr>
        <w:jc w:val="both"/>
        <w:ind w:left="760" w:hanging="452"/>
        <w:spacing w:after="0" w:line="248" w:lineRule="auto"/>
        <w:tabs>
          <w:tab w:leader="none" w:pos="760" w:val="left"/>
        </w:tabs>
        <w:numPr>
          <w:ilvl w:val="0"/>
          <w:numId w:val="4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Interest Rate for SOFR Credit Extensions</w:t>
      </w:r>
      <w:r>
        <w:rPr>
          <w:rFonts w:ascii="Arial" w:cs="Arial" w:eastAsia="Arial" w:hAnsi="Arial"/>
          <w:sz w:val="20"/>
          <w:szCs w:val="20"/>
          <w:color w:val="auto"/>
        </w:rPr>
        <w:t>. Without limiting the applicability of any provision of the Amended Agreement or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Amended Document with respect to default rates of interest or stepped-up or increased rates of interest, each SOFR Credit Extension shall bear interest at a rate per annum equal to the sum of (i) Adjusted Term SOFR for the SOFR Interest Period and (ii) the Applicable Margin.</w:t>
      </w:r>
    </w:p>
    <w:p>
      <w:pPr>
        <w:spacing w:after="0" w:line="183" w:lineRule="exact"/>
        <w:rPr>
          <w:rFonts w:ascii="Arial" w:cs="Arial" w:eastAsia="Arial" w:hAnsi="Arial"/>
          <w:sz w:val="20"/>
          <w:szCs w:val="20"/>
          <w:b w:val="1"/>
          <w:bCs w:val="1"/>
          <w:u w:val="single" w:color="auto"/>
          <w:color w:val="auto"/>
        </w:rPr>
      </w:pPr>
    </w:p>
    <w:p>
      <w:pPr>
        <w:jc w:val="both"/>
        <w:ind w:left="760" w:hanging="452"/>
        <w:spacing w:after="0" w:line="245" w:lineRule="auto"/>
        <w:tabs>
          <w:tab w:leader="none" w:pos="760" w:val="left"/>
        </w:tabs>
        <w:numPr>
          <w:ilvl w:val="0"/>
          <w:numId w:val="4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SOFR Credit Extension Interest Computation</w:t>
      </w:r>
      <w:r>
        <w:rPr>
          <w:rFonts w:ascii="Arial" w:cs="Arial" w:eastAsia="Arial" w:hAnsi="Arial"/>
          <w:sz w:val="20"/>
          <w:szCs w:val="20"/>
          <w:color w:val="auto"/>
        </w:rPr>
        <w:t>. All interest under the Amended Agreement and the Amended Documents on any</w:t>
      </w:r>
      <w:r>
        <w:rPr>
          <w:rFonts w:ascii="Arial" w:cs="Arial" w:eastAsia="Arial" w:hAnsi="Arial"/>
          <w:sz w:val="20"/>
          <w:szCs w:val="20"/>
          <w:b w:val="1"/>
          <w:bCs w:val="1"/>
          <w:color w:val="auto"/>
        </w:rPr>
        <w:t xml:space="preserve"> </w:t>
      </w:r>
      <w:r>
        <w:rPr>
          <w:rFonts w:ascii="Arial" w:cs="Arial" w:eastAsia="Arial" w:hAnsi="Arial"/>
          <w:sz w:val="20"/>
          <w:szCs w:val="20"/>
          <w:color w:val="auto"/>
        </w:rPr>
        <w:t>SOFR Credit Extension shall be computed on a daily basis based, as applicable, upon the outstanding principal, face or other analogous amount of such SOFR Credit Extension as of the applicable date of determination and shall be computed on the basis of a year of 360 days and shall be payable for the actual number of days elapsed (including the first day but excluding the last day). SOFR, Adjusted Term SOFR or Term SOFR shall be determined by the Administrative Agent, and such determination shall be conclusive absent manifest error.</w:t>
      </w:r>
    </w:p>
    <w:p>
      <w:pPr>
        <w:spacing w:after="0" w:line="184" w:lineRule="exact"/>
        <w:rPr>
          <w:rFonts w:ascii="Arial" w:cs="Arial" w:eastAsia="Arial" w:hAnsi="Arial"/>
          <w:sz w:val="20"/>
          <w:szCs w:val="20"/>
          <w:b w:val="1"/>
          <w:bCs w:val="1"/>
          <w:u w:val="single" w:color="auto"/>
          <w:color w:val="auto"/>
        </w:rPr>
      </w:pPr>
    </w:p>
    <w:p>
      <w:pPr>
        <w:jc w:val="both"/>
        <w:ind w:left="760" w:hanging="452"/>
        <w:spacing w:after="0" w:line="260" w:lineRule="auto"/>
        <w:tabs>
          <w:tab w:leader="none" w:pos="760" w:val="left"/>
        </w:tabs>
        <w:numPr>
          <w:ilvl w:val="0"/>
          <w:numId w:val="42"/>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Increased Costs and Regulation D</w:t>
      </w:r>
      <w:r>
        <w:rPr>
          <w:rFonts w:ascii="Arial" w:cs="Arial" w:eastAsia="Arial" w:hAnsi="Arial"/>
          <w:sz w:val="19"/>
          <w:szCs w:val="19"/>
          <w:color w:val="auto"/>
        </w:rPr>
        <w:t>. For the avoidance of doubt, any provision in the Existing Agreement or any other 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Document that constitutes a requirement for the Borrower to compensate the Lenders for increased cost incurred as a result of a change of law, or any interpretation thereof (including, without limitation, as a result of capital requirements, regulations issued from the Federal Reserve Board from time to time, the Lenders being subject to taxes on its loans or other obligations or the imposition of costs or expenses affecting the loans), or any other analogous or similar yield maintenance provision shall be modified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to apply to SOFR Credit Extensions.</w:t>
      </w:r>
    </w:p>
    <w:p>
      <w:pPr>
        <w:spacing w:after="0" w:line="172" w:lineRule="exact"/>
        <w:rPr>
          <w:rFonts w:ascii="Arial" w:cs="Arial" w:eastAsia="Arial" w:hAnsi="Arial"/>
          <w:sz w:val="19"/>
          <w:szCs w:val="19"/>
          <w:b w:val="1"/>
          <w:bCs w:val="1"/>
          <w:u w:val="single" w:color="auto"/>
          <w:color w:val="auto"/>
        </w:rPr>
      </w:pPr>
    </w:p>
    <w:p>
      <w:pPr>
        <w:jc w:val="both"/>
        <w:ind w:left="760" w:hanging="452"/>
        <w:spacing w:after="0" w:line="280" w:lineRule="auto"/>
        <w:tabs>
          <w:tab w:leader="none" w:pos="760" w:val="left"/>
        </w:tabs>
        <w:numPr>
          <w:ilvl w:val="0"/>
          <w:numId w:val="4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Automatic Repayments and Conversions</w:t>
      </w:r>
      <w:r>
        <w:rPr>
          <w:rFonts w:ascii="Arial" w:cs="Arial" w:eastAsia="Arial" w:hAnsi="Arial"/>
          <w:sz w:val="18"/>
          <w:szCs w:val="18"/>
          <w:color w:val="auto"/>
        </w:rPr>
        <w:t>. For the avoidance of doubt, any provision in the Existing Agreement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Existing Documents that requires the automatic repayment, prepayment or conversion to another benchmark rate (including a conversion to Alternate Rate Credit Extension) of any LIBOR Credit Extensions upon the happening of certain specified events (including, without limitation, upon an inability to determine rates, Credit Extensions not reflecting the cost to such Lender of funding, illegality, a default or an event of default) shall be modified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apply to SOFR Credit Extensions.</w:t>
      </w:r>
    </w:p>
    <w:p>
      <w:pPr>
        <w:spacing w:after="0" w:line="156" w:lineRule="exact"/>
        <w:rPr>
          <w:rFonts w:ascii="Arial" w:cs="Arial" w:eastAsia="Arial" w:hAnsi="Arial"/>
          <w:sz w:val="18"/>
          <w:szCs w:val="18"/>
          <w:b w:val="1"/>
          <w:bCs w:val="1"/>
          <w:u w:val="single" w:color="auto"/>
          <w:color w:val="auto"/>
        </w:rPr>
      </w:pPr>
    </w:p>
    <w:p>
      <w:pPr>
        <w:jc w:val="both"/>
        <w:ind w:left="760" w:hanging="452"/>
        <w:spacing w:after="0" w:line="245" w:lineRule="auto"/>
        <w:tabs>
          <w:tab w:leader="none" w:pos="760" w:val="left"/>
        </w:tabs>
        <w:numPr>
          <w:ilvl w:val="0"/>
          <w:numId w:val="4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Compensation for Losses</w:t>
      </w:r>
      <w:r>
        <w:rPr>
          <w:rFonts w:ascii="Arial" w:cs="Arial" w:eastAsia="Arial" w:hAnsi="Arial"/>
          <w:sz w:val="20"/>
          <w:szCs w:val="20"/>
          <w:color w:val="auto"/>
        </w:rPr>
        <w:t>. For the avoidance of doubt, any provision in the Existing Agreement or any other Existing Document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that requires compensation for certain specified losses of the Lenders (including, without limitation, as a result of payment of principal other than on the last day of an Interest Period, conversion of Credit Extensions other than on the last day of an Interest Period, failure to borrow, convert, continue or prepay on a date specified in a notice delivered in accordance with the terms thereof or assignment of a Credit Extension other than on the last day of an Interest Period) shall be modified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apply to SOFR Credit Extensions.</w:t>
      </w:r>
    </w:p>
    <w:p>
      <w:pPr>
        <w:spacing w:after="0" w:line="184" w:lineRule="exact"/>
        <w:rPr>
          <w:rFonts w:ascii="Arial" w:cs="Arial" w:eastAsia="Arial" w:hAnsi="Arial"/>
          <w:sz w:val="20"/>
          <w:szCs w:val="20"/>
          <w:b w:val="1"/>
          <w:bCs w:val="1"/>
          <w:u w:val="single" w:color="auto"/>
          <w:color w:val="auto"/>
        </w:rPr>
      </w:pPr>
    </w:p>
    <w:p>
      <w:pPr>
        <w:jc w:val="both"/>
        <w:ind w:left="760" w:hanging="452"/>
        <w:spacing w:after="0" w:line="248" w:lineRule="auto"/>
        <w:tabs>
          <w:tab w:leader="none" w:pos="760" w:val="left"/>
        </w:tabs>
        <w:numPr>
          <w:ilvl w:val="0"/>
          <w:numId w:val="42"/>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Minimum Amounts and Limitation on Number of Borrowings</w:t>
      </w:r>
      <w:r>
        <w:rPr>
          <w:rFonts w:ascii="Arial" w:cs="Arial" w:eastAsia="Arial" w:hAnsi="Arial"/>
          <w:sz w:val="20"/>
          <w:szCs w:val="20"/>
          <w:color w:val="auto"/>
        </w:rPr>
        <w:t>. For the avoidance of doubt, any provision in the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or any other Existing Document that applies a minimum aggregate amount or multiples thereof for borrowings or a minimum number of borrowings that may be outstanding at any time to LIBOR Credit Extensions shall be modified </w:t>
      </w:r>
      <w:r>
        <w:rPr>
          <w:rFonts w:ascii="Arial" w:cs="Arial" w:eastAsia="Arial" w:hAnsi="Arial"/>
          <w:sz w:val="20"/>
          <w:szCs w:val="20"/>
          <w:i w:val="1"/>
          <w:iCs w:val="1"/>
          <w:color w:val="auto"/>
        </w:rPr>
        <w:t>mutatis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mutandis </w:t>
      </w:r>
      <w:r>
        <w:rPr>
          <w:rFonts w:ascii="Arial" w:cs="Arial" w:eastAsia="Arial" w:hAnsi="Arial"/>
          <w:sz w:val="20"/>
          <w:szCs w:val="20"/>
          <w:color w:val="auto"/>
        </w:rPr>
        <w:t>to apply to SOFR Credit Extensions.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Section 5.04</w:t>
      </w:r>
      <w:r>
        <w:rPr>
          <w:rFonts w:ascii="Arial" w:cs="Arial" w:eastAsia="Arial" w:hAnsi="Arial"/>
          <w:sz w:val="19"/>
          <w:szCs w:val="19"/>
          <w:b w:val="1"/>
          <w:bCs w:val="1"/>
          <w:u w:val="single" w:color="auto"/>
          <w:color w:val="auto"/>
        </w:rPr>
        <w:t>Disclaimer and Exculpation With Respect to SOFR</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Administrative Agent does not warrant or accept responsibility for,</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not have any liability with respect to (a) the continuation of, administration of, submission of, calculation of or any other matter related to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jc w:val="both"/>
        <w:ind w:firstLine="509"/>
        <w:spacing w:after="0" w:line="270" w:lineRule="auto"/>
        <w:rPr>
          <w:sz w:val="20"/>
          <w:szCs w:val="20"/>
          <w:color w:val="auto"/>
        </w:rPr>
      </w:pPr>
      <w:r>
        <w:rPr>
          <w:rFonts w:ascii="Arial" w:cs="Arial" w:eastAsia="Arial" w:hAnsi="Arial"/>
          <w:sz w:val="18"/>
          <w:szCs w:val="18"/>
          <w:color w:val="auto"/>
        </w:rPr>
        <w:t>replacement rate (including any Benchmark Replacement) will be similar to, or produce the same value or economic equivalence of, or have the same volume or liquidity as, SOFR, the Term SOFR Reference Rate, Adjusted Term SOFR, Term SOFR or any alternative, successor or replacement rate (including any Benchmark Replacement) prior to its discontinuance or unavailability, or (b) the effect, implementation or composition of any Conforming Changes. The Administrative Agent and its affiliates or other related entities may engage in transactions that affect the calculation of SOFR, the Term SOFR Reference Rate, Term SOFR, Adjusted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SOFR, the Term SOFR Reference Rate, Term SOFR, Adjusted Term SOFR or any alternative, successor or replacement rate (including any Benchmark Replacement) or any relevant adjustments thereto, in each case pursuant to the terms of the Amended Agreement,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Section 5.05</w:t>
      </w:r>
      <w:r>
        <w:rPr>
          <w:rFonts w:ascii="Arial" w:cs="Arial" w:eastAsia="Arial" w:hAnsi="Arial"/>
          <w:sz w:val="18"/>
          <w:szCs w:val="18"/>
          <w:b w:val="1"/>
          <w:bCs w:val="1"/>
          <w:u w:val="single" w:color="auto"/>
          <w:color w:val="auto"/>
        </w:rPr>
        <w:t>SOFR Alternate Rate Credit Extensions</w:t>
      </w:r>
      <w:r>
        <w:rPr>
          <w:rFonts w:ascii="Arial" w:cs="Arial" w:eastAsia="Arial" w:hAnsi="Arial"/>
          <w:sz w:val="18"/>
          <w:szCs w:val="18"/>
          <w:color w:val="auto"/>
        </w:rPr>
        <w:t>. If, immediately prior to giving effect to the provisions of this Amendment, any</w:t>
      </w:r>
      <w:r>
        <w:rPr>
          <w:rFonts w:ascii="Arial" w:cs="Arial" w:eastAsia="Arial" w:hAnsi="Arial"/>
          <w:sz w:val="18"/>
          <w:szCs w:val="18"/>
          <w:b w:val="1"/>
          <w:bCs w:val="1"/>
          <w:color w:val="auto"/>
        </w:rPr>
        <w:t xml:space="preserve"> </w:t>
      </w:r>
      <w:r>
        <w:rPr>
          <w:rFonts w:ascii="Arial" w:cs="Arial" w:eastAsia="Arial" w:hAnsi="Arial"/>
          <w:sz w:val="18"/>
          <w:szCs w:val="18"/>
          <w:color w:val="auto"/>
        </w:rPr>
        <w:t>Credit Extension (including an Alternate Rate Credit Extension) uses as a benchmark rate a component of such benchmark rate based on LIBOR, then Adjusted Term SOFR shall apply in lieu of LIBOR for such component, applying the corresponding SOFR Interest Period to the Interest Period that would have applied to such LIBOR component (or if no SOFR Interest Period corresponds to such Interest Period for LIBOR, a one month SOFR Interest Period shall be applied); provided that if such Adjusted Term SOFR component is not available, Adjusted Term SOFR shall not be used when determining the rate for any such component. For the avoidance of doubt, (i) any additional margin, spread or other amount included in the LIBOR component of the interest rate applicable to any such component shall apply to the Adjusted Term SOFR component of the interest rate applicable to any such Credit Extension (including a SOFR Alternate Rate Credit Extension) (in addition to the spread adjustment included in Adjusted Term SOFR) and (ii) except to the extent set forth to the contrary herein, any provisions related to any such component (including an Alternate Rate Credit Extension) (including any margin applicable to the LIBOR component thereof) shall apply to SOFR Alternate Rate Credit Extensions.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Article VI.</w:t>
      </w:r>
      <w:r>
        <w:rPr>
          <w:rFonts w:ascii="Arial" w:cs="Arial" w:eastAsia="Arial" w:hAnsi="Arial"/>
          <w:sz w:val="20"/>
          <w:szCs w:val="20"/>
          <w:u w:val="single" w:color="auto"/>
          <w:color w:val="auto"/>
        </w:rPr>
        <w:t>Definitions and Construction</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Section 6.01</w:t>
      </w:r>
      <w:r>
        <w:rPr>
          <w:rFonts w:ascii="Arial" w:cs="Arial" w:eastAsia="Arial" w:hAnsi="Arial"/>
          <w:sz w:val="19"/>
          <w:szCs w:val="19"/>
          <w:u w:val="single" w:color="auto"/>
          <w:color w:val="auto"/>
        </w:rPr>
        <w:t>Defined Terms</w:t>
      </w:r>
      <w:r>
        <w:rPr>
          <w:rFonts w:ascii="Arial" w:cs="Arial" w:eastAsia="Arial" w:hAnsi="Arial"/>
          <w:sz w:val="19"/>
          <w:szCs w:val="19"/>
          <w:color w:val="auto"/>
        </w:rPr>
        <w:t>. The Existing Agreement and each other applicable Existing Document (if any) are hereby amended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modified to incorporate the definitions set forth in this Exhibit, </w:t>
      </w:r>
      <w:r>
        <w:rPr>
          <w:rFonts w:ascii="Arial" w:cs="Arial" w:eastAsia="Arial" w:hAnsi="Arial"/>
          <w:sz w:val="19"/>
          <w:szCs w:val="19"/>
          <w:i w:val="1"/>
          <w:iCs w:val="1"/>
          <w:color w:val="auto"/>
        </w:rPr>
        <w:t>mutatis mutandis</w:t>
      </w:r>
      <w:r>
        <w:rPr>
          <w:rFonts w:ascii="Arial" w:cs="Arial" w:eastAsia="Arial" w:hAnsi="Arial"/>
          <w:sz w:val="19"/>
          <w:szCs w:val="19"/>
          <w:color w:val="auto"/>
        </w:rPr>
        <w:t>, to the extent used in any such Existing Document, including as a result of the effectiveness of this Amendment. For the avoidance of doubt, to the extent that the defined terms in this Exhibit conflict with the defined terms used in any Existing Document, the terms of this Exhibit shall control. The following terms shall have the following meanings for purposes of this Amendment, including without limitation the provisions contained in this Exhibit:</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Adjusted Term SOFR</w:t>
      </w:r>
      <w:r>
        <w:rPr>
          <w:rFonts w:ascii="Arial" w:cs="Arial" w:eastAsia="Arial" w:hAnsi="Arial"/>
          <w:sz w:val="20"/>
          <w:szCs w:val="20"/>
          <w:color w:val="auto"/>
        </w:rPr>
        <w:t xml:space="preserve">” means, with respect to any SOFR Referencing Credit Extension for a SOFR Interest Period, an interest rate per annum equal to the sum of (i) Term SOFR and (ii) the applicable Spread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that if Adjusted Term SOFR shall be less than the Floor, then Adjusted Term SOFR shall be deemed to be the Floor.</w:t>
      </w:r>
    </w:p>
    <w:p>
      <w:pPr>
        <w:spacing w:after="0" w:line="17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Alternate Rate Credit Extension</w:t>
      </w:r>
      <w:r>
        <w:rPr>
          <w:rFonts w:ascii="Arial" w:cs="Arial" w:eastAsia="Arial" w:hAnsi="Arial"/>
          <w:sz w:val="20"/>
          <w:szCs w:val="20"/>
          <w:color w:val="auto"/>
        </w:rPr>
        <w:t>” means a Credit Extension nominally based on a “Base Rate”, “Alternative Base Rate”, “ABR”, “Federal Funds”, “Prime” or “Citi Prime”, “Minimum Interest Rate” or other analogous or similar term generally indicating use of a benchmark rate other than LIBOR, SOFR,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4" w:name="page105"/>
    <w:bookmarkEnd w:id="104"/>
    <w:p>
      <w:pPr>
        <w:jc w:val="both"/>
        <w:spacing w:after="0" w:line="246" w:lineRule="auto"/>
        <w:rPr>
          <w:sz w:val="20"/>
          <w:szCs w:val="20"/>
          <w:color w:val="auto"/>
        </w:rPr>
      </w:pPr>
      <w:r>
        <w:rPr>
          <w:rFonts w:ascii="Arial" w:cs="Arial" w:eastAsia="Arial" w:hAnsi="Arial"/>
          <w:sz w:val="20"/>
          <w:szCs w:val="20"/>
          <w:color w:val="auto"/>
        </w:rPr>
        <w:t>Term SOFR or Adjusted Term SOFR and which may apply a rate (or a component of a rate) based on LIBOR, SOFR, Term SOFR or Adjusted Term SOFR, as the context requires. For the avoidance of doubt, such Credit Extension, immediately prior to giving effect to the provisions of this Amendment on the Transition Date, was not a LIBOR Credit Extension and after giving effect to the provisions of this Amendment on the Transition Date, will not be a SOFR Credit Extension.</w:t>
      </w:r>
    </w:p>
    <w:p>
      <w:pPr>
        <w:spacing w:after="0" w:line="185" w:lineRule="exact"/>
        <w:rPr>
          <w:sz w:val="20"/>
          <w:szCs w:val="20"/>
          <w:color w:val="auto"/>
        </w:rPr>
      </w:pPr>
    </w:p>
    <w:p>
      <w:pPr>
        <w:jc w:val="both"/>
        <w:ind w:firstLine="82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Applicable Margin</w:t>
      </w:r>
      <w:r>
        <w:rPr>
          <w:rFonts w:ascii="Arial" w:cs="Arial" w:eastAsia="Arial" w:hAnsi="Arial"/>
          <w:sz w:val="20"/>
          <w:szCs w:val="20"/>
          <w:color w:val="auto"/>
        </w:rPr>
        <w:t>” means the applicable margin, rate, spread or other analogous or similar term or concept utilized in the Existing Agreement or any other Existing Document immediately prior to giving effect to the provisions of this Amendment on the Transition Date for calculating, in addition to LIBOR, any rate of interest or other similar amounts with respect to the applicable LIBOR Credit Extensions.</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Conforming Changes</w:t>
      </w:r>
      <w:r>
        <w:rPr>
          <w:rFonts w:ascii="Arial" w:cs="Arial" w:eastAsia="Arial" w:hAnsi="Arial"/>
          <w:sz w:val="18"/>
          <w:szCs w:val="18"/>
          <w:color w:val="auto"/>
        </w:rPr>
        <w:t>” means, with respect to either the use or administration of Adjusted Term SOFR, Term SOFR or the use, administration, adoption or implementation of any Benchmark Replacement, any technical, administrative or operational changes (including changes to the definition of the alternate rate that applies for an Alternate Rate Credit Extension,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any compensation for losses provision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the Amended Agreement and the other Amended Documents).</w:t>
      </w:r>
    </w:p>
    <w:p>
      <w:pPr>
        <w:spacing w:after="0" w:line="165" w:lineRule="exact"/>
        <w:rPr>
          <w:sz w:val="20"/>
          <w:szCs w:val="20"/>
          <w:color w:val="auto"/>
        </w:rPr>
      </w:pPr>
    </w:p>
    <w:p>
      <w:pPr>
        <w:jc w:val="both"/>
        <w:ind w:firstLine="749"/>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Credit Extension</w:t>
      </w:r>
      <w:r>
        <w:rPr>
          <w:rFonts w:ascii="Arial" w:cs="Arial" w:eastAsia="Arial" w:hAnsi="Arial"/>
          <w:sz w:val="19"/>
          <w:szCs w:val="19"/>
          <w:color w:val="auto"/>
        </w:rPr>
        <w:t>” means any extension of credit of any type under the Existing Agreement, the Amended Agreement, any other Existing Document or any other Amended Document, whether characterized as a loan, term loan, revolving loan, swingline loan, daylight overdraft loan, bid loan, advance, borrowing, credit extension, letter of credit or other financial accommodation, and whether constituting a new extension of credit or a conversion or continuation of an existing extension of credit.</w:t>
      </w:r>
    </w:p>
    <w:p>
      <w:pPr>
        <w:spacing w:after="0" w:line="16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Existing Documents</w:t>
      </w:r>
      <w:r>
        <w:rPr>
          <w:rFonts w:ascii="Arial" w:cs="Arial" w:eastAsia="Arial" w:hAnsi="Arial"/>
          <w:sz w:val="20"/>
          <w:szCs w:val="20"/>
          <w:color w:val="auto"/>
        </w:rPr>
        <w:t xml:space="preserve">” means the Existing Agreement, each “Loan Document”, “Financing Agreement” or “Related Document” (or other analogous or similar defined term) and all other notes, agreements, documents, and instruments executed and delivered in connection with the Existing Agreement and the Credit Extensions thereunder, each as amended, restated, amended or restated, supplemented, renewed or otherwise modified immediately prior to giving effect to this Amendment, including without limitation any note, guarantee, security document, mortgage, deed of trust or certificate; </w:t>
      </w:r>
      <w:r>
        <w:rPr>
          <w:rFonts w:ascii="Arial" w:cs="Arial" w:eastAsia="Arial" w:hAnsi="Arial"/>
          <w:sz w:val="20"/>
          <w:szCs w:val="20"/>
          <w:u w:val="single" w:color="auto"/>
          <w:color w:val="auto"/>
        </w:rPr>
        <w:t>provided</w:t>
      </w:r>
      <w:r>
        <w:rPr>
          <w:rFonts w:ascii="Arial" w:cs="Arial" w:eastAsia="Arial" w:hAnsi="Arial"/>
          <w:sz w:val="20"/>
          <w:szCs w:val="20"/>
          <w:color w:val="auto"/>
        </w:rPr>
        <w:t>, that no derivative, swap agreement, hedge agreement or ISDA confirm (or other analogous or similar term) shall constitute an Existing Document for purposes of this Amendment or the provisions contained in this Amendment.</w:t>
      </w:r>
    </w:p>
    <w:p>
      <w:pPr>
        <w:spacing w:after="0" w:line="18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Floor</w:t>
      </w:r>
      <w:r>
        <w:rPr>
          <w:rFonts w:ascii="Arial" w:cs="Arial" w:eastAsia="Arial" w:hAnsi="Arial"/>
          <w:sz w:val="20"/>
          <w:szCs w:val="20"/>
          <w:color w:val="auto"/>
        </w:rPr>
        <w:t>” means the benchmark rate floor, if any, provided in the Existing Agreement initially (as of the execution of the Existing Agreement, the modification, amendment or renewal of the Existing Agreement or otherwise) with respect to LIBOR and utilized for calculating any rate of interest, fees, commissions or other amounts with respect to LIBOR Credit Extensions.</w:t>
      </w:r>
    </w:p>
    <w:p>
      <w:pPr>
        <w:spacing w:after="0" w:line="177"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Interest Period</w:t>
      </w:r>
      <w:r>
        <w:rPr>
          <w:rFonts w:ascii="Arial" w:cs="Arial" w:eastAsia="Arial" w:hAnsi="Arial"/>
          <w:sz w:val="20"/>
          <w:szCs w:val="20"/>
          <w:color w:val="auto"/>
        </w:rPr>
        <w:t>” means “Interest Period”, “LIBOR Period” or any other analogous or similar term set forth in the Existing Agreement or any other applicable Existing Document describing the period during</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color w:val="auto"/>
        </w:rPr>
        <w:t>which a Credit Extension bears interest with reference to a specific setting, tenor, calculation or determination of a benchmark rate.</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LIBOR Credit Extension</w:t>
      </w:r>
      <w:r>
        <w:rPr>
          <w:rFonts w:ascii="Arial" w:cs="Arial" w:eastAsia="Arial" w:hAnsi="Arial"/>
          <w:sz w:val="18"/>
          <w:szCs w:val="18"/>
          <w:color w:val="auto"/>
        </w:rPr>
        <w:t>” means a Credit Extension bearing interest or incurring fees, commissions or other amounts based on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LIBOR.</w:t>
      </w:r>
    </w:p>
    <w:p>
      <w:pPr>
        <w:spacing w:after="0" w:line="194" w:lineRule="exact"/>
        <w:rPr>
          <w:sz w:val="20"/>
          <w:szCs w:val="20"/>
          <w:color w:val="auto"/>
        </w:rPr>
      </w:pPr>
    </w:p>
    <w:p>
      <w:pPr>
        <w:jc w:val="both"/>
        <w:ind w:firstLine="749"/>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LIBOR Referencing Credit Extension</w:t>
      </w:r>
      <w:r>
        <w:rPr>
          <w:rFonts w:ascii="Arial" w:cs="Arial" w:eastAsia="Arial" w:hAnsi="Arial"/>
          <w:sz w:val="18"/>
          <w:szCs w:val="18"/>
          <w:color w:val="auto"/>
        </w:rPr>
        <w:t>” means any Alternate Rate Credit Extension (to the extent it applies a rate (or a component of a rate) based on LIBOR in accordance with the Existing Documents) or LIBOR Credit Extension, as the context may require.</w:t>
      </w:r>
    </w:p>
    <w:p>
      <w:pPr>
        <w:spacing w:after="0" w:line="11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LIBOR Related Definition</w:t>
      </w:r>
      <w:r>
        <w:rPr>
          <w:rFonts w:ascii="Arial" w:cs="Arial" w:eastAsia="Arial" w:hAnsi="Arial"/>
          <w:sz w:val="20"/>
          <w:szCs w:val="20"/>
          <w:color w:val="auto"/>
        </w:rPr>
        <w:t>” means any term defined in the Existing Agreement or any other Existing Document (or any partial definition thereof) as in effect immediately prior to giving effect to the provisions of this Amendment on the Transition Date, however phrased, primarily relating to the determination, administration or calculation of LIBOR, including by way of example applicable terms phrased as “Adjusted LIBO Rate”, “Adjusted LIBOR Rate”, “LIBO Base Rate”, “LIBO Rate”, “LIBOR Rate”, “LIBOR”, “Eurodollar Rate”, “Eurodollar Base Rate”, “Eurocurrency Rate”, “One-Month LIBOR”, “Daily LIBOR”, “Interpolated Rate”, “Screen Rate”, “Eurodollar Reserve Percentage”, “LIBOR Determination Date”, and “LIBOR Reset Date”.</w:t>
      </w:r>
    </w:p>
    <w:p>
      <w:pPr>
        <w:spacing w:after="0" w:line="18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LIBOR Related Provision</w:t>
      </w:r>
      <w:r>
        <w:rPr>
          <w:rFonts w:ascii="Arial" w:cs="Arial" w:eastAsia="Arial" w:hAnsi="Arial"/>
          <w:sz w:val="18"/>
          <w:szCs w:val="18"/>
          <w:color w:val="auto"/>
        </w:rPr>
        <w:t>” means any term defined in or provision of the Existing Agreement or any other Existing Document as in effect immediately prior to giving effect to the provisions of this Amendment on the Transition Date (other than a LIBOR Related Definition) that refers to or has effect with respect to LIBOR, a LIBOR Related Definition, a LIBOR Referencing Credit Extension or another LIBOR Related Provision (in each case, solely as and to the extent that such term or provision relates to LIBOR, a LIBOR Related Definition, a LIBOR Referencing Credit Extension or another LIBOR Related Provision), including by way of example (a) terms phrased as “Applicable Margin”, “Borrowing”, “Business Day”, “Default Rate”, “Interest Payment Date”, “Interest Period”, “LIBOR Period”, “LIBOR Loan”, “Eurodollar Loan”, “Eurocurrency Loan”, “LIBO Rate Loan”, “Interest Option”, “Reference Banks”, “Reference Rate”, “Index”, “Increment”, “Calculation Period”, “Calculation Time”, “Applicable Rate”, “LIBOR Margin”, “Pricing Grid”, “London Banking Day”, “business day”, “Banking Date”, and “Type”, and (b) provisions addressing (i) interest rate setting, borrowing, conversion, continuation, payment and prepayment mechanics relating to LIBOR Referencing Credit Extensions, (ii) the inability to determine or make credit extensions based on LIBOR, (iii) reimbursement for costs, expenses, breakage, break-funding, compensation for losses or indemnity relating to LIBOR Credit Extension, (iv) availability of LIBOR and (v) exculpation with respect to LIBOR.</w:t>
      </w:r>
    </w:p>
    <w:p>
      <w:pPr>
        <w:spacing w:after="0" w:line="165" w:lineRule="exact"/>
        <w:rPr>
          <w:sz w:val="20"/>
          <w:szCs w:val="20"/>
          <w:color w:val="auto"/>
        </w:rPr>
      </w:pPr>
    </w:p>
    <w:p>
      <w:pPr>
        <w:jc w:val="both"/>
        <w:ind w:firstLine="802"/>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Material Adverse Effect</w:t>
      </w:r>
      <w:r>
        <w:rPr>
          <w:rFonts w:ascii="Arial" w:cs="Arial" w:eastAsia="Arial" w:hAnsi="Arial"/>
          <w:sz w:val="19"/>
          <w:szCs w:val="19"/>
          <w:color w:val="auto"/>
        </w:rPr>
        <w:t>” means (a) “Material Adverse Effect” or any other analogous or similar term, in each case, to the extent so defined in the Existing Agreement or any other Existing Document or otherwise, if not so defined, (b) (i) a material adverse change in, or a material adverse effect on, the operations, business, properties, liabilities (actual or contingent), condition (financial or otherwise) or prospects of the Borrower and its subsidiaries taken as a whole; or (ii) a material adverse effect on (A) the ability of the Borrower to perform its obligations under the Amended Documents, (B) the legality, validity, binding effect or enforceability against the Borrower of any Amended Document to which it is a party or (C) the rights, remedies and benefits available to, or conferred upon, the Administrative Agent, the Issuing Banks or the Lenders under any Amended Documents.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b w:val="1"/>
          <w:bCs w:val="1"/>
          <w:i w:val="1"/>
          <w:iCs w:val="1"/>
          <w:color w:val="auto"/>
        </w:rPr>
        <w:t>“</w:t>
      </w:r>
      <w:r>
        <w:rPr>
          <w:rFonts w:ascii="Arial" w:cs="Arial" w:eastAsia="Arial" w:hAnsi="Arial"/>
          <w:sz w:val="20"/>
          <w:szCs w:val="20"/>
          <w:b w:val="1"/>
          <w:bCs w:val="1"/>
          <w:u w:val="single" w:color="auto"/>
          <w:color w:val="auto"/>
        </w:rPr>
        <w:t>Periodic Term SOFR Determination Day</w:t>
      </w:r>
      <w:r>
        <w:rPr>
          <w:rFonts w:ascii="Arial" w:cs="Arial" w:eastAsia="Arial" w:hAnsi="Arial"/>
          <w:sz w:val="20"/>
          <w:szCs w:val="20"/>
          <w:color w:val="auto"/>
        </w:rPr>
        <w:t>” has the meaning specified in the definition of “Term SOFR”.</w:t>
      </w:r>
    </w:p>
    <w:p>
      <w:pPr>
        <w:spacing w:after="0" w:line="108"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Relevant Governmental Body</w:t>
      </w:r>
      <w:r>
        <w:rPr>
          <w:rFonts w:ascii="Arial" w:cs="Arial" w:eastAsia="Arial" w:hAnsi="Arial"/>
          <w:sz w:val="20"/>
          <w:szCs w:val="20"/>
          <w:color w:val="auto"/>
        </w:rPr>
        <w:t>” means the Board of Governors of the Federal Reserve System or the Federal Reserve Bank of New York, or a committee officially endorsed or convened by the Board 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6" w:name="page107"/>
    <w:bookmarkEnd w:id="106"/>
    <w:p>
      <w:pPr>
        <w:spacing w:after="0"/>
        <w:rPr>
          <w:sz w:val="20"/>
          <w:szCs w:val="20"/>
          <w:color w:val="auto"/>
        </w:rPr>
      </w:pPr>
      <w:r>
        <w:rPr>
          <w:rFonts w:ascii="Arial" w:cs="Arial" w:eastAsia="Arial" w:hAnsi="Arial"/>
          <w:sz w:val="20"/>
          <w:szCs w:val="20"/>
          <w:color w:val="auto"/>
        </w:rPr>
        <w:t>Governors of the Federal Reserve System or the Federal Reserve Bank of New York, or any successor thereto.</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SOFR</w:t>
      </w:r>
      <w:r>
        <w:rPr>
          <w:rFonts w:ascii="Arial" w:cs="Arial" w:eastAsia="Arial" w:hAnsi="Arial"/>
          <w:sz w:val="20"/>
          <w:szCs w:val="20"/>
          <w:color w:val="auto"/>
        </w:rPr>
        <w:t>” means a rate equal to the Secured Overnight Financing Rate as administered by the SOFR Administrator.</w:t>
      </w:r>
    </w:p>
    <w:p>
      <w:pPr>
        <w:spacing w:after="0" w:line="210"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SOFR Administrator</w:t>
      </w:r>
      <w:r>
        <w:rPr>
          <w:rFonts w:ascii="Arial" w:cs="Arial" w:eastAsia="Arial" w:hAnsi="Arial"/>
          <w:sz w:val="20"/>
          <w:szCs w:val="20"/>
          <w:color w:val="auto"/>
        </w:rPr>
        <w:t>” means the Federal Reserve Bank of New York (or any successor administrator of the Secured Overnight Financing Rate).</w:t>
      </w:r>
    </w:p>
    <w:p>
      <w:pPr>
        <w:spacing w:after="0" w:line="163" w:lineRule="exact"/>
        <w:rPr>
          <w:sz w:val="20"/>
          <w:szCs w:val="20"/>
          <w:color w:val="auto"/>
        </w:rPr>
      </w:pPr>
    </w:p>
    <w:p>
      <w:pPr>
        <w:ind w:right="260" w:firstLine="39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SOFR Alternate Rate Credit Extension</w:t>
      </w:r>
      <w:r>
        <w:rPr>
          <w:rFonts w:ascii="Arial" w:cs="Arial" w:eastAsia="Arial" w:hAnsi="Arial"/>
          <w:sz w:val="20"/>
          <w:szCs w:val="20"/>
          <w:color w:val="auto"/>
        </w:rPr>
        <w:t>” means an Alternate Rate Credit Extension which, after the Transition Date, uses Adjusted Term SOFR as a component of the benchmark rate applicable to such Credit Extensions.</w:t>
      </w:r>
    </w:p>
    <w:p>
      <w:pPr>
        <w:spacing w:after="0" w:line="177" w:lineRule="exact"/>
        <w:rPr>
          <w:sz w:val="20"/>
          <w:szCs w:val="20"/>
          <w:color w:val="auto"/>
        </w:rPr>
      </w:pPr>
    </w:p>
    <w:p>
      <w:pPr>
        <w:jc w:val="both"/>
        <w:ind w:firstLine="81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SOFR Credit Extension</w:t>
      </w:r>
      <w:r>
        <w:rPr>
          <w:rFonts w:ascii="Arial" w:cs="Arial" w:eastAsia="Arial" w:hAnsi="Arial"/>
          <w:sz w:val="20"/>
          <w:szCs w:val="20"/>
          <w:color w:val="auto"/>
        </w:rPr>
        <w:t>” means any Credit Extension bearing interest or incurring fees, commissions or other amounts based upon Adjusted Term SOFR, but excluding, for the avoidance of doubt, any Alternate Rate Credit Extension.</w:t>
      </w:r>
    </w:p>
    <w:p>
      <w:pPr>
        <w:spacing w:after="0" w:line="16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SOFR Interest Period</w:t>
      </w:r>
      <w:r>
        <w:rPr>
          <w:rFonts w:ascii="Arial" w:cs="Arial" w:eastAsia="Arial" w:hAnsi="Arial"/>
          <w:sz w:val="19"/>
          <w:szCs w:val="19"/>
          <w:color w:val="auto"/>
        </w:rPr>
        <w:t>” means, as to any SOFR Credit Extension, the time periods corresponding to the choices for such time periods for Interest Periods under the Existing Documents for LIBOR, but only to the extent such Interest Period is available and recommended by the Relevant Governmental Body with respect to Term SOFR. For avoidance of doubt, and notwithstanding anything contained herein to the contrary, Term SOFR for one (1), three (3), six (6) and twelve (12) month Interest Periods shall be the corresponding tenors available and recommended under the Amended Documents as of the Effective Date and, if and to the extent additional tenors of Term SOFR become available and are recommended by the Relevant Governmental Body after the date hereof and such tenors correspond to the Interest Periods available under the Existing Documents, such Interest Periods shall be deemed to be added as SOFR Interest Periods hereunder. Any additional technical, administrative or operational conventions or limitations included in the definition of Interest Period and applicable to Interest Periods for LIBOR Credit Extensions shall be applicable to SOFR Credit Extensions and are hereby incorporated into this definition of SOFR Interest Period.</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SOFR Referencing Credit Extension</w:t>
      </w:r>
      <w:r>
        <w:rPr>
          <w:rFonts w:ascii="Arial" w:cs="Arial" w:eastAsia="Arial" w:hAnsi="Arial"/>
          <w:sz w:val="20"/>
          <w:szCs w:val="20"/>
          <w:color w:val="auto"/>
        </w:rPr>
        <w:t>” means any Alternate Rate Credit Extension (to the extent it applies a rate (or a component of a rate) based on SOFR, Term SOFR or Adjusted Term SOFR in accordance herewith) or SOFR Credit Extension, as the context may require.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Spread Adjustment</w:t>
      </w:r>
      <w:r>
        <w:rPr>
          <w:rFonts w:ascii="Arial" w:cs="Arial" w:eastAsia="Arial" w:hAnsi="Arial"/>
          <w:sz w:val="18"/>
          <w:szCs w:val="18"/>
          <w:color w:val="auto"/>
        </w:rPr>
        <w:t>” means, for any SOFR Credit Extension’s SOFR Interest Period, the applicable rate per annum set out below:</w:t>
      </w:r>
    </w:p>
    <w:p>
      <w:pPr>
        <w:spacing w:after="0" w:line="273" w:lineRule="exact"/>
        <w:rPr>
          <w:sz w:val="20"/>
          <w:szCs w:val="20"/>
          <w:color w:val="auto"/>
        </w:rPr>
      </w:pPr>
    </w:p>
    <w:tbl>
      <w:tblPr>
        <w:tblLayout w:type="fixed"/>
        <w:tblInd w:w="1410" w:type="dxa"/>
        <w:tblCellMar>
          <w:top w:w="0" w:type="dxa"/>
          <w:left w:w="0" w:type="dxa"/>
          <w:bottom w:w="0" w:type="dxa"/>
          <w:right w:w="0" w:type="dxa"/>
        </w:tblCellMar>
      </w:tblPr>
      <w:tr>
        <w:trPr>
          <w:trHeight w:val="290"/>
        </w:trPr>
        <w:tc>
          <w:tcPr>
            <w:tcW w:w="49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Length of SOFR Interest Period or other period</w:t>
            </w:r>
          </w:p>
        </w:tc>
        <w:tc>
          <w:tcPr>
            <w:tcW w:w="35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Spread Adjustment</w:t>
            </w:r>
          </w:p>
        </w:tc>
      </w:tr>
      <w:tr>
        <w:trPr>
          <w:trHeight w:val="232"/>
        </w:trPr>
        <w:tc>
          <w:tcPr>
            <w:tcW w:w="4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1 month</w:t>
            </w: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0.11448%</w:t>
            </w:r>
          </w:p>
        </w:tc>
      </w:tr>
      <w:tr>
        <w:trPr>
          <w:trHeight w:val="248"/>
        </w:trPr>
        <w:tc>
          <w:tcPr>
            <w:tcW w:w="4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 months</w:t>
            </w: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0.26161%</w:t>
            </w:r>
          </w:p>
        </w:tc>
      </w:tr>
      <w:tr>
        <w:trPr>
          <w:trHeight w:val="250"/>
        </w:trPr>
        <w:tc>
          <w:tcPr>
            <w:tcW w:w="4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6 months</w:t>
            </w: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0.42826%</w:t>
            </w:r>
          </w:p>
        </w:tc>
      </w:tr>
      <w:tr>
        <w:trPr>
          <w:trHeight w:val="250"/>
        </w:trPr>
        <w:tc>
          <w:tcPr>
            <w:tcW w:w="4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12 months</w:t>
            </w:r>
          </w:p>
        </w:tc>
        <w:tc>
          <w:tcPr>
            <w:tcW w:w="35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0.71513%</w:t>
            </w:r>
          </w:p>
        </w:tc>
      </w:tr>
    </w:tbl>
    <w:p>
      <w:pPr>
        <w:spacing w:after="0" w:line="207"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Term SOFR</w:t>
      </w:r>
      <w:r>
        <w:rPr>
          <w:rFonts w:ascii="Arial" w:cs="Arial" w:eastAsia="Arial" w:hAnsi="Arial"/>
          <w:sz w:val="19"/>
          <w:szCs w:val="19"/>
          <w:color w:val="auto"/>
        </w:rPr>
        <w:t xml:space="preserve">” means, for any calculation with respect to a SOFR Credit Extension, the Term SOFR Reference Rate for a tenor comparable to the applicable SOFR Interest Period on the day (such day, the “ </w:t>
      </w:r>
      <w:r>
        <w:rPr>
          <w:rFonts w:ascii="Arial" w:cs="Arial" w:eastAsia="Arial" w:hAnsi="Arial"/>
          <w:sz w:val="19"/>
          <w:szCs w:val="19"/>
          <w:b w:val="1"/>
          <w:bCs w:val="1"/>
          <w:u w:val="single" w:color="auto"/>
          <w:color w:val="auto"/>
        </w:rPr>
        <w:t>Periodic Term SOFR Determination Day</w:t>
      </w:r>
      <w:r>
        <w:rPr>
          <w:rFonts w:ascii="Arial" w:cs="Arial" w:eastAsia="Arial" w:hAnsi="Arial"/>
          <w:sz w:val="19"/>
          <w:szCs w:val="19"/>
          <w:color w:val="auto"/>
        </w:rPr>
        <w:t xml:space="preserve">”) that is two (2) U.S. Government Securities Business Days prior to the first day of such SOFR Interest Period, as such rate is published by the Term SOFR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as of 5:00 p.m. (New York City time) on any Periodic Term SOFR Determination Day the Term SOFR Reference Rate for the applicable tenor has not been published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7" w:name="page108"/>
    <w:bookmarkEnd w:id="107"/>
    <w:p>
      <w:pPr>
        <w:jc w:val="both"/>
        <w:spacing w:after="0" w:line="260" w:lineRule="auto"/>
        <w:rPr>
          <w:sz w:val="20"/>
          <w:szCs w:val="20"/>
          <w:color w:val="auto"/>
        </w:rPr>
      </w:pPr>
      <w:r>
        <w:rPr>
          <w:rFonts w:ascii="Arial" w:cs="Arial" w:eastAsia="Arial" w:hAnsi="Arial"/>
          <w:sz w:val="19"/>
          <w:szCs w:val="19"/>
          <w:color w:val="auto"/>
        </w:rPr>
        <w:t>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74"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 SOFR Administrator</w:t>
      </w:r>
      <w:r>
        <w:rPr>
          <w:rFonts w:ascii="Arial" w:cs="Arial" w:eastAsia="Arial" w:hAnsi="Arial"/>
          <w:sz w:val="20"/>
          <w:szCs w:val="20"/>
          <w:color w:val="auto"/>
        </w:rPr>
        <w:t>” means CME Group Benchmark Administration Limited (CBA) (or a successor administrator of the Term SOFR Reference Rate selected by the Administrative Agent in its reasonable discretion).</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 SOFR Reference Rate</w:t>
      </w:r>
      <w:r>
        <w:rPr>
          <w:rFonts w:ascii="Arial" w:cs="Arial" w:eastAsia="Arial" w:hAnsi="Arial"/>
          <w:sz w:val="20"/>
          <w:szCs w:val="20"/>
          <w:color w:val="auto"/>
        </w:rPr>
        <w:t>” means the forward-looking term rate based on SOFR.</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Transition Date</w:t>
      </w:r>
      <w:r>
        <w:rPr>
          <w:rFonts w:ascii="Arial" w:cs="Arial" w:eastAsia="Arial" w:hAnsi="Arial"/>
          <w:sz w:val="20"/>
          <w:szCs w:val="20"/>
          <w:color w:val="auto"/>
        </w:rPr>
        <w:t>” means June 30, 2023.</w:t>
      </w:r>
    </w:p>
    <w:p>
      <w:pPr>
        <w:spacing w:after="0" w:line="22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U.S. Government Securities Business Day</w:t>
      </w:r>
      <w:r>
        <w:rPr>
          <w:rFonts w:ascii="Arial" w:cs="Arial" w:eastAsia="Arial" w:hAnsi="Arial"/>
          <w:sz w:val="20"/>
          <w:szCs w:val="20"/>
          <w:color w:val="auto"/>
        </w:rPr>
        <w:t>” means any day (other than a Saturday or Sunday) on which the Securities Industry and Financial Markets Association recommends that the fixed income departments of its members be closed for the entire day for purposes of trading in United States government securities.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Section 6.02</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For the avoidance of doubt, (a) if and to the extent that the Existing Agreement or any other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 does not, immediately prior to the effectiveness of this Amendment, include any provision or term that would be modified pursuant to any provision of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of this Exhibit, such provision of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of this Exhibit shall be disregarded to such extent and, for the avoidance of doubt, such Existing Agreement or other Existing Document shall not be deemed amended or otherwise modified pursuant to any such provision of Article I or Article II of this Exhibit and (b) the amendments contained in this Exhibit shall apply to LIBOR Referencing Credit Extensions and no other Credit Extensions available under the Existing Document. Any reference in this Amendment to the “Borrower” shall be deemed to refer to “the Borrowers”, “the applicable Borrower”, “each Borrower”, “such Borrower” or “any Borrower”, as applicable, if the “Borrower” identified above constitutes more than one person.</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Section 6.03</w:t>
      </w:r>
      <w:r>
        <w:rPr>
          <w:rFonts w:ascii="Arial" w:cs="Arial" w:eastAsia="Arial" w:hAnsi="Arial"/>
          <w:sz w:val="20"/>
          <w:szCs w:val="20"/>
          <w:u w:val="single" w:color="auto"/>
          <w:color w:val="auto"/>
        </w:rPr>
        <w:t>Additional Conforming Changes</w:t>
      </w:r>
      <w:r>
        <w:rPr>
          <w:rFonts w:ascii="Arial" w:cs="Arial" w:eastAsia="Arial" w:hAnsi="Arial"/>
          <w:sz w:val="20"/>
          <w:szCs w:val="20"/>
          <w:color w:val="auto"/>
        </w:rPr>
        <w:t>. Notwithstanding anything contained herein to the contrary or in the Amended Documents,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use or administration of Term SOFR or Adjusted Term SOFR, the Administrative Agent will have the right to make Conforming Changes from time to time and, notwithstanding anything to the contrary herein or in any other Existing Document, any amendments implementing such Conforming Changes will become effective without any further action or consent of any other party to any Existing Document or Amended Documents. The Administrative Agent will notify the Borrower and the Lenders of the effectiveness of any Conforming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NAI-1537143219v2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08" w:name="page109"/>
    <w:bookmarkEnd w:id="10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10.14</w:t>
      </w:r>
    </w:p>
    <w:p>
      <w:pPr>
        <w:spacing w:after="0" w:line="301"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THIRD AMENDMENT TO OFFICE LEASE AGREEMENT</w:t>
      </w:r>
    </w:p>
    <w:p>
      <w:pPr>
        <w:spacing w:after="0" w:line="233" w:lineRule="exact"/>
        <w:rPr>
          <w:sz w:val="20"/>
          <w:szCs w:val="20"/>
          <w:color w:val="auto"/>
        </w:rPr>
      </w:pPr>
    </w:p>
    <w:p>
      <w:pPr>
        <w:ind w:left="20" w:right="420" w:firstLine="749"/>
        <w:spacing w:after="0" w:line="230" w:lineRule="auto"/>
        <w:rPr>
          <w:sz w:val="20"/>
          <w:szCs w:val="20"/>
          <w:color w:val="auto"/>
        </w:rPr>
      </w:pPr>
      <w:r>
        <w:rPr>
          <w:rFonts w:ascii="Arial" w:cs="Arial" w:eastAsia="Arial" w:hAnsi="Arial"/>
          <w:sz w:val="22"/>
          <w:szCs w:val="22"/>
          <w:b w:val="1"/>
          <w:bCs w:val="1"/>
          <w:color w:val="auto"/>
        </w:rPr>
        <w:t xml:space="preserve">THIS THIRD AMENDMENT TO OFFICE LEASE AGREEMENT </w:t>
      </w:r>
      <w:r>
        <w:rPr>
          <w:rFonts w:ascii="Arial" w:cs="Arial" w:eastAsia="Arial" w:hAnsi="Arial"/>
          <w:sz w:val="22"/>
          <w:szCs w:val="22"/>
          <w:color w:val="auto"/>
        </w:rPr>
        <w:t>(the “</w:t>
      </w:r>
      <w:r>
        <w:rPr>
          <w:rFonts w:ascii="Arial" w:cs="Arial" w:eastAsia="Arial" w:hAnsi="Arial"/>
          <w:sz w:val="22"/>
          <w:szCs w:val="22"/>
          <w:b w:val="1"/>
          <w:bCs w:val="1"/>
          <w:color w:val="auto"/>
        </w:rPr>
        <w:t>Third Amendment</w:t>
      </w:r>
      <w:r>
        <w:rPr>
          <w:rFonts w:ascii="Arial" w:cs="Arial" w:eastAsia="Arial" w:hAnsi="Arial"/>
          <w:sz w:val="22"/>
          <w:szCs w:val="22"/>
          <w:color w:val="auto"/>
        </w:rPr>
        <w:t>”) is entered into</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this 1st day of May, 2023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NS 141 Tremont LLC,</w:t>
      </w:r>
      <w:r>
        <w:rPr>
          <w:rFonts w:ascii="Arial" w:cs="Arial" w:eastAsia="Arial" w:hAnsi="Arial"/>
          <w:sz w:val="22"/>
          <w:szCs w:val="22"/>
          <w:color w:val="auto"/>
        </w:rPr>
        <w:t xml:space="preserve"> a Massachusetts limited liability company having an address of c/o Synergy Investments LLC, 10 Post Office Square,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Boston, Massachusetts 02109 (the “</w:t>
      </w:r>
      <w:r>
        <w:rPr>
          <w:rFonts w:ascii="Arial" w:cs="Arial" w:eastAsia="Arial" w:hAnsi="Arial"/>
          <w:sz w:val="22"/>
          <w:szCs w:val="22"/>
          <w:b w:val="1"/>
          <w:bCs w:val="1"/>
          <w:color w:val="auto"/>
        </w:rPr>
        <w:t>Landlord</w:t>
      </w:r>
      <w:r>
        <w:rPr>
          <w:rFonts w:ascii="Arial" w:cs="Arial" w:eastAsia="Arial" w:hAnsi="Arial"/>
          <w:sz w:val="22"/>
          <w:szCs w:val="22"/>
          <w:color w:val="auto"/>
        </w:rPr>
        <w:t xml:space="preserve">”) and </w:t>
      </w:r>
      <w:r>
        <w:rPr>
          <w:rFonts w:ascii="Arial" w:cs="Arial" w:eastAsia="Arial" w:hAnsi="Arial"/>
          <w:sz w:val="22"/>
          <w:szCs w:val="22"/>
          <w:b w:val="1"/>
          <w:bCs w:val="1"/>
          <w:color w:val="auto"/>
        </w:rPr>
        <w:t>Flywire Corporation</w:t>
      </w:r>
      <w:r>
        <w:rPr>
          <w:rFonts w:ascii="Arial" w:cs="Arial" w:eastAsia="Arial" w:hAnsi="Arial"/>
          <w:sz w:val="22"/>
          <w:szCs w:val="22"/>
          <w:color w:val="auto"/>
        </w:rPr>
        <w:t>, a Delaware corporation with an address of 141 Tremont Street, Floor 10, Boston, Massachusetts 02111 (the “</w:t>
      </w:r>
      <w:r>
        <w:rPr>
          <w:rFonts w:ascii="Arial" w:cs="Arial" w:eastAsia="Arial" w:hAnsi="Arial"/>
          <w:sz w:val="22"/>
          <w:szCs w:val="22"/>
          <w:b w:val="1"/>
          <w:bCs w:val="1"/>
          <w:color w:val="auto"/>
        </w:rPr>
        <w:t>Tenant</w:t>
      </w:r>
      <w:r>
        <w:rPr>
          <w:rFonts w:ascii="Arial" w:cs="Arial" w:eastAsia="Arial" w:hAnsi="Arial"/>
          <w:sz w:val="22"/>
          <w:szCs w:val="22"/>
          <w:color w:val="auto"/>
        </w:rPr>
        <w:t>”).</w:t>
      </w:r>
    </w:p>
    <w:p>
      <w:pPr>
        <w:spacing w:after="0" w:line="213"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W I T N E S S E T H</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Landlord and Tenant entered into that certain Office Lease Agreement dated April 8, 2015 (the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Original Lease</w:t>
      </w:r>
      <w:r>
        <w:rPr>
          <w:rFonts w:ascii="Arial" w:cs="Arial" w:eastAsia="Arial" w:hAnsi="Arial"/>
          <w:sz w:val="19"/>
          <w:szCs w:val="19"/>
          <w:color w:val="auto"/>
        </w:rPr>
        <w:t>”), as amended by that certain First Amendment to Lease dated April 7, 2016 (the “</w:t>
      </w:r>
      <w:r>
        <w:rPr>
          <w:rFonts w:ascii="Arial" w:cs="Arial" w:eastAsia="Arial" w:hAnsi="Arial"/>
          <w:sz w:val="19"/>
          <w:szCs w:val="19"/>
          <w:b w:val="1"/>
          <w:bCs w:val="1"/>
          <w:color w:val="auto"/>
        </w:rPr>
        <w:t>First Amendment</w:t>
      </w:r>
      <w:r>
        <w:rPr>
          <w:rFonts w:ascii="Arial" w:cs="Arial" w:eastAsia="Arial" w:hAnsi="Arial"/>
          <w:sz w:val="19"/>
          <w:szCs w:val="19"/>
          <w:color w:val="auto"/>
        </w:rPr>
        <w: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21"/>
          <w:szCs w:val="21"/>
          <w:color w:val="auto"/>
        </w:rPr>
        <w:t>as further amended by that certain Second Amendment to Lease dated October 23, 2018 (the “</w:t>
      </w:r>
      <w:r>
        <w:rPr>
          <w:rFonts w:ascii="Arial" w:cs="Arial" w:eastAsia="Arial" w:hAnsi="Arial"/>
          <w:sz w:val="21"/>
          <w:szCs w:val="21"/>
          <w:b w:val="1"/>
          <w:bCs w:val="1"/>
          <w:color w:val="auto"/>
        </w:rPr>
        <w:t>Second Amendment</w:t>
      </w:r>
      <w:r>
        <w:rPr>
          <w:rFonts w:ascii="Arial" w:cs="Arial" w:eastAsia="Arial" w:hAnsi="Arial"/>
          <w:sz w:val="21"/>
          <w:szCs w:val="21"/>
          <w:color w:val="auto"/>
        </w:rPr>
        <w:t>”),</w:t>
      </w:r>
    </w:p>
    <w:p>
      <w:pPr>
        <w:ind w:left="20"/>
        <w:spacing w:after="0" w:line="222" w:lineRule="auto"/>
        <w:rPr>
          <w:sz w:val="20"/>
          <w:szCs w:val="20"/>
          <w:color w:val="auto"/>
        </w:rPr>
      </w:pPr>
      <w:r>
        <w:rPr>
          <w:rFonts w:ascii="Arial" w:cs="Arial" w:eastAsia="Arial" w:hAnsi="Arial"/>
          <w:sz w:val="20"/>
          <w:szCs w:val="20"/>
          <w:color w:val="auto"/>
        </w:rPr>
        <w:t>leasing to Tenant approximately 16,419 rentable square feet of space consisting of the ninth (9</w:t>
      </w:r>
      <w:r>
        <w:rPr>
          <w:rFonts w:ascii="Arial" w:cs="Arial" w:eastAsia="Arial" w:hAnsi="Arial"/>
          <w:sz w:val="26"/>
          <w:szCs w:val="26"/>
          <w:color w:val="auto"/>
          <w:vertAlign w:val="superscript"/>
        </w:rPr>
        <w:t>th</w:t>
      </w:r>
      <w:r>
        <w:rPr>
          <w:rFonts w:ascii="Arial" w:cs="Arial" w:eastAsia="Arial" w:hAnsi="Arial"/>
          <w:sz w:val="20"/>
          <w:szCs w:val="20"/>
          <w:color w:val="auto"/>
        </w:rPr>
        <w:t>), tenth (10</w:t>
      </w:r>
      <w:r>
        <w:rPr>
          <w:rFonts w:ascii="Arial" w:cs="Arial" w:eastAsia="Arial" w:hAnsi="Arial"/>
          <w:sz w:val="26"/>
          <w:szCs w:val="26"/>
          <w:color w:val="auto"/>
          <w:vertAlign w:val="superscript"/>
        </w:rPr>
        <w:t>th</w:t>
      </w:r>
      <w:r>
        <w:rPr>
          <w:rFonts w:ascii="Arial" w:cs="Arial" w:eastAsia="Arial" w:hAnsi="Arial"/>
          <w:sz w:val="20"/>
          <w:szCs w:val="20"/>
          <w:color w:val="auto"/>
        </w:rPr>
        <w:t>), and eleventh</w:t>
      </w:r>
    </w:p>
    <w:p>
      <w:pPr>
        <w:ind w:left="20"/>
        <w:spacing w:after="0" w:line="194" w:lineRule="auto"/>
        <w:rPr>
          <w:sz w:val="20"/>
          <w:szCs w:val="20"/>
          <w:color w:val="auto"/>
        </w:rPr>
      </w:pPr>
      <w:r>
        <w:rPr>
          <w:rFonts w:ascii="Arial" w:cs="Arial" w:eastAsia="Arial" w:hAnsi="Arial"/>
          <w:sz w:val="21"/>
          <w:szCs w:val="21"/>
          <w:color w:val="auto"/>
        </w:rPr>
        <w:t>(11</w:t>
      </w:r>
      <w:r>
        <w:rPr>
          <w:rFonts w:ascii="Arial" w:cs="Arial" w:eastAsia="Arial" w:hAnsi="Arial"/>
          <w:sz w:val="27"/>
          <w:szCs w:val="27"/>
          <w:color w:val="auto"/>
          <w:vertAlign w:val="superscript"/>
        </w:rPr>
        <w:t>th</w:t>
      </w:r>
      <w:r>
        <w:rPr>
          <w:rFonts w:ascii="Arial" w:cs="Arial" w:eastAsia="Arial" w:hAnsi="Arial"/>
          <w:sz w:val="21"/>
          <w:szCs w:val="21"/>
          <w:color w:val="auto"/>
        </w:rPr>
        <w:t>) floors of the Building (the “</w:t>
      </w:r>
      <w:r>
        <w:rPr>
          <w:rFonts w:ascii="Arial" w:cs="Arial" w:eastAsia="Arial" w:hAnsi="Arial"/>
          <w:sz w:val="21"/>
          <w:szCs w:val="21"/>
          <w:b w:val="1"/>
          <w:bCs w:val="1"/>
          <w:color w:val="auto"/>
        </w:rPr>
        <w:t>Premises</w:t>
      </w:r>
      <w:r>
        <w:rPr>
          <w:rFonts w:ascii="Arial" w:cs="Arial" w:eastAsia="Arial" w:hAnsi="Arial"/>
          <w:sz w:val="21"/>
          <w:szCs w:val="21"/>
          <w:color w:val="auto"/>
        </w:rPr>
        <w:t>”) as more particularly described therein and located at 141 Tremont Street,</w:t>
      </w:r>
    </w:p>
    <w:p>
      <w:pPr>
        <w:ind w:left="20"/>
        <w:spacing w:after="0"/>
        <w:rPr>
          <w:sz w:val="20"/>
          <w:szCs w:val="20"/>
          <w:color w:val="auto"/>
        </w:rPr>
      </w:pPr>
      <w:r>
        <w:rPr>
          <w:rFonts w:ascii="Arial" w:cs="Arial" w:eastAsia="Arial" w:hAnsi="Arial"/>
          <w:sz w:val="22"/>
          <w:szCs w:val="22"/>
          <w:color w:val="auto"/>
        </w:rPr>
        <w:t>Boston, Massachusetts (the “</w:t>
      </w:r>
      <w:r>
        <w:rPr>
          <w:rFonts w:ascii="Arial" w:cs="Arial" w:eastAsia="Arial" w:hAnsi="Arial"/>
          <w:sz w:val="22"/>
          <w:szCs w:val="22"/>
          <w:b w:val="1"/>
          <w:bCs w:val="1"/>
          <w:color w:val="auto"/>
        </w:rPr>
        <w:t>Building</w:t>
      </w:r>
      <w:r>
        <w:rPr>
          <w:rFonts w:ascii="Arial" w:cs="Arial" w:eastAsia="Arial" w:hAnsi="Arial"/>
          <w:sz w:val="22"/>
          <w:szCs w:val="22"/>
          <w:color w:val="auto"/>
        </w:rPr>
        <w:t>”);</w:t>
      </w:r>
    </w:p>
    <w:p>
      <w:pPr>
        <w:spacing w:after="0" w:line="209" w:lineRule="exact"/>
        <w:rPr>
          <w:sz w:val="20"/>
          <w:szCs w:val="20"/>
          <w:color w:val="auto"/>
        </w:rPr>
      </w:pPr>
    </w:p>
    <w:p>
      <w:pPr>
        <w:ind w:left="20" w:right="920" w:firstLine="749"/>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the Original lease, as amended by the First Amendment and Second Amendment and this Third</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shall be known as the “</w:t>
      </w:r>
      <w:r>
        <w:rPr>
          <w:rFonts w:ascii="Arial" w:cs="Arial" w:eastAsia="Arial" w:hAnsi="Arial"/>
          <w:sz w:val="22"/>
          <w:szCs w:val="22"/>
          <w:b w:val="1"/>
          <w:bCs w:val="1"/>
          <w:color w:val="auto"/>
        </w:rPr>
        <w:t>Lease</w:t>
      </w:r>
      <w:r>
        <w:rPr>
          <w:rFonts w:ascii="Arial" w:cs="Arial" w:eastAsia="Arial" w:hAnsi="Arial"/>
          <w:sz w:val="22"/>
          <w:szCs w:val="22"/>
          <w:color w:val="auto"/>
        </w:rPr>
        <w: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Landlord and Tenant desire to terminate a portion of the Premises consisting of 5,473 rentable</w:t>
      </w:r>
    </w:p>
    <w:p>
      <w:pPr>
        <w:spacing w:after="0" w:line="35" w:lineRule="exact"/>
        <w:rPr>
          <w:sz w:val="20"/>
          <w:szCs w:val="20"/>
          <w:color w:val="auto"/>
        </w:rPr>
      </w:pPr>
    </w:p>
    <w:p>
      <w:pPr>
        <w:ind w:left="20" w:right="620"/>
        <w:spacing w:after="0" w:line="210" w:lineRule="auto"/>
        <w:rPr>
          <w:sz w:val="20"/>
          <w:szCs w:val="20"/>
          <w:color w:val="auto"/>
        </w:rPr>
      </w:pPr>
      <w:r>
        <w:rPr>
          <w:rFonts w:ascii="Arial" w:cs="Arial" w:eastAsia="Arial" w:hAnsi="Arial"/>
          <w:sz w:val="22"/>
          <w:szCs w:val="22"/>
          <w:color w:val="auto"/>
        </w:rPr>
        <w:t>square feet of space on the ninth (9</w:t>
      </w:r>
      <w:r>
        <w:rPr>
          <w:rFonts w:ascii="Arial" w:cs="Arial" w:eastAsia="Arial" w:hAnsi="Arial"/>
          <w:sz w:val="28"/>
          <w:szCs w:val="28"/>
          <w:color w:val="auto"/>
          <w:vertAlign w:val="superscript"/>
        </w:rPr>
        <w:t>th</w:t>
      </w:r>
      <w:r>
        <w:rPr>
          <w:rFonts w:ascii="Arial" w:cs="Arial" w:eastAsia="Arial" w:hAnsi="Arial"/>
          <w:sz w:val="22"/>
          <w:szCs w:val="22"/>
          <w:color w:val="auto"/>
        </w:rPr>
        <w:t>) floor of the Building (the “</w:t>
      </w:r>
      <w:r>
        <w:rPr>
          <w:rFonts w:ascii="Arial" w:cs="Arial" w:eastAsia="Arial" w:hAnsi="Arial"/>
          <w:sz w:val="22"/>
          <w:szCs w:val="22"/>
          <w:b w:val="1"/>
          <w:bCs w:val="1"/>
          <w:color w:val="auto"/>
        </w:rPr>
        <w:t>9</w:t>
      </w:r>
      <w:r>
        <w:rPr>
          <w:rFonts w:ascii="Arial" w:cs="Arial" w:eastAsia="Arial" w:hAnsi="Arial"/>
          <w:sz w:val="14"/>
          <w:szCs w:val="14"/>
          <w:b w:val="1"/>
          <w:bCs w:val="1"/>
          <w:color w:val="auto"/>
        </w:rPr>
        <w:t>th</w:t>
      </w:r>
      <w:r>
        <w:rPr>
          <w:rFonts w:ascii="Arial" w:cs="Arial" w:eastAsia="Arial" w:hAnsi="Arial"/>
          <w:sz w:val="22"/>
          <w:szCs w:val="22"/>
          <w:color w:val="auto"/>
        </w:rPr>
        <w:t xml:space="preserve"> </w:t>
      </w:r>
      <w:r>
        <w:rPr>
          <w:rFonts w:ascii="Arial" w:cs="Arial" w:eastAsia="Arial" w:hAnsi="Arial"/>
          <w:sz w:val="22"/>
          <w:szCs w:val="22"/>
          <w:b w:val="1"/>
          <w:bCs w:val="1"/>
          <w:color w:val="auto"/>
        </w:rPr>
        <w:t>Floor Premises</w:t>
      </w:r>
      <w:r>
        <w:rPr>
          <w:rFonts w:ascii="Arial" w:cs="Arial" w:eastAsia="Arial" w:hAnsi="Arial"/>
          <w:sz w:val="22"/>
          <w:szCs w:val="22"/>
          <w:color w:val="auto"/>
        </w:rPr>
        <w:t>”) and to make other modifications to the Lease, on the terms and conditions set forth herein.</w:t>
      </w:r>
    </w:p>
    <w:p>
      <w:pPr>
        <w:spacing w:after="0" w:line="206" w:lineRule="exact"/>
        <w:rPr>
          <w:sz w:val="20"/>
          <w:szCs w:val="20"/>
          <w:color w:val="auto"/>
        </w:rPr>
      </w:pPr>
    </w:p>
    <w:p>
      <w:pPr>
        <w:jc w:val="both"/>
        <w:ind w:left="20" w:right="900" w:firstLine="749"/>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mutual covenants contained herein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Landlord and Tenant hereby amend the Lease as follows:</w:t>
      </w:r>
    </w:p>
    <w:p>
      <w:pPr>
        <w:spacing w:after="0" w:line="204" w:lineRule="exact"/>
        <w:rPr>
          <w:sz w:val="20"/>
          <w:szCs w:val="20"/>
          <w:color w:val="auto"/>
        </w:rPr>
      </w:pPr>
    </w:p>
    <w:p>
      <w:pPr>
        <w:ind w:right="760" w:firstLine="749"/>
        <w:spacing w:after="0" w:line="256" w:lineRule="auto"/>
        <w:rPr>
          <w:sz w:val="20"/>
          <w:szCs w:val="20"/>
          <w:color w:val="auto"/>
        </w:rPr>
      </w:pPr>
      <w:r>
        <w:rPr>
          <w:rFonts w:ascii="Arial" w:cs="Arial" w:eastAsia="Arial" w:hAnsi="Arial"/>
          <w:sz w:val="22"/>
          <w:szCs w:val="22"/>
          <w:color w:val="auto"/>
        </w:rPr>
        <w:t>1.</w:t>
      </w:r>
      <w:r>
        <w:rPr>
          <w:rFonts w:ascii="Arial" w:cs="Arial" w:eastAsia="Arial" w:hAnsi="Arial"/>
          <w:sz w:val="22"/>
          <w:szCs w:val="22"/>
          <w:b w:val="1"/>
          <w:bCs w:val="1"/>
          <w:u w:val="single" w:color="auto"/>
          <w:color w:val="auto"/>
        </w:rPr>
        <w:t>Defined Terms</w:t>
      </w:r>
      <w:r>
        <w:rPr>
          <w:rFonts w:ascii="Arial" w:cs="Arial" w:eastAsia="Arial" w:hAnsi="Arial"/>
          <w:sz w:val="22"/>
          <w:szCs w:val="22"/>
          <w:color w:val="auto"/>
        </w:rPr>
        <w:t>. All capitalized terms not otherwise ascribed a definition in this Third Amendment shall have the meaning ascribed to such term as set forth in the Lease.</w:t>
      </w:r>
    </w:p>
    <w:p>
      <w:pPr>
        <w:spacing w:after="0" w:line="203" w:lineRule="exact"/>
        <w:rPr>
          <w:sz w:val="20"/>
          <w:szCs w:val="20"/>
          <w:color w:val="auto"/>
        </w:rPr>
      </w:pPr>
    </w:p>
    <w:p>
      <w:pPr>
        <w:ind w:right="360" w:firstLine="749"/>
        <w:spacing w:after="0" w:line="259" w:lineRule="auto"/>
        <w:rPr>
          <w:sz w:val="20"/>
          <w:szCs w:val="20"/>
          <w:color w:val="auto"/>
        </w:rPr>
      </w:pPr>
      <w:r>
        <w:rPr>
          <w:rFonts w:ascii="Arial" w:cs="Arial" w:eastAsia="Arial" w:hAnsi="Arial"/>
          <w:sz w:val="20"/>
          <w:szCs w:val="20"/>
          <w:color w:val="auto"/>
        </w:rPr>
        <w:t>2.</w:t>
      </w:r>
      <w:r>
        <w:rPr>
          <w:rFonts w:ascii="Arial" w:cs="Arial" w:eastAsia="Arial" w:hAnsi="Arial"/>
          <w:sz w:val="20"/>
          <w:szCs w:val="20"/>
          <w:b w:val="1"/>
          <w:bCs w:val="1"/>
          <w:u w:val="single" w:color="auto"/>
          <w:color w:val="auto"/>
        </w:rPr>
        <w:t>9</w:t>
      </w:r>
      <w:r>
        <w:rPr>
          <w:rFonts w:ascii="Arial" w:cs="Arial" w:eastAsia="Arial" w:hAnsi="Arial"/>
          <w:sz w:val="13"/>
          <w:szCs w:val="13"/>
          <w:b w:val="1"/>
          <w:bCs w:val="1"/>
          <w:u w:val="single" w:color="auto"/>
          <w:color w:val="auto"/>
        </w:rPr>
        <w:t>th</w:t>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Floor Premises</w:t>
      </w:r>
      <w:r>
        <w:rPr>
          <w:rFonts w:ascii="Arial" w:cs="Arial" w:eastAsia="Arial" w:hAnsi="Arial"/>
          <w:sz w:val="20"/>
          <w:szCs w:val="20"/>
          <w:color w:val="auto"/>
        </w:rPr>
        <w:t>. Effective on September 30, 2023 (the “</w:t>
      </w:r>
      <w:r>
        <w:rPr>
          <w:rFonts w:ascii="Arial" w:cs="Arial" w:eastAsia="Arial" w:hAnsi="Arial"/>
          <w:sz w:val="20"/>
          <w:szCs w:val="20"/>
          <w:b w:val="1"/>
          <w:bCs w:val="1"/>
          <w:color w:val="auto"/>
        </w:rPr>
        <w:t>9</w:t>
      </w:r>
      <w:r>
        <w:rPr>
          <w:rFonts w:ascii="Arial" w:cs="Arial" w:eastAsia="Arial" w:hAnsi="Arial"/>
          <w:sz w:val="13"/>
          <w:szCs w:val="13"/>
          <w:b w:val="1"/>
          <w:bCs w:val="1"/>
          <w:color w:val="auto"/>
        </w:rPr>
        <w:t>th</w:t>
      </w:r>
      <w:r>
        <w:rPr>
          <w:rFonts w:ascii="Arial" w:cs="Arial" w:eastAsia="Arial" w:hAnsi="Arial"/>
          <w:sz w:val="20"/>
          <w:szCs w:val="20"/>
          <w:color w:val="auto"/>
        </w:rPr>
        <w:t xml:space="preserve"> </w:t>
      </w:r>
      <w:r>
        <w:rPr>
          <w:rFonts w:ascii="Arial" w:cs="Arial" w:eastAsia="Arial" w:hAnsi="Arial"/>
          <w:sz w:val="20"/>
          <w:szCs w:val="20"/>
          <w:b w:val="1"/>
          <w:bCs w:val="1"/>
          <w:color w:val="auto"/>
        </w:rPr>
        <w:t>Floor Termination Date</w:t>
      </w:r>
      <w:r>
        <w:rPr>
          <w:rFonts w:ascii="Arial" w:cs="Arial" w:eastAsia="Arial" w:hAnsi="Arial"/>
          <w:sz w:val="20"/>
          <w:szCs w:val="20"/>
          <w:color w:val="auto"/>
        </w:rPr>
        <w:t>”), Landlord and Tenant hereby agree that Tenant shall surrender and vacate the 9</w:t>
      </w:r>
      <w:r>
        <w:rPr>
          <w:rFonts w:ascii="Arial" w:cs="Arial" w:eastAsia="Arial" w:hAnsi="Arial"/>
          <w:sz w:val="13"/>
          <w:szCs w:val="13"/>
          <w:color w:val="auto"/>
        </w:rPr>
        <w:t>th</w:t>
      </w:r>
      <w:r>
        <w:rPr>
          <w:rFonts w:ascii="Arial" w:cs="Arial" w:eastAsia="Arial" w:hAnsi="Arial"/>
          <w:sz w:val="20"/>
          <w:szCs w:val="20"/>
          <w:color w:val="auto"/>
        </w:rPr>
        <w:t xml:space="preserve"> Floor Premises on the Termination Date in accordance with the terms and provisions of the Lease and this Third Amendment, including without limitation, delivery of the Premises in broom clean condition with removal of personal property and signage in accordance with the Lease. Tenant shall be relieved of its obligation to pay Rent on the 9</w:t>
      </w:r>
      <w:r>
        <w:rPr>
          <w:rFonts w:ascii="Arial" w:cs="Arial" w:eastAsia="Arial" w:hAnsi="Arial"/>
          <w:sz w:val="13"/>
          <w:szCs w:val="13"/>
          <w:color w:val="auto"/>
        </w:rPr>
        <w:t>th</w:t>
      </w:r>
      <w:r>
        <w:rPr>
          <w:rFonts w:ascii="Arial" w:cs="Arial" w:eastAsia="Arial" w:hAnsi="Arial"/>
          <w:sz w:val="20"/>
          <w:szCs w:val="20"/>
          <w:color w:val="auto"/>
        </w:rPr>
        <w:t xml:space="preserve"> Floor Premises only from October 1, 2023 – March 31, 2024. Landlord and Tenant hereby agree that Landlord shall complete the removal of the staircase connecting the 9</w:t>
      </w:r>
      <w:r>
        <w:rPr>
          <w:rFonts w:ascii="Arial" w:cs="Arial" w:eastAsia="Arial" w:hAnsi="Arial"/>
          <w:sz w:val="13"/>
          <w:szCs w:val="13"/>
          <w:color w:val="auto"/>
        </w:rPr>
        <w:t>th</w:t>
      </w:r>
      <w:r>
        <w:rPr>
          <w:rFonts w:ascii="Arial" w:cs="Arial" w:eastAsia="Arial" w:hAnsi="Arial"/>
          <w:sz w:val="20"/>
          <w:szCs w:val="20"/>
          <w:color w:val="auto"/>
        </w:rPr>
        <w:t xml:space="preserve"> and 10</w:t>
      </w:r>
      <w:r>
        <w:rPr>
          <w:rFonts w:ascii="Arial" w:cs="Arial" w:eastAsia="Arial" w:hAnsi="Arial"/>
          <w:sz w:val="13"/>
          <w:szCs w:val="13"/>
          <w:color w:val="auto"/>
        </w:rPr>
        <w:t>th</w:t>
      </w:r>
      <w:r>
        <w:rPr>
          <w:rFonts w:ascii="Arial" w:cs="Arial" w:eastAsia="Arial" w:hAnsi="Arial"/>
          <w:sz w:val="20"/>
          <w:szCs w:val="20"/>
          <w:color w:val="auto"/>
        </w:rPr>
        <w:t xml:space="preserve"> floors promptly following the 9</w:t>
      </w:r>
      <w:r>
        <w:rPr>
          <w:rFonts w:ascii="Arial" w:cs="Arial" w:eastAsia="Arial" w:hAnsi="Arial"/>
          <w:sz w:val="13"/>
          <w:szCs w:val="13"/>
          <w:color w:val="auto"/>
        </w:rPr>
        <w:t>th</w:t>
      </w:r>
      <w:r>
        <w:rPr>
          <w:rFonts w:ascii="Arial" w:cs="Arial" w:eastAsia="Arial" w:hAnsi="Arial"/>
          <w:sz w:val="20"/>
          <w:szCs w:val="20"/>
          <w:color w:val="auto"/>
        </w:rPr>
        <w:t xml:space="preserve"> Floor Termination Date, at Landlord’s sole cost and expense, and the entirety of the removal project shall not exceed sixty (60) days. Landlord shall be responsible for any repair work that is required due to stairwell removal including cosmetic work. The Lease shall remain unmodified in full force and effect with respect to the 10</w:t>
      </w:r>
      <w:r>
        <w:rPr>
          <w:rFonts w:ascii="Arial" w:cs="Arial" w:eastAsia="Arial" w:hAnsi="Arial"/>
          <w:sz w:val="13"/>
          <w:szCs w:val="13"/>
          <w:color w:val="auto"/>
        </w:rPr>
        <w:t>th</w:t>
      </w:r>
      <w:r>
        <w:rPr>
          <w:rFonts w:ascii="Arial" w:cs="Arial" w:eastAsia="Arial" w:hAnsi="Arial"/>
          <w:sz w:val="20"/>
          <w:szCs w:val="20"/>
          <w:color w:val="auto"/>
        </w:rPr>
        <w:t xml:space="preserve"> Floor Premises and the 11</w:t>
      </w:r>
      <w:r>
        <w:rPr>
          <w:rFonts w:ascii="Arial" w:cs="Arial" w:eastAsia="Arial" w:hAnsi="Arial"/>
          <w:sz w:val="13"/>
          <w:szCs w:val="13"/>
          <w:color w:val="auto"/>
        </w:rPr>
        <w:t>th</w:t>
      </w:r>
      <w:r>
        <w:rPr>
          <w:rFonts w:ascii="Arial" w:cs="Arial" w:eastAsia="Arial" w:hAnsi="Arial"/>
          <w:sz w:val="20"/>
          <w:szCs w:val="20"/>
          <w:color w:val="auto"/>
        </w:rPr>
        <w:t xml:space="preserve"> Floor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332105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1" w:right="339" w:bottom="1440" w:gutter="0" w:footer="0" w:header="0"/>
        </w:sectPr>
      </w:pPr>
    </w:p>
    <w:bookmarkStart w:id="110" w:name="page111"/>
    <w:bookmarkEnd w:id="110"/>
    <w:p>
      <w:pPr>
        <w:ind w:left="140" w:right="540"/>
        <w:spacing w:after="0" w:line="259" w:lineRule="auto"/>
        <w:rPr>
          <w:sz w:val="20"/>
          <w:szCs w:val="20"/>
          <w:color w:val="auto"/>
        </w:rPr>
      </w:pPr>
      <w:r>
        <w:rPr>
          <w:rFonts w:ascii="Arial" w:cs="Arial" w:eastAsia="Arial" w:hAnsi="Arial"/>
          <w:sz w:val="19"/>
          <w:szCs w:val="19"/>
          <w:color w:val="auto"/>
        </w:rPr>
        <w:t>including, without limitation, Tenant’s obligation to pay Rent. For the avoidance of doubt, commencing October 1, 2023 – March 31, 2024, Tenant shall pay Monthly Base Rent in the amount of $55,642.17 and Tenant’s Share of Taxes and Tenant’s Share of Operating Expenses shall include the 10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Premises (in accordance with Section 11 and Section 12</w:t>
      </w:r>
    </w:p>
    <w:p>
      <w:pPr>
        <w:spacing w:after="0" w:line="2" w:lineRule="exact"/>
        <w:rPr>
          <w:sz w:val="20"/>
          <w:szCs w:val="20"/>
          <w:color w:val="auto"/>
        </w:rPr>
      </w:pPr>
    </w:p>
    <w:p>
      <w:pPr>
        <w:ind w:left="140" w:right="1540"/>
        <w:spacing w:after="0" w:line="210" w:lineRule="auto"/>
        <w:rPr>
          <w:sz w:val="20"/>
          <w:szCs w:val="20"/>
          <w:color w:val="auto"/>
        </w:rPr>
      </w:pPr>
      <w:r>
        <w:rPr>
          <w:rFonts w:ascii="Arial" w:cs="Arial" w:eastAsia="Arial" w:hAnsi="Arial"/>
          <w:sz w:val="22"/>
          <w:szCs w:val="22"/>
          <w:color w:val="auto"/>
        </w:rPr>
        <w:t>of the Second Amendment) and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Premises (in accordance with Section 7 and Section 8 of the Second Amendment) only.</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b w:val="1"/>
          <w:bCs w:val="1"/>
          <w:u w:val="single" w:color="auto"/>
          <w:color w:val="auto"/>
        </w:rPr>
        <w:t>Premises</w:t>
      </w:r>
      <w:r>
        <w:rPr>
          <w:rFonts w:ascii="Arial" w:cs="Arial" w:eastAsia="Arial" w:hAnsi="Arial"/>
          <w:sz w:val="22"/>
          <w:szCs w:val="22"/>
          <w:color w:val="auto"/>
        </w:rPr>
        <w:t>. Effective as of April 1, 2024 (the “</w:t>
      </w:r>
      <w:r>
        <w:rPr>
          <w:rFonts w:ascii="Arial" w:cs="Arial" w:eastAsia="Arial" w:hAnsi="Arial"/>
          <w:sz w:val="22"/>
          <w:szCs w:val="22"/>
          <w:b w:val="1"/>
          <w:bCs w:val="1"/>
          <w:color w:val="auto"/>
        </w:rPr>
        <w:t>Commencement Date</w:t>
      </w:r>
      <w:r>
        <w:rPr>
          <w:rFonts w:ascii="Arial" w:cs="Arial" w:eastAsia="Arial" w:hAnsi="Arial"/>
          <w:sz w:val="22"/>
          <w:szCs w:val="22"/>
          <w:color w:val="auto"/>
        </w:rPr>
        <w:t>”), the definition of “</w:t>
      </w:r>
      <w:r>
        <w:rPr>
          <w:rFonts w:ascii="Arial" w:cs="Arial" w:eastAsia="Arial" w:hAnsi="Arial"/>
          <w:sz w:val="22"/>
          <w:szCs w:val="22"/>
          <w:b w:val="1"/>
          <w:bCs w:val="1"/>
          <w:color w:val="auto"/>
        </w:rPr>
        <w:t>Premises</w:t>
      </w:r>
      <w:r>
        <w:rPr>
          <w:rFonts w:ascii="Arial" w:cs="Arial" w:eastAsia="Arial" w:hAnsi="Arial"/>
          <w:sz w:val="22"/>
          <w:szCs w:val="22"/>
          <w:color w:val="auto"/>
        </w:rPr>
        <w:t>” in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Section 1 of the Lease is hereby deleted in its entirety and replaced by the following:</w:t>
      </w: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322"/>
        </w:trPr>
        <w:tc>
          <w:tcPr>
            <w:tcW w:w="1920" w:type="dxa"/>
            <w:vAlign w:val="bottom"/>
          </w:tcPr>
          <w:p>
            <w:pPr>
              <w:spacing w:after="0"/>
              <w:rPr>
                <w:sz w:val="20"/>
                <w:szCs w:val="20"/>
                <w:color w:val="auto"/>
              </w:rPr>
            </w:pPr>
            <w:r>
              <w:rPr>
                <w:rFonts w:ascii="Arial" w:cs="Arial" w:eastAsia="Arial" w:hAnsi="Arial"/>
                <w:sz w:val="22"/>
                <w:szCs w:val="22"/>
                <w:color w:val="auto"/>
              </w:rPr>
              <w:t>“Premises:</w:t>
            </w:r>
          </w:p>
        </w:tc>
        <w:tc>
          <w:tcPr>
            <w:tcW w:w="8400" w:type="dxa"/>
            <w:vAlign w:val="bottom"/>
            <w:gridSpan w:val="7"/>
          </w:tcPr>
          <w:p>
            <w:pPr>
              <w:ind w:left="980"/>
              <w:spacing w:after="0"/>
              <w:rPr>
                <w:sz w:val="20"/>
                <w:szCs w:val="20"/>
                <w:color w:val="auto"/>
              </w:rPr>
            </w:pPr>
            <w:r>
              <w:rPr>
                <w:rFonts w:ascii="Arial" w:cs="Arial" w:eastAsia="Arial" w:hAnsi="Arial"/>
                <w:sz w:val="22"/>
                <w:szCs w:val="22"/>
                <w:color w:val="auto"/>
                <w:w w:val="88"/>
              </w:rPr>
              <w:t>Approximately 10,946 rentable square feet consisting of the 10</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and 11</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floors of the</w:t>
            </w:r>
          </w:p>
        </w:tc>
      </w:tr>
      <w:tr>
        <w:trPr>
          <w:trHeight w:val="224"/>
        </w:trPr>
        <w:tc>
          <w:tcPr>
            <w:tcW w:w="1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960" w:type="dxa"/>
            <w:vAlign w:val="bottom"/>
            <w:gridSpan w:val="6"/>
          </w:tcPr>
          <w:p>
            <w:pPr>
              <w:spacing w:after="0" w:line="224" w:lineRule="exact"/>
              <w:rPr>
                <w:sz w:val="20"/>
                <w:szCs w:val="20"/>
                <w:color w:val="auto"/>
              </w:rPr>
            </w:pPr>
            <w:r>
              <w:rPr>
                <w:rFonts w:ascii="Arial" w:cs="Arial" w:eastAsia="Arial" w:hAnsi="Arial"/>
                <w:sz w:val="22"/>
                <w:szCs w:val="22"/>
                <w:color w:val="auto"/>
                <w:w w:val="95"/>
              </w:rPr>
              <w:t>Building substantially as shown on the plans described in Exhibit B (Plan of</w:t>
            </w:r>
          </w:p>
        </w:tc>
      </w:tr>
      <w:tr>
        <w:trPr>
          <w:trHeight w:val="20"/>
        </w:trPr>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23"/>
        </w:trPr>
        <w:tc>
          <w:tcPr>
            <w:tcW w:w="1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960" w:type="dxa"/>
            <w:vAlign w:val="bottom"/>
            <w:gridSpan w:val="6"/>
          </w:tcPr>
          <w:p>
            <w:pPr>
              <w:spacing w:after="0" w:line="223" w:lineRule="exact"/>
              <w:rPr>
                <w:sz w:val="20"/>
                <w:szCs w:val="20"/>
                <w:color w:val="auto"/>
              </w:rPr>
            </w:pPr>
            <w:r>
              <w:rPr>
                <w:rFonts w:ascii="Arial" w:cs="Arial" w:eastAsia="Arial" w:hAnsi="Arial"/>
                <w:sz w:val="22"/>
                <w:szCs w:val="22"/>
                <w:color w:val="auto"/>
              </w:rPr>
              <w:t>Premises) attached hereto and incorporated herein by this reference.”</w:t>
            </w:r>
          </w:p>
        </w:tc>
      </w:tr>
      <w:tr>
        <w:trPr>
          <w:trHeight w:val="20"/>
        </w:trPr>
        <w:tc>
          <w:tcPr>
            <w:tcW w:w="1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ind w:left="120" w:right="1460" w:firstLine="749"/>
        <w:spacing w:after="0" w:line="256" w:lineRule="auto"/>
        <w:rPr>
          <w:sz w:val="20"/>
          <w:szCs w:val="20"/>
          <w:color w:val="auto"/>
        </w:rPr>
      </w:pPr>
      <w:r>
        <w:rPr>
          <w:rFonts w:ascii="Arial" w:cs="Arial" w:eastAsia="Arial" w:hAnsi="Arial"/>
          <w:sz w:val="22"/>
          <w:szCs w:val="22"/>
          <w:color w:val="auto"/>
        </w:rPr>
        <w:t>4.</w:t>
      </w:r>
      <w:r>
        <w:rPr>
          <w:rFonts w:ascii="Arial" w:cs="Arial" w:eastAsia="Arial" w:hAnsi="Arial"/>
          <w:sz w:val="22"/>
          <w:szCs w:val="22"/>
          <w:b w:val="1"/>
          <w:bCs w:val="1"/>
          <w:u w:val="single" w:color="auto"/>
          <w:color w:val="auto"/>
        </w:rPr>
        <w:t>Term</w:t>
      </w:r>
      <w:r>
        <w:rPr>
          <w:rFonts w:ascii="Arial" w:cs="Arial" w:eastAsia="Arial" w:hAnsi="Arial"/>
          <w:sz w:val="22"/>
          <w:szCs w:val="22"/>
          <w:color w:val="auto"/>
        </w:rPr>
        <w:t>. Effective as of the Commencement Date, the definition of “</w:t>
      </w:r>
      <w:r>
        <w:rPr>
          <w:rFonts w:ascii="Arial" w:cs="Arial" w:eastAsia="Arial" w:hAnsi="Arial"/>
          <w:sz w:val="22"/>
          <w:szCs w:val="22"/>
          <w:b w:val="1"/>
          <w:bCs w:val="1"/>
          <w:color w:val="auto"/>
        </w:rPr>
        <w:t>Term</w:t>
      </w:r>
      <w:r>
        <w:rPr>
          <w:rFonts w:ascii="Arial" w:cs="Arial" w:eastAsia="Arial" w:hAnsi="Arial"/>
          <w:sz w:val="22"/>
          <w:szCs w:val="22"/>
          <w:color w:val="auto"/>
        </w:rPr>
        <w:t>” in Section 1 of the Lease is hereby deleted in its entirety and replaced by:</w:t>
      </w:r>
    </w:p>
    <w:p>
      <w:pPr>
        <w:sectPr>
          <w:pgSz w:w="11900" w:h="16838" w:orient="portrait"/>
          <w:cols w:equalWidth="0" w:num="1">
            <w:col w:w="11240"/>
          </w:cols>
          <w:pgMar w:left="320" w:top="186" w:right="339" w:bottom="1440" w:gutter="0" w:footer="0" w:header="0"/>
        </w:sectPr>
      </w:pPr>
    </w:p>
    <w:p>
      <w:pPr>
        <w:spacing w:after="0" w:line="19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“Term: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200" w:hanging="435"/>
        <w:spacing w:after="0" w:line="283" w:lineRule="auto"/>
        <w:rPr>
          <w:sz w:val="20"/>
          <w:szCs w:val="20"/>
          <w:color w:val="auto"/>
        </w:rPr>
      </w:pPr>
      <w:r>
        <w:rPr>
          <w:rFonts w:ascii="Arial" w:cs="Arial" w:eastAsia="Arial" w:hAnsi="Arial"/>
          <w:sz w:val="20"/>
          <w:szCs w:val="20"/>
          <w:color w:val="auto"/>
        </w:rPr>
        <w:t>Three (3) years and three (3) months beginning on the Commencement Date and ending on the last day of the thirty- ninth (39</w:t>
      </w:r>
      <w:r>
        <w:rPr>
          <w:rFonts w:ascii="Arial" w:cs="Arial" w:eastAsia="Arial" w:hAnsi="Arial"/>
          <w:sz w:val="13"/>
          <w:szCs w:val="13"/>
          <w:color w:val="auto"/>
        </w:rPr>
        <w:t>th</w:t>
      </w:r>
      <w:r>
        <w:rPr>
          <w:rFonts w:ascii="Arial" w:cs="Arial" w:eastAsia="Arial" w:hAnsi="Arial"/>
          <w:sz w:val="20"/>
          <w:szCs w:val="20"/>
          <w:color w:val="auto"/>
        </w:rPr>
        <w:t>) full calendar month thereafter (the “</w:t>
      </w:r>
      <w:r>
        <w:rPr>
          <w:rFonts w:ascii="Arial" w:cs="Arial" w:eastAsia="Arial" w:hAnsi="Arial"/>
          <w:sz w:val="20"/>
          <w:szCs w:val="20"/>
          <w:b w:val="1"/>
          <w:bCs w:val="1"/>
          <w:color w:val="auto"/>
        </w:rPr>
        <w:t>Expiration Date</w:t>
      </w:r>
      <w:r>
        <w:rPr>
          <w:rFonts w:ascii="Arial" w:cs="Arial" w:eastAsia="Arial" w:hAnsi="Arial"/>
          <w:sz w:val="20"/>
          <w:szCs w:val="20"/>
          <w:color w:val="auto"/>
        </w:rPr>
        <w:t>”), unless terminated or extended as provided herein.”</w:t>
      </w:r>
    </w:p>
    <w:p>
      <w:pPr>
        <w:spacing w:after="0" w:line="200" w:lineRule="exact"/>
        <w:rPr>
          <w:sz w:val="20"/>
          <w:szCs w:val="20"/>
          <w:color w:val="auto"/>
        </w:rPr>
      </w:pPr>
    </w:p>
    <w:p>
      <w:pPr>
        <w:sectPr>
          <w:pgSz w:w="11900" w:h="16838" w:orient="portrait"/>
          <w:cols w:equalWidth="0" w:num="2">
            <w:col w:w="3240" w:space="720"/>
            <w:col w:w="7280"/>
          </w:cols>
          <w:pgMar w:left="320" w:top="186" w:right="339" w:bottom="1440" w:gutter="0" w:footer="0" w:header="0"/>
          <w:type w:val="continuous"/>
        </w:sectPr>
      </w:pPr>
    </w:p>
    <w:p>
      <w:pPr>
        <w:spacing w:after="0" w:line="33" w:lineRule="exact"/>
        <w:rPr>
          <w:sz w:val="20"/>
          <w:szCs w:val="20"/>
          <w:color w:val="auto"/>
        </w:rPr>
      </w:pPr>
    </w:p>
    <w:p>
      <w:pPr>
        <w:ind w:left="120" w:right="440" w:firstLine="749"/>
        <w:spacing w:after="0" w:line="245" w:lineRule="auto"/>
        <w:rPr>
          <w:sz w:val="20"/>
          <w:szCs w:val="20"/>
          <w:color w:val="auto"/>
        </w:rPr>
      </w:pPr>
      <w:r>
        <w:rPr>
          <w:rFonts w:ascii="Arial" w:cs="Arial" w:eastAsia="Arial" w:hAnsi="Arial"/>
          <w:sz w:val="21"/>
          <w:szCs w:val="21"/>
          <w:color w:val="auto"/>
        </w:rPr>
        <w:t>5.</w:t>
      </w:r>
      <w:r>
        <w:rPr>
          <w:rFonts w:ascii="Arial" w:cs="Arial" w:eastAsia="Arial" w:hAnsi="Arial"/>
          <w:sz w:val="21"/>
          <w:szCs w:val="21"/>
          <w:b w:val="1"/>
          <w:bCs w:val="1"/>
          <w:u w:val="single" w:color="auto"/>
          <w:color w:val="auto"/>
        </w:rPr>
        <w:t>Rent Abatement; Rent Abatement Period</w:t>
      </w:r>
      <w:r>
        <w:rPr>
          <w:rFonts w:ascii="Arial" w:cs="Arial" w:eastAsia="Arial" w:hAnsi="Arial"/>
          <w:sz w:val="21"/>
          <w:szCs w:val="21"/>
          <w:color w:val="auto"/>
        </w:rPr>
        <w:t>. Notwithstanding the foregoing Base Rent Schedule or any contrary provision of this Third Amendment, but subject to the terms and conditions of this Third Amendment, Tenant shall not be obligated to pay any Base Rent for the Premises for the first three (3) months (the “</w:t>
      </w:r>
      <w:r>
        <w:rPr>
          <w:rFonts w:ascii="Arial" w:cs="Arial" w:eastAsia="Arial" w:hAnsi="Arial"/>
          <w:sz w:val="21"/>
          <w:szCs w:val="21"/>
          <w:b w:val="1"/>
          <w:bCs w:val="1"/>
          <w:color w:val="auto"/>
        </w:rPr>
        <w:t>Rent Abatement</w:t>
      </w:r>
      <w:r>
        <w:rPr>
          <w:rFonts w:ascii="Arial" w:cs="Arial" w:eastAsia="Arial" w:hAnsi="Arial"/>
          <w:sz w:val="21"/>
          <w:szCs w:val="21"/>
          <w:color w:val="auto"/>
        </w:rPr>
        <w:t>”) following the Commencement Date (the “</w:t>
      </w:r>
      <w:r>
        <w:rPr>
          <w:rFonts w:ascii="Arial" w:cs="Arial" w:eastAsia="Arial" w:hAnsi="Arial"/>
          <w:sz w:val="21"/>
          <w:szCs w:val="21"/>
          <w:b w:val="1"/>
          <w:bCs w:val="1"/>
          <w:color w:val="auto"/>
        </w:rPr>
        <w:t>Rent Abatement Period</w:t>
      </w:r>
      <w:r>
        <w:rPr>
          <w:rFonts w:ascii="Arial" w:cs="Arial" w:eastAsia="Arial" w:hAnsi="Arial"/>
          <w:sz w:val="21"/>
          <w:szCs w:val="21"/>
          <w:color w:val="auto"/>
        </w:rPr>
        <w:t>”). Tenant acknowledges and agrees that the foregoing Rent Abatement has been granted to Tenant as additional consideration for entering into this Third Amendment, and for agreeing to pay the rental and perform the terms and conditions otherwise required under this Third Amendment. If, prior to the expiration of the Rent Abatement Period, there shall be an Event of Default under the Lease, beyond any applicable notice or cure period, then (1) Tenant shall immediately be obligated to begin paying Base Rent for the Premises in full and (2) Landlord shall have all rights and remedies set forth in the Lease in addition to any and all other rights and remedies available to Landlord at law or in equity.</w:t>
      </w:r>
    </w:p>
    <w:p>
      <w:pPr>
        <w:spacing w:after="0" w:line="208" w:lineRule="exact"/>
        <w:rPr>
          <w:sz w:val="20"/>
          <w:szCs w:val="20"/>
          <w:color w:val="auto"/>
        </w:rPr>
      </w:pPr>
    </w:p>
    <w:p>
      <w:pPr>
        <w:ind w:left="120" w:right="780" w:firstLine="749"/>
        <w:spacing w:after="0" w:line="256" w:lineRule="auto"/>
        <w:rPr>
          <w:sz w:val="20"/>
          <w:szCs w:val="20"/>
          <w:color w:val="auto"/>
        </w:rPr>
      </w:pPr>
      <w:r>
        <w:rPr>
          <w:rFonts w:ascii="Arial" w:cs="Arial" w:eastAsia="Arial" w:hAnsi="Arial"/>
          <w:sz w:val="22"/>
          <w:szCs w:val="22"/>
          <w:color w:val="auto"/>
        </w:rPr>
        <w:t>6.</w:t>
      </w:r>
      <w:r>
        <w:rPr>
          <w:rFonts w:ascii="Arial" w:cs="Arial" w:eastAsia="Arial" w:hAnsi="Arial"/>
          <w:sz w:val="22"/>
          <w:szCs w:val="22"/>
          <w:b w:val="1"/>
          <w:bCs w:val="1"/>
          <w:u w:val="single" w:color="auto"/>
          <w:color w:val="auto"/>
        </w:rPr>
        <w:t>Base Rent</w:t>
      </w:r>
      <w:r>
        <w:rPr>
          <w:rFonts w:ascii="Arial" w:cs="Arial" w:eastAsia="Arial" w:hAnsi="Arial"/>
          <w:sz w:val="22"/>
          <w:szCs w:val="22"/>
          <w:color w:val="auto"/>
        </w:rPr>
        <w:t>. Effective as of the Commencement Date, the definition of “</w:t>
      </w:r>
      <w:r>
        <w:rPr>
          <w:rFonts w:ascii="Arial" w:cs="Arial" w:eastAsia="Arial" w:hAnsi="Arial"/>
          <w:sz w:val="22"/>
          <w:szCs w:val="22"/>
          <w:b w:val="1"/>
          <w:bCs w:val="1"/>
          <w:color w:val="auto"/>
        </w:rPr>
        <w:t>Base Rent</w:t>
      </w:r>
      <w:r>
        <w:rPr>
          <w:rFonts w:ascii="Arial" w:cs="Arial" w:eastAsia="Arial" w:hAnsi="Arial"/>
          <w:sz w:val="22"/>
          <w:szCs w:val="22"/>
          <w:color w:val="auto"/>
        </w:rPr>
        <w:t>” in Section 1 of the Lease is hereby deleted in its entirety and replaced by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0" w:type="dxa"/>
            <w:vAlign w:val="bottom"/>
          </w:tcPr>
          <w:p>
            <w:pPr>
              <w:spacing w:after="0"/>
              <w:rPr>
                <w:sz w:val="23"/>
                <w:szCs w:val="23"/>
                <w:color w:val="auto"/>
              </w:rPr>
            </w:pPr>
          </w:p>
        </w:tc>
        <w:tc>
          <w:tcPr>
            <w:tcW w:w="3920" w:type="dxa"/>
            <w:vAlign w:val="bottom"/>
          </w:tcPr>
          <w:p>
            <w:pPr>
              <w:ind w:left="580"/>
              <w:spacing w:after="0"/>
              <w:rPr>
                <w:sz w:val="20"/>
                <w:szCs w:val="20"/>
                <w:color w:val="auto"/>
              </w:rPr>
            </w:pPr>
            <w:r>
              <w:rPr>
                <w:rFonts w:ascii="Arial" w:cs="Arial" w:eastAsia="Arial" w:hAnsi="Arial"/>
                <w:sz w:val="22"/>
                <w:szCs w:val="22"/>
                <w:color w:val="auto"/>
              </w:rPr>
              <w:t>“Base Rent:</w:t>
            </w:r>
          </w:p>
        </w:tc>
        <w:tc>
          <w:tcPr>
            <w:tcW w:w="32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100" w:type="dxa"/>
            <w:vAlign w:val="bottom"/>
          </w:tcPr>
          <w:p>
            <w:pPr>
              <w:spacing w:after="0"/>
              <w:rPr>
                <w:sz w:val="21"/>
                <w:szCs w:val="21"/>
                <w:color w:val="auto"/>
              </w:rPr>
            </w:pPr>
          </w:p>
        </w:tc>
        <w:tc>
          <w:tcPr>
            <w:tcW w:w="392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63"/>
        </w:trPr>
        <w:tc>
          <w:tcPr>
            <w:tcW w:w="100" w:type="dxa"/>
            <w:vAlign w:val="bottom"/>
            <w:tcBorders>
              <w:right w:val="single" w:sz="8" w:color="auto"/>
            </w:tcBorders>
          </w:tcPr>
          <w:p>
            <w:pPr>
              <w:spacing w:after="0"/>
              <w:rPr>
                <w:sz w:val="22"/>
                <w:szCs w:val="22"/>
                <w:color w:val="auto"/>
              </w:rPr>
            </w:pPr>
          </w:p>
        </w:tc>
        <w:tc>
          <w:tcPr>
            <w:tcW w:w="3920" w:type="dxa"/>
            <w:vAlign w:val="bottom"/>
            <w:tcBorders>
              <w:bottom w:val="single" w:sz="8" w:color="auto"/>
              <w:right w:val="single" w:sz="8" w:color="auto"/>
            </w:tcBorders>
          </w:tcPr>
          <w:p>
            <w:pPr>
              <w:ind w:left="1660"/>
              <w:spacing w:after="0" w:line="244" w:lineRule="exact"/>
              <w:rPr>
                <w:sz w:val="20"/>
                <w:szCs w:val="20"/>
                <w:color w:val="auto"/>
              </w:rPr>
            </w:pPr>
            <w:r>
              <w:rPr>
                <w:rFonts w:ascii="Arial" w:cs="Arial" w:eastAsia="Arial" w:hAnsi="Arial"/>
                <w:sz w:val="22"/>
                <w:szCs w:val="22"/>
                <w:color w:val="auto"/>
              </w:rPr>
              <w:t>Period</w:t>
            </w:r>
          </w:p>
        </w:tc>
        <w:tc>
          <w:tcPr>
            <w:tcW w:w="3220" w:type="dxa"/>
            <w:vAlign w:val="bottom"/>
            <w:tcBorders>
              <w:bottom w:val="single" w:sz="8" w:color="auto"/>
              <w:right w:val="single" w:sz="8" w:color="auto"/>
            </w:tcBorders>
          </w:tcPr>
          <w:p>
            <w:pPr>
              <w:ind w:left="800"/>
              <w:spacing w:after="0" w:line="244" w:lineRule="exact"/>
              <w:rPr>
                <w:sz w:val="20"/>
                <w:szCs w:val="20"/>
                <w:color w:val="auto"/>
              </w:rPr>
            </w:pPr>
            <w:r>
              <w:rPr>
                <w:rFonts w:ascii="Arial" w:cs="Arial" w:eastAsia="Arial" w:hAnsi="Arial"/>
                <w:sz w:val="22"/>
                <w:szCs w:val="22"/>
                <w:color w:val="auto"/>
              </w:rPr>
              <w:t>Annual Base Rent</w:t>
            </w:r>
          </w:p>
        </w:tc>
        <w:tc>
          <w:tcPr>
            <w:tcW w:w="3740" w:type="dxa"/>
            <w:vAlign w:val="bottom"/>
            <w:tcBorders>
              <w:bottom w:val="single" w:sz="8" w:color="auto"/>
              <w:right w:val="single" w:sz="8" w:color="auto"/>
            </w:tcBorders>
          </w:tcPr>
          <w:p>
            <w:pPr>
              <w:ind w:left="1020"/>
              <w:spacing w:after="0" w:line="244" w:lineRule="exact"/>
              <w:rPr>
                <w:sz w:val="20"/>
                <w:szCs w:val="20"/>
                <w:color w:val="auto"/>
              </w:rPr>
            </w:pPr>
            <w:r>
              <w:rPr>
                <w:rFonts w:ascii="Arial" w:cs="Arial" w:eastAsia="Arial" w:hAnsi="Arial"/>
                <w:sz w:val="22"/>
                <w:szCs w:val="22"/>
                <w:color w:val="auto"/>
              </w:rPr>
              <w:t>Monthly Base Rent</w:t>
            </w:r>
          </w:p>
        </w:tc>
        <w:tc>
          <w:tcPr>
            <w:tcW w:w="260" w:type="dxa"/>
            <w:vAlign w:val="bottom"/>
          </w:tcPr>
          <w:p>
            <w:pPr>
              <w:spacing w:after="0"/>
              <w:rPr>
                <w:sz w:val="22"/>
                <w:szCs w:val="22"/>
                <w:color w:val="auto"/>
              </w:rPr>
            </w:pPr>
          </w:p>
        </w:tc>
      </w:tr>
      <w:tr>
        <w:trPr>
          <w:trHeight w:val="187"/>
        </w:trPr>
        <w:tc>
          <w:tcPr>
            <w:tcW w:w="100" w:type="dxa"/>
            <w:vAlign w:val="bottom"/>
            <w:tcBorders>
              <w:right w:val="single" w:sz="8" w:color="auto"/>
            </w:tcBorders>
          </w:tcPr>
          <w:p>
            <w:pPr>
              <w:spacing w:after="0"/>
              <w:rPr>
                <w:sz w:val="16"/>
                <w:szCs w:val="16"/>
                <w:color w:val="auto"/>
              </w:rPr>
            </w:pPr>
          </w:p>
        </w:tc>
        <w:tc>
          <w:tcPr>
            <w:tcW w:w="3920" w:type="dxa"/>
            <w:vAlign w:val="bottom"/>
            <w:tcBorders>
              <w:right w:val="single" w:sz="8" w:color="auto"/>
            </w:tcBorders>
          </w:tcPr>
          <w:p>
            <w:pPr>
              <w:ind w:left="100"/>
              <w:spacing w:after="0" w:line="187" w:lineRule="exact"/>
              <w:rPr>
                <w:sz w:val="20"/>
                <w:szCs w:val="20"/>
                <w:color w:val="auto"/>
              </w:rPr>
            </w:pPr>
            <w:r>
              <w:rPr>
                <w:rFonts w:ascii="Arial" w:cs="Arial" w:eastAsia="Arial" w:hAnsi="Arial"/>
                <w:sz w:val="21"/>
                <w:szCs w:val="21"/>
                <w:color w:val="auto"/>
              </w:rPr>
              <w:t>Commencement Date through – Month</w:t>
            </w:r>
          </w:p>
        </w:tc>
        <w:tc>
          <w:tcPr>
            <w:tcW w:w="3220" w:type="dxa"/>
            <w:vAlign w:val="bottom"/>
            <w:tcBorders>
              <w:right w:val="single" w:sz="8" w:color="auto"/>
            </w:tcBorders>
          </w:tcPr>
          <w:p>
            <w:pPr>
              <w:jc w:val="right"/>
              <w:ind w:right="934"/>
              <w:spacing w:after="0" w:line="187" w:lineRule="exact"/>
              <w:rPr>
                <w:sz w:val="20"/>
                <w:szCs w:val="20"/>
                <w:color w:val="auto"/>
              </w:rPr>
            </w:pPr>
            <w:r>
              <w:rPr>
                <w:rFonts w:ascii="Arial" w:cs="Arial" w:eastAsia="Arial" w:hAnsi="Arial"/>
                <w:sz w:val="21"/>
                <w:szCs w:val="21"/>
                <w:color w:val="auto"/>
              </w:rPr>
              <w:t>*$612,976.00</w:t>
            </w:r>
          </w:p>
        </w:tc>
        <w:tc>
          <w:tcPr>
            <w:tcW w:w="3740" w:type="dxa"/>
            <w:vAlign w:val="bottom"/>
            <w:tcBorders>
              <w:right w:val="single" w:sz="8" w:color="auto"/>
            </w:tcBorders>
          </w:tcPr>
          <w:p>
            <w:pPr>
              <w:jc w:val="right"/>
              <w:ind w:right="1234"/>
              <w:spacing w:after="0" w:line="187" w:lineRule="exact"/>
              <w:rPr>
                <w:sz w:val="20"/>
                <w:szCs w:val="20"/>
                <w:color w:val="auto"/>
              </w:rPr>
            </w:pPr>
            <w:r>
              <w:rPr>
                <w:rFonts w:ascii="Arial" w:cs="Arial" w:eastAsia="Arial" w:hAnsi="Arial"/>
                <w:sz w:val="21"/>
                <w:szCs w:val="21"/>
                <w:color w:val="auto"/>
              </w:rPr>
              <w:t>*$51,081.33</w:t>
            </w:r>
          </w:p>
        </w:tc>
        <w:tc>
          <w:tcPr>
            <w:tcW w:w="260" w:type="dxa"/>
            <w:vAlign w:val="bottom"/>
          </w:tcPr>
          <w:p>
            <w:pPr>
              <w:spacing w:after="0"/>
              <w:rPr>
                <w:sz w:val="16"/>
                <w:szCs w:val="16"/>
                <w:color w:val="auto"/>
              </w:rPr>
            </w:pPr>
          </w:p>
        </w:tc>
      </w:tr>
      <w:tr>
        <w:trPr>
          <w:trHeight w:val="303"/>
        </w:trPr>
        <w:tc>
          <w:tcPr>
            <w:tcW w:w="100" w:type="dxa"/>
            <w:vAlign w:val="bottom"/>
            <w:tcBorders>
              <w:right w:val="single" w:sz="8" w:color="auto"/>
            </w:tcBorders>
          </w:tcPr>
          <w:p>
            <w:pPr>
              <w:spacing w:after="0"/>
              <w:rPr>
                <w:sz w:val="24"/>
                <w:szCs w:val="24"/>
                <w:color w:val="auto"/>
              </w:rPr>
            </w:pPr>
          </w:p>
        </w:tc>
        <w:tc>
          <w:tcPr>
            <w:tcW w:w="3920" w:type="dxa"/>
            <w:vAlign w:val="bottom"/>
            <w:tcBorders>
              <w:bottom w:val="single" w:sz="8" w:color="auto"/>
              <w:right w:val="single" w:sz="8" w:color="auto"/>
            </w:tcBorders>
          </w:tcPr>
          <w:p>
            <w:pPr>
              <w:ind w:left="100"/>
              <w:spacing w:after="0" w:line="302" w:lineRule="exact"/>
              <w:rPr>
                <w:sz w:val="20"/>
                <w:szCs w:val="20"/>
                <w:color w:val="auto"/>
              </w:rPr>
            </w:pPr>
            <w:r>
              <w:rPr>
                <w:rFonts w:ascii="Arial" w:cs="Arial" w:eastAsia="Arial" w:hAnsi="Arial"/>
                <w:sz w:val="22"/>
                <w:szCs w:val="22"/>
                <w:color w:val="auto"/>
              </w:rPr>
              <w:t>15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Lease Year)</w:t>
            </w:r>
          </w:p>
        </w:tc>
        <w:tc>
          <w:tcPr>
            <w:tcW w:w="322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264"/>
        </w:trPr>
        <w:tc>
          <w:tcPr>
            <w:tcW w:w="100" w:type="dxa"/>
            <w:vAlign w:val="bottom"/>
            <w:tcBorders>
              <w:right w:val="single" w:sz="8" w:color="auto"/>
            </w:tcBorders>
          </w:tcPr>
          <w:p>
            <w:pPr>
              <w:spacing w:after="0"/>
              <w:rPr>
                <w:sz w:val="22"/>
                <w:szCs w:val="22"/>
                <w:color w:val="auto"/>
              </w:rPr>
            </w:pPr>
          </w:p>
        </w:tc>
        <w:tc>
          <w:tcPr>
            <w:tcW w:w="3920" w:type="dxa"/>
            <w:vAlign w:val="bottom"/>
            <w:tcBorders>
              <w:bottom w:val="single" w:sz="8" w:color="auto"/>
              <w:right w:val="single" w:sz="8" w:color="auto"/>
            </w:tcBorders>
          </w:tcPr>
          <w:p>
            <w:pPr>
              <w:ind w:left="100"/>
              <w:spacing w:after="0" w:line="263" w:lineRule="exact"/>
              <w:rPr>
                <w:sz w:val="20"/>
                <w:szCs w:val="20"/>
                <w:color w:val="auto"/>
              </w:rPr>
            </w:pPr>
            <w:r>
              <w:rPr>
                <w:rFonts w:ascii="Arial" w:cs="Arial" w:eastAsia="Arial" w:hAnsi="Arial"/>
                <w:sz w:val="22"/>
                <w:szCs w:val="22"/>
                <w:color w:val="auto"/>
              </w:rPr>
              <w:t>Month 16 – 27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Lease Year)</w:t>
            </w:r>
          </w:p>
        </w:tc>
        <w:tc>
          <w:tcPr>
            <w:tcW w:w="3220" w:type="dxa"/>
            <w:vAlign w:val="bottom"/>
            <w:tcBorders>
              <w:bottom w:val="single" w:sz="8" w:color="auto"/>
              <w:right w:val="single" w:sz="8" w:color="auto"/>
            </w:tcBorders>
          </w:tcPr>
          <w:p>
            <w:pPr>
              <w:jc w:val="right"/>
              <w:ind w:right="994"/>
              <w:spacing w:after="0"/>
              <w:rPr>
                <w:sz w:val="20"/>
                <w:szCs w:val="20"/>
                <w:color w:val="auto"/>
              </w:rPr>
            </w:pPr>
            <w:r>
              <w:rPr>
                <w:rFonts w:ascii="Arial" w:cs="Arial" w:eastAsia="Arial" w:hAnsi="Arial"/>
                <w:sz w:val="22"/>
                <w:szCs w:val="22"/>
                <w:color w:val="auto"/>
              </w:rPr>
              <w:t>$625,235.52</w:t>
            </w:r>
          </w:p>
        </w:tc>
        <w:tc>
          <w:tcPr>
            <w:tcW w:w="3740" w:type="dxa"/>
            <w:vAlign w:val="bottom"/>
            <w:tcBorders>
              <w:bottom w:val="single" w:sz="8" w:color="auto"/>
              <w:right w:val="single" w:sz="8" w:color="auto"/>
            </w:tcBorders>
          </w:tcPr>
          <w:p>
            <w:pPr>
              <w:jc w:val="right"/>
              <w:ind w:right="1294"/>
              <w:spacing w:after="0"/>
              <w:rPr>
                <w:sz w:val="20"/>
                <w:szCs w:val="20"/>
                <w:color w:val="auto"/>
              </w:rPr>
            </w:pPr>
            <w:r>
              <w:rPr>
                <w:rFonts w:ascii="Arial" w:cs="Arial" w:eastAsia="Arial" w:hAnsi="Arial"/>
                <w:sz w:val="22"/>
                <w:szCs w:val="22"/>
                <w:color w:val="auto"/>
              </w:rPr>
              <w:t>$52,102.96</w:t>
            </w:r>
          </w:p>
        </w:tc>
        <w:tc>
          <w:tcPr>
            <w:tcW w:w="260" w:type="dxa"/>
            <w:vAlign w:val="bottom"/>
          </w:tcPr>
          <w:p>
            <w:pPr>
              <w:spacing w:after="0"/>
              <w:rPr>
                <w:sz w:val="22"/>
                <w:szCs w:val="22"/>
                <w:color w:val="auto"/>
              </w:rPr>
            </w:pPr>
          </w:p>
        </w:tc>
      </w:tr>
      <w:tr>
        <w:trPr>
          <w:trHeight w:val="351"/>
        </w:trPr>
        <w:tc>
          <w:tcPr>
            <w:tcW w:w="10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6" w:right="339" w:bottom="1440" w:gutter="0" w:footer="0" w:header="0"/>
          <w:type w:val="continuous"/>
        </w:sectPr>
      </w:pPr>
    </w:p>
    <w:bookmarkStart w:id="111" w:name="page112"/>
    <w:bookmarkEnd w:id="111"/>
    <w:p>
      <w:pPr>
        <w:ind w:left="80"/>
        <w:spacing w:after="0"/>
        <w:tabs>
          <w:tab w:leader="none" w:pos="4920" w:val="left"/>
          <w:tab w:leader="none" w:pos="8480" w:val="left"/>
        </w:tabs>
        <w:rPr>
          <w:sz w:val="20"/>
          <w:szCs w:val="20"/>
          <w:color w:val="auto"/>
        </w:rPr>
      </w:pPr>
      <w:r>
        <w:rPr>
          <w:rFonts w:ascii="Arial" w:cs="Arial" w:eastAsia="Arial" w:hAnsi="Arial"/>
          <w:sz w:val="22"/>
          <w:szCs w:val="22"/>
          <w:color w:val="auto"/>
        </w:rPr>
        <w:t>Month 28 – 39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Lease Year)</w:t>
      </w:r>
      <w:r>
        <w:rPr>
          <w:sz w:val="20"/>
          <w:szCs w:val="20"/>
          <w:color w:val="auto"/>
        </w:rPr>
        <w:tab/>
      </w:r>
      <w:r>
        <w:rPr>
          <w:rFonts w:ascii="Arial" w:cs="Arial" w:eastAsia="Arial" w:hAnsi="Arial"/>
          <w:sz w:val="22"/>
          <w:szCs w:val="22"/>
          <w:color w:val="auto"/>
        </w:rPr>
        <w:t>$637,740.23</w:t>
      </w:r>
      <w:r>
        <w:rPr>
          <w:sz w:val="20"/>
          <w:szCs w:val="20"/>
          <w:color w:val="auto"/>
        </w:rPr>
        <w:tab/>
      </w:r>
      <w:r>
        <w:rPr>
          <w:rFonts w:ascii="Arial" w:cs="Arial" w:eastAsia="Arial" w:hAnsi="Arial"/>
          <w:sz w:val="19"/>
          <w:szCs w:val="19"/>
          <w:color w:val="auto"/>
        </w:rPr>
        <w:t>$53,145.02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-193675</wp:posOffset>
            </wp:positionV>
            <wp:extent cx="6920230" cy="1924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6920230" cy="192405"/>
                    </a:xfrm>
                    <a:prstGeom prst="rect">
                      <a:avLst/>
                    </a:prstGeom>
                    <a:noFill/>
                  </pic:spPr>
                </pic:pic>
              </a:graphicData>
            </a:graphic>
          </wp:anchor>
        </w:drawing>
      </w:r>
    </w:p>
    <w:p>
      <w:pPr>
        <w:sectPr>
          <w:pgSz w:w="11900" w:h="16838" w:orient="portrait"/>
          <w:cols w:equalWidth="0" w:num="1">
            <w:col w:w="10700"/>
          </w:cols>
          <w:pgMar w:left="440" w:top="147" w:right="759" w:bottom="1440" w:gutter="0" w:footer="0" w:header="0"/>
        </w:sectPr>
      </w:pPr>
    </w:p>
    <w:p>
      <w:pPr>
        <w:spacing w:after="0" w:line="297" w:lineRule="exact"/>
        <w:rPr>
          <w:sz w:val="20"/>
          <w:szCs w:val="20"/>
          <w:color w:val="auto"/>
        </w:rPr>
      </w:pPr>
    </w:p>
    <w:p>
      <w:pPr>
        <w:jc w:val="both"/>
        <w:ind w:left="20" w:right="340" w:firstLine="741"/>
        <w:spacing w:after="0"/>
        <w:tabs>
          <w:tab w:leader="none" w:pos="1321"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Notwithstanding the forgoing Base Rent schedule or any contrary provision of this Lease, but subject to the terms herein, Tenant shall not be obligated to pay any Base Rent otherwise attributable to the Premises during the first three (3) months of the Term.”</w:t>
      </w:r>
    </w:p>
    <w:p>
      <w:pPr>
        <w:spacing w:after="0" w:line="207" w:lineRule="exact"/>
        <w:rPr>
          <w:sz w:val="20"/>
          <w:szCs w:val="20"/>
          <w:color w:val="auto"/>
        </w:rPr>
      </w:pPr>
    </w:p>
    <w:p>
      <w:pPr>
        <w:ind w:right="960" w:firstLine="749"/>
        <w:spacing w:after="0" w:line="280" w:lineRule="auto"/>
        <w:rPr>
          <w:sz w:val="20"/>
          <w:szCs w:val="20"/>
          <w:color w:val="auto"/>
        </w:rPr>
      </w:pPr>
      <w:r>
        <w:rPr>
          <w:rFonts w:ascii="Arial" w:cs="Arial" w:eastAsia="Arial" w:hAnsi="Arial"/>
          <w:sz w:val="21"/>
          <w:szCs w:val="21"/>
          <w:color w:val="auto"/>
        </w:rPr>
        <w:t>7.</w:t>
      </w:r>
      <w:r>
        <w:rPr>
          <w:rFonts w:ascii="Arial" w:cs="Arial" w:eastAsia="Arial" w:hAnsi="Arial"/>
          <w:sz w:val="21"/>
          <w:szCs w:val="21"/>
          <w:b w:val="1"/>
          <w:bCs w:val="1"/>
          <w:u w:val="single" w:color="auto"/>
          <w:color w:val="auto"/>
        </w:rPr>
        <w:t>Tenant’s Share of Taxes</w:t>
      </w:r>
      <w:r>
        <w:rPr>
          <w:rFonts w:ascii="Arial" w:cs="Arial" w:eastAsia="Arial" w:hAnsi="Arial"/>
          <w:sz w:val="21"/>
          <w:szCs w:val="21"/>
          <w:color w:val="auto"/>
        </w:rPr>
        <w:t>. Effective as of the Commencement Date, the definition of “</w:t>
      </w:r>
      <w:r>
        <w:rPr>
          <w:rFonts w:ascii="Arial" w:cs="Arial" w:eastAsia="Arial" w:hAnsi="Arial"/>
          <w:sz w:val="21"/>
          <w:szCs w:val="21"/>
          <w:b w:val="1"/>
          <w:bCs w:val="1"/>
          <w:color w:val="auto"/>
        </w:rPr>
        <w:t>Tenant’s Share</w:t>
      </w:r>
      <w:r>
        <w:rPr>
          <w:rFonts w:ascii="Arial" w:cs="Arial" w:eastAsia="Arial" w:hAnsi="Arial"/>
          <w:sz w:val="21"/>
          <w:szCs w:val="21"/>
          <w:color w:val="auto"/>
        </w:rPr>
        <w:t xml:space="preserve"> </w:t>
      </w:r>
      <w:r>
        <w:rPr>
          <w:rFonts w:ascii="Arial" w:cs="Arial" w:eastAsia="Arial" w:hAnsi="Arial"/>
          <w:sz w:val="21"/>
          <w:szCs w:val="21"/>
          <w:b w:val="1"/>
          <w:bCs w:val="1"/>
          <w:color w:val="auto"/>
        </w:rPr>
        <w:t>of Taxes</w:t>
      </w:r>
      <w:r>
        <w:rPr>
          <w:rFonts w:ascii="Arial" w:cs="Arial" w:eastAsia="Arial" w:hAnsi="Arial"/>
          <w:sz w:val="21"/>
          <w:szCs w:val="21"/>
          <w:color w:val="auto"/>
        </w:rPr>
        <w:t>” in Section 1 of the Lease is hereby deleted in its entirety and replaced by:</w:t>
      </w:r>
    </w:p>
    <w:p>
      <w:pPr>
        <w:spacing w:after="0" w:line="172" w:lineRule="exact"/>
        <w:rPr>
          <w:sz w:val="20"/>
          <w:szCs w:val="20"/>
          <w:color w:val="auto"/>
        </w:rPr>
      </w:pPr>
    </w:p>
    <w:p>
      <w:pPr>
        <w:ind w:left="760"/>
        <w:spacing w:after="0"/>
        <w:tabs>
          <w:tab w:leader="none" w:pos="3340" w:val="left"/>
        </w:tabs>
        <w:rPr>
          <w:sz w:val="20"/>
          <w:szCs w:val="20"/>
          <w:color w:val="auto"/>
        </w:rPr>
      </w:pPr>
      <w:r>
        <w:rPr>
          <w:rFonts w:ascii="Arial" w:cs="Arial" w:eastAsia="Arial" w:hAnsi="Arial"/>
          <w:sz w:val="22"/>
          <w:szCs w:val="22"/>
          <w:color w:val="auto"/>
        </w:rPr>
        <w:t>“Tenant’s Share of Taxes</w:t>
      </w:r>
      <w:r>
        <w:rPr>
          <w:sz w:val="20"/>
          <w:szCs w:val="20"/>
          <w:color w:val="auto"/>
        </w:rPr>
        <w:tab/>
      </w:r>
      <w:r>
        <w:rPr>
          <w:rFonts w:ascii="Arial" w:cs="Arial" w:eastAsia="Arial" w:hAnsi="Arial"/>
          <w:sz w:val="19"/>
          <w:szCs w:val="19"/>
          <w:color w:val="auto"/>
        </w:rPr>
        <w:t>15.75% above Base Tax Year”</w:t>
      </w:r>
    </w:p>
    <w:p>
      <w:pPr>
        <w:spacing w:after="0" w:line="227" w:lineRule="exact"/>
        <w:rPr>
          <w:sz w:val="20"/>
          <w:szCs w:val="20"/>
          <w:color w:val="auto"/>
        </w:rPr>
      </w:pPr>
    </w:p>
    <w:p>
      <w:pPr>
        <w:ind w:right="320" w:firstLine="749"/>
        <w:spacing w:after="0" w:line="334" w:lineRule="auto"/>
        <w:rPr>
          <w:sz w:val="20"/>
          <w:szCs w:val="20"/>
          <w:color w:val="auto"/>
        </w:rPr>
      </w:pPr>
      <w:r>
        <w:rPr>
          <w:rFonts w:ascii="Arial" w:cs="Arial" w:eastAsia="Arial" w:hAnsi="Arial"/>
          <w:sz w:val="19"/>
          <w:szCs w:val="19"/>
          <w:color w:val="auto"/>
        </w:rPr>
        <w:t>8.</w:t>
      </w:r>
      <w:r>
        <w:rPr>
          <w:rFonts w:ascii="Arial" w:cs="Arial" w:eastAsia="Arial" w:hAnsi="Arial"/>
          <w:sz w:val="19"/>
          <w:szCs w:val="19"/>
          <w:b w:val="1"/>
          <w:bCs w:val="1"/>
          <w:u w:val="single" w:color="auto"/>
          <w:color w:val="auto"/>
        </w:rPr>
        <w:t>Tenant’s Share of Operating Expenses</w:t>
      </w:r>
      <w:r>
        <w:rPr>
          <w:rFonts w:ascii="Arial" w:cs="Arial" w:eastAsia="Arial" w:hAnsi="Arial"/>
          <w:sz w:val="19"/>
          <w:szCs w:val="19"/>
          <w:color w:val="auto"/>
        </w:rPr>
        <w:t>. Effective as of the Commencement Date, the definition of “</w:t>
      </w:r>
      <w:r>
        <w:rPr>
          <w:rFonts w:ascii="Arial" w:cs="Arial" w:eastAsia="Arial" w:hAnsi="Arial"/>
          <w:sz w:val="19"/>
          <w:szCs w:val="19"/>
          <w:b w:val="1"/>
          <w:bCs w:val="1"/>
          <w:color w:val="auto"/>
        </w:rPr>
        <w:t>Tenant’s Share of Operating Expenses</w:t>
      </w:r>
      <w:r>
        <w:rPr>
          <w:rFonts w:ascii="Arial" w:cs="Arial" w:eastAsia="Arial" w:hAnsi="Arial"/>
          <w:sz w:val="19"/>
          <w:szCs w:val="19"/>
          <w:color w:val="auto"/>
        </w:rPr>
        <w:t>” in Section 1 of the Lease is hereby deleted in its entirety and replaced by:</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“Tenant’s Share of Operating Expenses 15.75% above Base Expense Year”</w:t>
      </w:r>
    </w:p>
    <w:p>
      <w:pPr>
        <w:spacing w:after="0" w:line="227" w:lineRule="exact"/>
        <w:rPr>
          <w:sz w:val="20"/>
          <w:szCs w:val="20"/>
          <w:color w:val="auto"/>
        </w:rPr>
      </w:pPr>
    </w:p>
    <w:p>
      <w:pPr>
        <w:ind w:right="420" w:firstLine="749"/>
        <w:spacing w:after="0" w:line="256" w:lineRule="auto"/>
        <w:rPr>
          <w:sz w:val="20"/>
          <w:szCs w:val="20"/>
          <w:color w:val="auto"/>
        </w:rPr>
      </w:pPr>
      <w:r>
        <w:rPr>
          <w:rFonts w:ascii="Arial" w:cs="Arial" w:eastAsia="Arial" w:hAnsi="Arial"/>
          <w:sz w:val="22"/>
          <w:szCs w:val="22"/>
          <w:color w:val="auto"/>
        </w:rPr>
        <w:t>9.</w:t>
      </w:r>
      <w:r>
        <w:rPr>
          <w:rFonts w:ascii="Arial" w:cs="Arial" w:eastAsia="Arial" w:hAnsi="Arial"/>
          <w:sz w:val="22"/>
          <w:szCs w:val="22"/>
          <w:b w:val="1"/>
          <w:bCs w:val="1"/>
          <w:u w:val="single" w:color="auto"/>
          <w:color w:val="auto"/>
        </w:rPr>
        <w:t>Real Estate Taxes</w:t>
      </w:r>
      <w:r>
        <w:rPr>
          <w:rFonts w:ascii="Arial" w:cs="Arial" w:eastAsia="Arial" w:hAnsi="Arial"/>
          <w:sz w:val="22"/>
          <w:szCs w:val="22"/>
          <w:color w:val="auto"/>
        </w:rPr>
        <w:t>. Effective as of the Commencement Date, the definition of “</w:t>
      </w:r>
      <w:r>
        <w:rPr>
          <w:rFonts w:ascii="Arial" w:cs="Arial" w:eastAsia="Arial" w:hAnsi="Arial"/>
          <w:sz w:val="22"/>
          <w:szCs w:val="22"/>
          <w:b w:val="1"/>
          <w:bCs w:val="1"/>
          <w:color w:val="auto"/>
        </w:rPr>
        <w:t>Base Tax Year</w:t>
      </w:r>
      <w:r>
        <w:rPr>
          <w:rFonts w:ascii="Arial" w:cs="Arial" w:eastAsia="Arial" w:hAnsi="Arial"/>
          <w:sz w:val="22"/>
          <w:szCs w:val="22"/>
          <w:color w:val="auto"/>
        </w:rPr>
        <w:t>” in Section 1 of the Lease is hereby deleted in its entirety and replaced by the following:</w:t>
      </w:r>
    </w:p>
    <w:p>
      <w:pPr>
        <w:spacing w:after="0" w:line="195" w:lineRule="exact"/>
        <w:rPr>
          <w:sz w:val="20"/>
          <w:szCs w:val="20"/>
          <w:color w:val="auto"/>
        </w:rPr>
      </w:pPr>
    </w:p>
    <w:p>
      <w:pPr>
        <w:ind w:left="760"/>
        <w:spacing w:after="0"/>
        <w:tabs>
          <w:tab w:leader="none" w:pos="2460" w:val="left"/>
        </w:tabs>
        <w:rPr>
          <w:sz w:val="20"/>
          <w:szCs w:val="20"/>
          <w:color w:val="auto"/>
        </w:rPr>
      </w:pPr>
      <w:r>
        <w:rPr>
          <w:rFonts w:ascii="Arial" w:cs="Arial" w:eastAsia="Arial" w:hAnsi="Arial"/>
          <w:sz w:val="22"/>
          <w:szCs w:val="22"/>
          <w:color w:val="auto"/>
        </w:rPr>
        <w:t>“Base Tax Year:</w:t>
      </w:r>
      <w:r>
        <w:rPr>
          <w:sz w:val="20"/>
          <w:szCs w:val="20"/>
          <w:color w:val="auto"/>
        </w:rPr>
        <w:tab/>
      </w:r>
      <w:r>
        <w:rPr>
          <w:rFonts w:ascii="Arial" w:cs="Arial" w:eastAsia="Arial" w:hAnsi="Arial"/>
          <w:sz w:val="19"/>
          <w:szCs w:val="19"/>
          <w:color w:val="auto"/>
        </w:rPr>
        <w:t>Fiscal year 2025 (i.e. July 1, 2024 through June 30, 2025)”</w:t>
      </w:r>
    </w:p>
    <w:p>
      <w:pPr>
        <w:spacing w:after="0" w:line="22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10.</w:t>
      </w:r>
      <w:r>
        <w:rPr>
          <w:rFonts w:ascii="Arial" w:cs="Arial" w:eastAsia="Arial" w:hAnsi="Arial"/>
          <w:sz w:val="19"/>
          <w:szCs w:val="19"/>
          <w:b w:val="1"/>
          <w:bCs w:val="1"/>
          <w:u w:val="single" w:color="auto"/>
          <w:color w:val="auto"/>
        </w:rPr>
        <w:t>Operating Expenses</w:t>
      </w:r>
      <w:r>
        <w:rPr>
          <w:rFonts w:ascii="Arial" w:cs="Arial" w:eastAsia="Arial" w:hAnsi="Arial"/>
          <w:sz w:val="19"/>
          <w:szCs w:val="19"/>
          <w:color w:val="auto"/>
        </w:rPr>
        <w:t>. Effective as of the Commencement Date, the definition of “</w:t>
      </w:r>
      <w:r>
        <w:rPr>
          <w:rFonts w:ascii="Arial" w:cs="Arial" w:eastAsia="Arial" w:hAnsi="Arial"/>
          <w:sz w:val="19"/>
          <w:szCs w:val="19"/>
          <w:b w:val="1"/>
          <w:bCs w:val="1"/>
          <w:color w:val="auto"/>
        </w:rPr>
        <w:t>Base Expense Year</w:t>
      </w:r>
      <w:r>
        <w:rPr>
          <w:rFonts w:ascii="Arial" w:cs="Arial" w:eastAsia="Arial" w:hAnsi="Arial"/>
          <w:sz w:val="19"/>
          <w:szCs w:val="19"/>
          <w:color w:val="auto"/>
        </w:rPr>
        <w:t>” in</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Section 1 of the Lease is hereby deleted in its entirety and replaced by the following:</w:t>
      </w:r>
    </w:p>
    <w:p>
      <w:pPr>
        <w:spacing w:after="0" w:line="215" w:lineRule="exact"/>
        <w:rPr>
          <w:sz w:val="20"/>
          <w:szCs w:val="20"/>
          <w:color w:val="auto"/>
        </w:rPr>
      </w:pPr>
    </w:p>
    <w:p>
      <w:pPr>
        <w:ind w:left="760"/>
        <w:spacing w:after="0"/>
        <w:tabs>
          <w:tab w:leader="none" w:pos="3080" w:val="left"/>
        </w:tabs>
        <w:rPr>
          <w:sz w:val="20"/>
          <w:szCs w:val="20"/>
          <w:color w:val="auto"/>
        </w:rPr>
      </w:pPr>
      <w:r>
        <w:rPr>
          <w:rFonts w:ascii="Arial" w:cs="Arial" w:eastAsia="Arial" w:hAnsi="Arial"/>
          <w:sz w:val="22"/>
          <w:szCs w:val="22"/>
          <w:color w:val="auto"/>
        </w:rPr>
        <w:t>“Base Expense Year:</w:t>
      </w:r>
      <w:r>
        <w:rPr>
          <w:sz w:val="20"/>
          <w:szCs w:val="20"/>
          <w:color w:val="auto"/>
        </w:rPr>
        <w:tab/>
      </w:r>
      <w:r>
        <w:rPr>
          <w:rFonts w:ascii="Arial" w:cs="Arial" w:eastAsia="Arial" w:hAnsi="Arial"/>
          <w:sz w:val="19"/>
          <w:szCs w:val="19"/>
          <w:color w:val="auto"/>
        </w:rPr>
        <w:t>Calendar year 2024 (i.e. January 1, 2024 through December 31, 2024)”</w:t>
      </w:r>
    </w:p>
    <w:p>
      <w:pPr>
        <w:spacing w:after="0" w:line="227" w:lineRule="exact"/>
        <w:rPr>
          <w:sz w:val="20"/>
          <w:szCs w:val="20"/>
          <w:color w:val="auto"/>
        </w:rPr>
      </w:pPr>
    </w:p>
    <w:p>
      <w:pPr>
        <w:ind w:left="1500" w:hanging="744"/>
        <w:spacing w:after="0"/>
        <w:tabs>
          <w:tab w:leader="none" w:pos="150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Security Deposit.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Commencement Date:</w:t>
      </w:r>
    </w:p>
    <w:p>
      <w:pPr>
        <w:spacing w:after="0" w:line="220" w:lineRule="exact"/>
        <w:rPr>
          <w:sz w:val="20"/>
          <w:szCs w:val="20"/>
          <w:color w:val="auto"/>
        </w:rPr>
      </w:pPr>
    </w:p>
    <w:p>
      <w:pPr>
        <w:ind w:left="1120" w:right="20" w:hanging="364"/>
        <w:spacing w:after="0" w:line="256" w:lineRule="auto"/>
        <w:tabs>
          <w:tab w:leader="none" w:pos="11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definition of “</w:t>
      </w:r>
      <w:r>
        <w:rPr>
          <w:rFonts w:ascii="Arial" w:cs="Arial" w:eastAsia="Arial" w:hAnsi="Arial"/>
          <w:sz w:val="22"/>
          <w:szCs w:val="22"/>
          <w:b w:val="1"/>
          <w:bCs w:val="1"/>
          <w:color w:val="auto"/>
        </w:rPr>
        <w:t>Security Deposit</w:t>
      </w:r>
      <w:r>
        <w:rPr>
          <w:rFonts w:ascii="Arial" w:cs="Arial" w:eastAsia="Arial" w:hAnsi="Arial"/>
          <w:sz w:val="22"/>
          <w:szCs w:val="22"/>
          <w:color w:val="auto"/>
        </w:rPr>
        <w:t>” in Section 1 of the Lease is hereby deleted in its entirety and replaced by the following:</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“Security Deposit: $75,000.00”</w:t>
      </w:r>
    </w:p>
    <w:p>
      <w:pPr>
        <w:spacing w:after="0" w:line="23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B. Section 13.2 of the First Amendment to Lease is hereby deleted.</w:t>
      </w:r>
    </w:p>
    <w:p>
      <w:pPr>
        <w:spacing w:after="0" w:line="241" w:lineRule="exact"/>
        <w:rPr>
          <w:sz w:val="20"/>
          <w:szCs w:val="20"/>
          <w:color w:val="auto"/>
        </w:rPr>
      </w:pPr>
    </w:p>
    <w:p>
      <w:pPr>
        <w:ind w:left="760"/>
        <w:spacing w:after="0"/>
        <w:tabs>
          <w:tab w:leader="none" w:pos="3020" w:val="left"/>
        </w:tabs>
        <w:rPr>
          <w:sz w:val="20"/>
          <w:szCs w:val="20"/>
          <w:color w:val="auto"/>
        </w:rPr>
      </w:pPr>
      <w:r>
        <w:rPr>
          <w:rFonts w:ascii="Arial" w:cs="Arial" w:eastAsia="Arial" w:hAnsi="Arial"/>
          <w:sz w:val="22"/>
          <w:szCs w:val="22"/>
          <w:color w:val="auto"/>
        </w:rPr>
        <w:t>12.</w:t>
      </w:r>
      <w:r>
        <w:rPr>
          <w:rFonts w:ascii="Arial" w:cs="Arial" w:eastAsia="Arial" w:hAnsi="Arial"/>
          <w:sz w:val="22"/>
          <w:szCs w:val="22"/>
          <w:b w:val="1"/>
          <w:bCs w:val="1"/>
          <w:u w:val="single" w:color="auto"/>
          <w:color w:val="auto"/>
        </w:rPr>
        <w:t>Extension Option.</w:t>
      </w:r>
      <w:r>
        <w:rPr>
          <w:sz w:val="20"/>
          <w:szCs w:val="20"/>
          <w:color w:val="auto"/>
        </w:rPr>
        <w:tab/>
      </w:r>
      <w:r>
        <w:rPr>
          <w:rFonts w:ascii="Arial" w:cs="Arial" w:eastAsia="Arial" w:hAnsi="Arial"/>
          <w:sz w:val="19"/>
          <w:szCs w:val="19"/>
          <w:color w:val="auto"/>
        </w:rPr>
        <w:t>Effective as of the Commencement Date, Section 50.1 “</w:t>
      </w:r>
      <w:r>
        <w:rPr>
          <w:rFonts w:ascii="Arial" w:cs="Arial" w:eastAsia="Arial" w:hAnsi="Arial"/>
          <w:sz w:val="19"/>
          <w:szCs w:val="19"/>
          <w:b w:val="1"/>
          <w:bCs w:val="1"/>
          <w:color w:val="auto"/>
        </w:rPr>
        <w:t>Extension Option</w:t>
      </w:r>
      <w:r>
        <w:rPr>
          <w:rFonts w:ascii="Arial" w:cs="Arial" w:eastAsia="Arial" w:hAnsi="Arial"/>
          <w:sz w:val="19"/>
          <w:szCs w:val="19"/>
          <w:color w:val="auto"/>
        </w:rPr>
        <w:t>”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Lease is hereby deleted in its entirety and replaced by the following:</w:t>
      </w:r>
    </w:p>
    <w:p>
      <w:pPr>
        <w:spacing w:after="0" w:line="40" w:lineRule="exact"/>
        <w:rPr>
          <w:sz w:val="20"/>
          <w:szCs w:val="20"/>
          <w:color w:val="auto"/>
        </w:rPr>
      </w:pPr>
    </w:p>
    <w:p>
      <w:pPr>
        <w:ind w:left="20" w:firstLine="749"/>
        <w:spacing w:after="0" w:line="249" w:lineRule="auto"/>
        <w:rPr>
          <w:sz w:val="20"/>
          <w:szCs w:val="20"/>
          <w:color w:val="auto"/>
        </w:rPr>
      </w:pPr>
      <w:r>
        <w:rPr>
          <w:rFonts w:ascii="Arial" w:cs="Arial" w:eastAsia="Arial" w:hAnsi="Arial"/>
          <w:sz w:val="21"/>
          <w:szCs w:val="21"/>
          <w:color w:val="auto"/>
        </w:rPr>
        <w:t xml:space="preserve">“50.1 </w:t>
      </w:r>
      <w:r>
        <w:rPr>
          <w:rFonts w:ascii="Arial" w:cs="Arial" w:eastAsia="Arial" w:hAnsi="Arial"/>
          <w:sz w:val="21"/>
          <w:szCs w:val="21"/>
          <w:u w:val="single" w:color="auto"/>
          <w:color w:val="auto"/>
        </w:rPr>
        <w:t>Extension Option.</w:t>
      </w:r>
      <w:r>
        <w:rPr>
          <w:rFonts w:ascii="Arial" w:cs="Arial" w:eastAsia="Arial" w:hAnsi="Arial"/>
          <w:sz w:val="21"/>
          <w:szCs w:val="21"/>
          <w:color w:val="auto"/>
        </w:rPr>
        <w:t xml:space="preserve"> Provided that Tenant shall not be in an Event of Default either at the time of the Extension Notice (as hereinafter defined) or at the commencement of the Extension Term (as hereinafter defined), beyond any applicable notice and grace period, Tenant shall have one (1) option (the "Extension Option") to extend the Term of this Lease for an additional three (3) years (the "Extension Term"). Tenant must exercise the Extension Option by providing written notice of election to Landlord (the “Extension Notice") no more than fifteen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200025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440" w:top="147" w:right="759" w:bottom="1440" w:gutter="0" w:footer="0" w:header="0"/>
          <w:type w:val="continuous"/>
        </w:sectPr>
      </w:pPr>
    </w:p>
    <w:bookmarkStart w:id="112" w:name="page113"/>
    <w:bookmarkEnd w:id="112"/>
    <w:p>
      <w:pPr>
        <w:ind w:left="20" w:right="260" w:hanging="8"/>
        <w:spacing w:after="0" w:line="249" w:lineRule="auto"/>
        <w:tabs>
          <w:tab w:leader="none" w:pos="434" w:val="left"/>
        </w:tabs>
        <w:numPr>
          <w:ilvl w:val="0"/>
          <w:numId w:val="46"/>
        </w:numPr>
        <w:rPr>
          <w:rFonts w:ascii="Arial" w:cs="Arial" w:eastAsia="Arial" w:hAnsi="Arial"/>
          <w:sz w:val="21"/>
          <w:szCs w:val="21"/>
          <w:color w:val="auto"/>
        </w:rPr>
      </w:pPr>
      <w:r>
        <w:rPr>
          <w:rFonts w:ascii="Arial" w:cs="Arial" w:eastAsia="Arial" w:hAnsi="Arial"/>
          <w:sz w:val="21"/>
          <w:szCs w:val="21"/>
          <w:color w:val="auto"/>
        </w:rPr>
        <w:t>months and no less than twelve (12) months prior to the scheduled expiration of the Term of this Lease. The Annual Base Rent in and for the Extension Term shall be one hundred percent (100%) of the Fair Market Base Rent (as hereinafter defined). All other terms of this Lease shall apply during the Extension Term. If Tenant shall fail to send the Extension Notice within the time period herein provided, the Extension Option shall cease to exist and terminate, and Tenant shall have no further opportunity to exercise the Extension Option.”</w:t>
      </w:r>
    </w:p>
    <w:p>
      <w:pPr>
        <w:spacing w:after="0" w:line="200" w:lineRule="exact"/>
        <w:rPr>
          <w:sz w:val="20"/>
          <w:szCs w:val="20"/>
          <w:color w:val="auto"/>
        </w:rPr>
      </w:pPr>
    </w:p>
    <w:p>
      <w:pPr>
        <w:ind w:left="1500" w:hanging="744"/>
        <w:spacing w:after="0"/>
        <w:tabs>
          <w:tab w:leader="none" w:pos="1500"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Right of First Offer</w:t>
      </w:r>
      <w:r>
        <w:rPr>
          <w:rFonts w:ascii="Arial" w:cs="Arial" w:eastAsia="Arial" w:hAnsi="Arial"/>
          <w:sz w:val="22"/>
          <w:szCs w:val="22"/>
          <w:color w:val="auto"/>
        </w:rPr>
        <w:t>. Section 51 of the Lease is hereby deleted.</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14.</w:t>
      </w:r>
      <w:r>
        <w:rPr>
          <w:rFonts w:ascii="Arial" w:cs="Arial" w:eastAsia="Arial" w:hAnsi="Arial"/>
          <w:sz w:val="22"/>
          <w:szCs w:val="22"/>
          <w:b w:val="1"/>
          <w:bCs w:val="1"/>
          <w:u w:val="single" w:color="auto"/>
          <w:color w:val="auto"/>
        </w:rPr>
        <w:t>Exhibits.</w:t>
      </w:r>
      <w:r>
        <w:rPr>
          <w:rFonts w:ascii="Arial" w:cs="Arial" w:eastAsia="Arial" w:hAnsi="Arial"/>
          <w:sz w:val="22"/>
          <w:szCs w:val="22"/>
          <w:color w:val="auto"/>
        </w:rPr>
        <w:t xml:space="preserve"> Existing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Exhibit F</w:t>
      </w:r>
      <w:r>
        <w:rPr>
          <w:rFonts w:ascii="Arial" w:cs="Arial" w:eastAsia="Arial" w:hAnsi="Arial"/>
          <w:sz w:val="22"/>
          <w:szCs w:val="22"/>
          <w:color w:val="auto"/>
        </w:rPr>
        <w:t xml:space="preserve"> to the Lease are hereby deleted.</w:t>
      </w:r>
    </w:p>
    <w:p>
      <w:pPr>
        <w:spacing w:after="0" w:line="233" w:lineRule="exact"/>
        <w:rPr>
          <w:sz w:val="20"/>
          <w:szCs w:val="20"/>
          <w:color w:val="auto"/>
        </w:rPr>
      </w:pPr>
    </w:p>
    <w:p>
      <w:pPr>
        <w:ind w:right="160" w:firstLine="749"/>
        <w:spacing w:after="0" w:line="256" w:lineRule="auto"/>
        <w:rPr>
          <w:sz w:val="20"/>
          <w:szCs w:val="20"/>
          <w:color w:val="auto"/>
        </w:rPr>
      </w:pPr>
      <w:r>
        <w:rPr>
          <w:rFonts w:ascii="Arial" w:cs="Arial" w:eastAsia="Arial" w:hAnsi="Arial"/>
          <w:sz w:val="22"/>
          <w:szCs w:val="22"/>
          <w:color w:val="auto"/>
        </w:rPr>
        <w:t>15.</w:t>
      </w:r>
      <w:r>
        <w:rPr>
          <w:rFonts w:ascii="Arial" w:cs="Arial" w:eastAsia="Arial" w:hAnsi="Arial"/>
          <w:sz w:val="22"/>
          <w:szCs w:val="22"/>
          <w:b w:val="1"/>
          <w:bCs w:val="1"/>
          <w:u w:val="single" w:color="auto"/>
          <w:color w:val="auto"/>
        </w:rPr>
        <w:t>Floor Plan Exhibit</w:t>
      </w:r>
      <w:r>
        <w:rPr>
          <w:rFonts w:ascii="Arial" w:cs="Arial" w:eastAsia="Arial" w:hAnsi="Arial"/>
          <w:sz w:val="22"/>
          <w:szCs w:val="22"/>
          <w:color w:val="auto"/>
        </w:rPr>
        <w:t xml:space="preserve">. The floor plan of the Premises, attached hereto as </w:t>
      </w:r>
      <w:r>
        <w:rPr>
          <w:rFonts w:ascii="Arial" w:cs="Arial" w:eastAsia="Arial" w:hAnsi="Arial"/>
          <w:sz w:val="22"/>
          <w:szCs w:val="22"/>
          <w:u w:val="single" w:color="auto"/>
          <w:color w:val="auto"/>
        </w:rPr>
        <w:t>Exhibit B (need attached)</w:t>
      </w:r>
      <w:r>
        <w:rPr>
          <w:rFonts w:ascii="Arial" w:cs="Arial" w:eastAsia="Arial" w:hAnsi="Arial"/>
          <w:sz w:val="22"/>
          <w:szCs w:val="22"/>
          <w:color w:val="auto"/>
        </w:rPr>
        <w:t xml:space="preserve">, is hereby inserted immediately following the existing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the Lease and incorporated therein.</w:t>
      </w:r>
    </w:p>
    <w:p>
      <w:pPr>
        <w:spacing w:after="0" w:line="189" w:lineRule="exact"/>
        <w:rPr>
          <w:sz w:val="20"/>
          <w:szCs w:val="20"/>
          <w:color w:val="auto"/>
        </w:rPr>
      </w:pPr>
    </w:p>
    <w:p>
      <w:pPr>
        <w:ind w:right="360" w:firstLine="749"/>
        <w:spacing w:after="0" w:line="254" w:lineRule="auto"/>
        <w:rPr>
          <w:sz w:val="20"/>
          <w:szCs w:val="20"/>
          <w:color w:val="auto"/>
        </w:rPr>
      </w:pPr>
      <w:r>
        <w:rPr>
          <w:rFonts w:ascii="Arial" w:cs="Arial" w:eastAsia="Arial" w:hAnsi="Arial"/>
          <w:sz w:val="21"/>
          <w:szCs w:val="21"/>
          <w:color w:val="auto"/>
        </w:rPr>
        <w:t>16.</w:t>
      </w:r>
      <w:r>
        <w:rPr>
          <w:rFonts w:ascii="Arial" w:cs="Arial" w:eastAsia="Arial" w:hAnsi="Arial"/>
          <w:sz w:val="21"/>
          <w:szCs w:val="21"/>
          <w:b w:val="1"/>
          <w:bCs w:val="1"/>
          <w:u w:val="single" w:color="auto"/>
          <w:color w:val="auto"/>
        </w:rPr>
        <w:t>Condition of the Premises</w:t>
      </w:r>
      <w:r>
        <w:rPr>
          <w:rFonts w:ascii="Arial" w:cs="Arial" w:eastAsia="Arial" w:hAnsi="Arial"/>
          <w:sz w:val="21"/>
          <w:szCs w:val="21"/>
          <w:color w:val="auto"/>
        </w:rPr>
        <w:t>. Tenant acknowledges and agrees that it is currently in possession of the Premises and the Premises is leased in its current “as-is” condition, without any obligation on the part of Landlord to prepare the Premises for Tenant’s continued occupancy thereof and without any representations or warranties by Landlord as to the condition of the Premises or the suitability thereof for Tenant’s use.</w:t>
      </w:r>
    </w:p>
    <w:p>
      <w:pPr>
        <w:spacing w:after="0" w:line="193" w:lineRule="exact"/>
        <w:rPr>
          <w:sz w:val="20"/>
          <w:szCs w:val="20"/>
          <w:color w:val="auto"/>
        </w:rPr>
      </w:pPr>
    </w:p>
    <w:p>
      <w:pPr>
        <w:ind w:right="240" w:firstLine="749"/>
        <w:spacing w:after="0" w:line="247" w:lineRule="auto"/>
        <w:rPr>
          <w:sz w:val="20"/>
          <w:szCs w:val="20"/>
          <w:color w:val="auto"/>
        </w:rPr>
      </w:pPr>
      <w:r>
        <w:rPr>
          <w:rFonts w:ascii="Arial" w:cs="Arial" w:eastAsia="Arial" w:hAnsi="Arial"/>
          <w:sz w:val="21"/>
          <w:szCs w:val="21"/>
          <w:color w:val="auto"/>
        </w:rPr>
        <w:t>17.</w:t>
      </w:r>
      <w:r>
        <w:rPr>
          <w:rFonts w:ascii="Arial" w:cs="Arial" w:eastAsia="Arial" w:hAnsi="Arial"/>
          <w:sz w:val="21"/>
          <w:szCs w:val="21"/>
          <w:b w:val="1"/>
          <w:bCs w:val="1"/>
          <w:u w:val="single" w:color="auto"/>
          <w:color w:val="auto"/>
        </w:rPr>
        <w:t>Brokers</w:t>
      </w:r>
      <w:r>
        <w:rPr>
          <w:rFonts w:ascii="Arial" w:cs="Arial" w:eastAsia="Arial" w:hAnsi="Arial"/>
          <w:sz w:val="21"/>
          <w:szCs w:val="21"/>
          <w:color w:val="auto"/>
        </w:rPr>
        <w:t>. Landlord and Tenant represent and warrant to each other that neither has dealt with any brokers in connection with this Third Amendment other than CBRE, and each agrees to defend, with counsel approved by the other, indemnify and save the other harmless from and against any and all cost, expense or liability for any compensation, commissions or charges claimed by any other broker or agent in connection with this Third Amendment. Landlord will pay any commission due to the broker hereunder pursuant to its separate agreement with the broker hereunder subject to execution and delivery of this Third Amendment by Landlord and Tenant. The provisions of this Section 17 shall survive the expiration or earlier termination of the Lease.</w:t>
      </w:r>
    </w:p>
    <w:p>
      <w:pPr>
        <w:spacing w:after="0" w:line="204" w:lineRule="exact"/>
        <w:rPr>
          <w:sz w:val="20"/>
          <w:szCs w:val="20"/>
          <w:color w:val="auto"/>
        </w:rPr>
      </w:pPr>
    </w:p>
    <w:p>
      <w:pPr>
        <w:ind w:right="180" w:firstLine="749"/>
        <w:spacing w:after="0" w:line="249" w:lineRule="auto"/>
        <w:rPr>
          <w:sz w:val="20"/>
          <w:szCs w:val="20"/>
          <w:color w:val="auto"/>
        </w:rPr>
      </w:pPr>
      <w:r>
        <w:rPr>
          <w:rFonts w:ascii="Arial" w:cs="Arial" w:eastAsia="Arial" w:hAnsi="Arial"/>
          <w:sz w:val="21"/>
          <w:szCs w:val="21"/>
          <w:color w:val="auto"/>
        </w:rPr>
        <w:t>18.</w:t>
      </w:r>
      <w:r>
        <w:rPr>
          <w:rFonts w:ascii="Arial" w:cs="Arial" w:eastAsia="Arial" w:hAnsi="Arial"/>
          <w:sz w:val="21"/>
          <w:szCs w:val="21"/>
          <w:b w:val="1"/>
          <w:bCs w:val="1"/>
          <w:u w:val="single" w:color="auto"/>
          <w:color w:val="auto"/>
        </w:rPr>
        <w:t>Authority</w:t>
      </w:r>
      <w:r>
        <w:rPr>
          <w:rFonts w:ascii="Arial" w:cs="Arial" w:eastAsia="Arial" w:hAnsi="Arial"/>
          <w:sz w:val="21"/>
          <w:szCs w:val="21"/>
          <w:color w:val="auto"/>
        </w:rPr>
        <w:t>. Tenant hereby covenants and warrants that (a) Tenant is in good standing under the laws of the State of Delaware, (b) Tenant has full power and authority to enter into this Third Amendment and to perform all Tenant’s obligations under the Lease, as amended by this Third Amendment and (c) each person (and all of the persons if more than one signs) signing this Third Amendment on behalf of Tenant is duly and validly authorized to do so. Landlord hereby covenants and warrants that (x) Landlord is in good standing under the laws of the Commonwealth of Massachusetts, (y) Landlord has full power and authority to enter into this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Third Amendment and to perform Landlord’s obligations under the Lease, as amended by this Third Amendment and (z) each person (and all of the persons if more than one signs) signing this Third Amendment on behalf of the Landlord is duly and validly authorized to do so.</w:t>
      </w:r>
    </w:p>
    <w:p>
      <w:pPr>
        <w:spacing w:after="0" w:line="207" w:lineRule="exact"/>
        <w:rPr>
          <w:sz w:val="20"/>
          <w:szCs w:val="20"/>
          <w:color w:val="auto"/>
        </w:rPr>
      </w:pPr>
    </w:p>
    <w:p>
      <w:pPr>
        <w:ind w:right="540" w:firstLine="749"/>
        <w:spacing w:after="0" w:line="237" w:lineRule="auto"/>
        <w:rPr>
          <w:sz w:val="20"/>
          <w:szCs w:val="20"/>
          <w:color w:val="auto"/>
        </w:rPr>
      </w:pPr>
      <w:r>
        <w:rPr>
          <w:rFonts w:ascii="Arial" w:cs="Arial" w:eastAsia="Arial" w:hAnsi="Arial"/>
          <w:sz w:val="22"/>
          <w:szCs w:val="22"/>
          <w:color w:val="auto"/>
        </w:rPr>
        <w:t>19.</w:t>
      </w:r>
      <w:r>
        <w:rPr>
          <w:rFonts w:ascii="Arial" w:cs="Arial" w:eastAsia="Arial" w:hAnsi="Arial"/>
          <w:sz w:val="22"/>
          <w:szCs w:val="22"/>
          <w:b w:val="1"/>
          <w:bCs w:val="1"/>
          <w:u w:val="single" w:color="auto"/>
          <w:color w:val="auto"/>
        </w:rPr>
        <w:t>No Offer</w:t>
      </w:r>
      <w:r>
        <w:rPr>
          <w:rFonts w:ascii="Arial" w:cs="Arial" w:eastAsia="Arial" w:hAnsi="Arial"/>
          <w:sz w:val="22"/>
          <w:szCs w:val="22"/>
          <w:color w:val="auto"/>
        </w:rPr>
        <w:t>. THE SUBMISSION OF THIS THIRD AMENDMENT FOR EXAMINATION AND NEGOTIATION DOES NOT CONSTITUTE AN OFFER TO LEASE, A RESERVATION OF, OR OPTION FOR THE PREMISES AND SHALL VEST NO RIGHT IN ANY PARTY. TENANT OR ANYONE CLAIMING UNDER OR THROUGH TENANT SHALL HAVE THE RIGHTS TO THE PREMISES AS SET FORTH HEREIN AND THIS THIRD AMENDMENT BECOMES EFFECTIVE ONLY UPON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205740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40" w:top="118" w:right="579" w:bottom="1440" w:gutter="0" w:footer="0" w:header="0"/>
        </w:sectPr>
      </w:pPr>
    </w:p>
    <w:bookmarkStart w:id="113" w:name="page114"/>
    <w:bookmarkEnd w:id="113"/>
    <w:p>
      <w:pPr>
        <w:ind w:right="160"/>
        <w:spacing w:after="0"/>
        <w:rPr>
          <w:sz w:val="20"/>
          <w:szCs w:val="20"/>
          <w:color w:val="auto"/>
        </w:rPr>
      </w:pPr>
      <w:r>
        <w:rPr>
          <w:rFonts w:ascii="Arial" w:cs="Arial" w:eastAsia="Arial" w:hAnsi="Arial"/>
          <w:sz w:val="22"/>
          <w:szCs w:val="22"/>
          <w:color w:val="auto"/>
        </w:rPr>
        <w:t>ACKNOWLEDGMENT AND DELIVERY THEREOF BY LANDLORD AND TENANT, REGARDLESS OF ANY WRITTEN OR VERBAL REPRESENTATION OF ANY AGENT, MANAGER OR EMPLOYEE OF LANDLORD TO THE CONTRARY.</w:t>
      </w:r>
    </w:p>
    <w:p>
      <w:pPr>
        <w:spacing w:after="0" w:line="208" w:lineRule="exact"/>
        <w:rPr>
          <w:sz w:val="20"/>
          <w:szCs w:val="20"/>
          <w:color w:val="auto"/>
        </w:rPr>
      </w:pPr>
    </w:p>
    <w:p>
      <w:pPr>
        <w:ind w:right="20" w:firstLine="749"/>
        <w:spacing w:after="0" w:line="260" w:lineRule="auto"/>
        <w:rPr>
          <w:sz w:val="20"/>
          <w:szCs w:val="20"/>
          <w:color w:val="auto"/>
        </w:rPr>
      </w:pPr>
      <w:r>
        <w:rPr>
          <w:rFonts w:ascii="Arial" w:cs="Arial" w:eastAsia="Arial" w:hAnsi="Arial"/>
          <w:sz w:val="21"/>
          <w:szCs w:val="21"/>
          <w:color w:val="auto"/>
        </w:rPr>
        <w:t>20.</w:t>
      </w:r>
      <w:r>
        <w:rPr>
          <w:rFonts w:ascii="Arial" w:cs="Arial" w:eastAsia="Arial" w:hAnsi="Arial"/>
          <w:sz w:val="21"/>
          <w:szCs w:val="21"/>
          <w:b w:val="1"/>
          <w:bCs w:val="1"/>
          <w:u w:val="single" w:color="auto"/>
          <w:color w:val="auto"/>
        </w:rPr>
        <w:t>Entire Agreement</w:t>
      </w:r>
      <w:r>
        <w:rPr>
          <w:rFonts w:ascii="Arial" w:cs="Arial" w:eastAsia="Arial" w:hAnsi="Arial"/>
          <w:sz w:val="21"/>
          <w:szCs w:val="21"/>
          <w:color w:val="auto"/>
        </w:rPr>
        <w:t>. This Third Amendment, together with the Lease, constitutes the entire agreement between the Landlord and Tenant regarding the Lease and the subject matter contained herein and supersedes any and all prior and/or contemporaneous oral or written negotiations, agreement or understandings.</w:t>
      </w:r>
    </w:p>
    <w:p>
      <w:pPr>
        <w:spacing w:after="0" w:line="187" w:lineRule="exact"/>
        <w:rPr>
          <w:sz w:val="20"/>
          <w:szCs w:val="20"/>
          <w:color w:val="auto"/>
        </w:rPr>
      </w:pPr>
    </w:p>
    <w:p>
      <w:pPr>
        <w:jc w:val="both"/>
        <w:ind w:right="100" w:firstLine="749"/>
        <w:spacing w:after="0" w:line="254" w:lineRule="auto"/>
        <w:rPr>
          <w:sz w:val="20"/>
          <w:szCs w:val="20"/>
          <w:color w:val="auto"/>
        </w:rPr>
      </w:pPr>
      <w:r>
        <w:rPr>
          <w:rFonts w:ascii="Arial" w:cs="Arial" w:eastAsia="Arial" w:hAnsi="Arial"/>
          <w:sz w:val="21"/>
          <w:szCs w:val="21"/>
          <w:color w:val="auto"/>
        </w:rPr>
        <w:t>21.</w:t>
      </w:r>
      <w:r>
        <w:rPr>
          <w:rFonts w:ascii="Arial" w:cs="Arial" w:eastAsia="Arial" w:hAnsi="Arial"/>
          <w:sz w:val="21"/>
          <w:szCs w:val="21"/>
          <w:b w:val="1"/>
          <w:bCs w:val="1"/>
          <w:u w:val="single" w:color="auto"/>
          <w:color w:val="auto"/>
        </w:rPr>
        <w:t>Incorporation</w:t>
      </w:r>
      <w:r>
        <w:rPr>
          <w:rFonts w:ascii="Arial" w:cs="Arial" w:eastAsia="Arial" w:hAnsi="Arial"/>
          <w:sz w:val="21"/>
          <w:szCs w:val="21"/>
          <w:color w:val="auto"/>
        </w:rPr>
        <w:t>. The Lease, as modified herein, remains in full force and effect, and the parties hereby ratify the same. This Third Amendment shall be binding upon the parties and their respective successors and assigns, except as set forth in the Lease. To the extent the terms and conditions of the Lease conflict with or are inconsistent with this Third Amendment, the terms and conditions of this Third Amendment shall control.</w:t>
      </w:r>
    </w:p>
    <w:p>
      <w:pPr>
        <w:spacing w:after="0" w:line="193" w:lineRule="exact"/>
        <w:rPr>
          <w:sz w:val="20"/>
          <w:szCs w:val="20"/>
          <w:color w:val="auto"/>
        </w:rPr>
      </w:pPr>
    </w:p>
    <w:p>
      <w:pPr>
        <w:ind w:firstLine="749"/>
        <w:spacing w:after="0" w:line="300" w:lineRule="auto"/>
        <w:rPr>
          <w:sz w:val="20"/>
          <w:szCs w:val="20"/>
          <w:color w:val="auto"/>
        </w:rPr>
      </w:pPr>
      <w:r>
        <w:rPr>
          <w:rFonts w:ascii="Arial" w:cs="Arial" w:eastAsia="Arial" w:hAnsi="Arial"/>
          <w:sz w:val="19"/>
          <w:szCs w:val="19"/>
          <w:color w:val="auto"/>
        </w:rPr>
        <w:t>22.</w:t>
      </w:r>
      <w:r>
        <w:rPr>
          <w:rFonts w:ascii="Arial" w:cs="Arial" w:eastAsia="Arial" w:hAnsi="Arial"/>
          <w:sz w:val="19"/>
          <w:szCs w:val="19"/>
          <w:b w:val="1"/>
          <w:bCs w:val="1"/>
          <w:u w:val="single" w:color="auto"/>
          <w:color w:val="auto"/>
        </w:rPr>
        <w:t>Counterparts</w:t>
      </w:r>
      <w:r>
        <w:rPr>
          <w:rFonts w:ascii="Arial" w:cs="Arial" w:eastAsia="Arial" w:hAnsi="Arial"/>
          <w:sz w:val="19"/>
          <w:szCs w:val="19"/>
          <w:color w:val="auto"/>
        </w:rPr>
        <w:t>. This Third Amendment may be executed in counterparts, each of which shall be deemed a part of an original and all of which together shall constitute one (1) agreement. Signature pages may be detached from the counterparts and attached to a single copy of this Third Amendment to form one (1) document.</w:t>
      </w:r>
    </w:p>
    <w:p>
      <w:pPr>
        <w:spacing w:after="0" w:line="159"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[This space intentionally left blank; signatures to follow]</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Executed as an instrument under seal on the date and year first written above.</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TENANT: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FLYWIRE CORPORATION,</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 Delaware corporation</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 /s/ Peter Butterfield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-17780</wp:posOffset>
            </wp:positionV>
            <wp:extent cx="110871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1108710" cy="889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Peter Butterfield</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 General Counsel &amp; Chief Compliance Officer</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Duly Authorized</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LANDLORD</w:t>
      </w:r>
      <w:r>
        <w:rPr>
          <w:rFonts w:ascii="Arial" w:cs="Arial" w:eastAsia="Arial" w:hAnsi="Arial"/>
          <w:sz w:val="22"/>
          <w:szCs w:val="22"/>
          <w:color w:val="auto"/>
        </w:rPr>
        <w: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NS 141 TREMONT LLC,</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2"/>
          <w:szCs w:val="22"/>
          <w:color w:val="auto"/>
        </w:rPr>
        <w:t>a Massachusetts limited liability company</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David Greaney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 David Greaney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Title: Authorized Signatory</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EXHIBIT B</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20"/>
          <w:szCs w:val="20"/>
          <w:color w:val="auto"/>
        </w:rPr>
        <w:t>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357505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440" w:top="118" w:right="89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387350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5" w:name="page116"/>
    <w:bookmarkEnd w:id="1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60"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 Michael Massaro, certify that:</w:t>
      </w:r>
    </w:p>
    <w:p>
      <w:pPr>
        <w:spacing w:after="0" w:line="104" w:lineRule="exact"/>
        <w:rPr>
          <w:sz w:val="20"/>
          <w:szCs w:val="20"/>
          <w:color w:val="auto"/>
        </w:rPr>
      </w:pPr>
    </w:p>
    <w:p>
      <w:pPr>
        <w:ind w:left="920" w:hanging="912"/>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2023 of Flywire Corporation;</w:t>
      </w:r>
    </w:p>
    <w:p>
      <w:pPr>
        <w:spacing w:after="0" w:line="103" w:lineRule="exact"/>
        <w:rPr>
          <w:rFonts w:ascii="Arial" w:cs="Arial" w:eastAsia="Arial" w:hAnsi="Arial"/>
          <w:sz w:val="18"/>
          <w:szCs w:val="18"/>
          <w:color w:val="auto"/>
        </w:rPr>
      </w:pPr>
    </w:p>
    <w:p>
      <w:pPr>
        <w:ind w:left="520" w:right="220" w:hanging="512"/>
        <w:spacing w:after="0" w:line="24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8"/>
          <w:szCs w:val="18"/>
          <w:color w:val="auto"/>
        </w:rPr>
      </w:pPr>
    </w:p>
    <w:p>
      <w:pPr>
        <w:ind w:left="520" w:right="200" w:hanging="512"/>
        <w:spacing w:after="0" w:line="24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8"/>
          <w:szCs w:val="18"/>
          <w:color w:val="auto"/>
        </w:rPr>
      </w:pPr>
    </w:p>
    <w:p>
      <w:pPr>
        <w:ind w:left="520" w:right="380" w:hanging="512"/>
        <w:spacing w:after="0" w:line="24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8"/>
          <w:szCs w:val="18"/>
          <w:color w:val="auto"/>
        </w:rPr>
      </w:pPr>
    </w:p>
    <w:p>
      <w:pPr>
        <w:ind w:left="1660" w:right="200" w:hanging="507"/>
        <w:spacing w:after="0" w:line="243" w:lineRule="auto"/>
        <w:tabs>
          <w:tab w:leader="none" w:pos="2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660" w:right="20" w:hanging="507"/>
        <w:spacing w:after="0" w:line="269" w:lineRule="auto"/>
        <w:tabs>
          <w:tab w:leader="none" w:pos="20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1660" w:right="160" w:hanging="507"/>
        <w:spacing w:after="0" w:line="247" w:lineRule="auto"/>
        <w:tabs>
          <w:tab w:leader="none" w:pos="2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8"/>
          <w:szCs w:val="18"/>
          <w:color w:val="auto"/>
        </w:rPr>
      </w:pPr>
    </w:p>
    <w:p>
      <w:pPr>
        <w:jc w:val="both"/>
        <w:ind w:left="1660" w:right="20" w:hanging="507"/>
        <w:spacing w:after="0" w:line="269" w:lineRule="auto"/>
        <w:tabs>
          <w:tab w:leader="none" w:pos="20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520" w:right="120" w:hanging="512"/>
        <w:spacing w:after="0" w:line="247"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8"/>
          <w:szCs w:val="18"/>
          <w:color w:val="auto"/>
        </w:rPr>
      </w:pPr>
    </w:p>
    <w:p>
      <w:pPr>
        <w:ind w:left="1660" w:right="80" w:hanging="507"/>
        <w:spacing w:after="0" w:line="247" w:lineRule="auto"/>
        <w:tabs>
          <w:tab w:leader="none" w:pos="2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left="1660" w:right="20" w:hanging="507"/>
        <w:spacing w:after="0" w:line="260" w:lineRule="auto"/>
        <w:tabs>
          <w:tab w:leader="none" w:pos="2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820" w:right="1260" w:hanging="6801"/>
        <w:spacing w:after="0" w:line="265" w:lineRule="auto"/>
        <w:tabs>
          <w:tab w:leader="none" w:pos="680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0</wp:posOffset>
            </wp:positionV>
            <wp:extent cx="25203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27"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Michael Massaro</w:t>
      </w:r>
    </w:p>
    <w:p>
      <w:pPr>
        <w:spacing w:after="0" w:line="44" w:lineRule="exact"/>
        <w:rPr>
          <w:sz w:val="20"/>
          <w:szCs w:val="20"/>
          <w:color w:val="auto"/>
        </w:rPr>
      </w:pPr>
    </w:p>
    <w:p>
      <w:pPr>
        <w:ind w:left="76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7" w:name="page118"/>
    <w:bookmarkEnd w:id="1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ind w:right="40"/>
        <w:spacing w:after="0" w:line="260"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 Michael Ellis, certify that:</w:t>
      </w:r>
    </w:p>
    <w:p>
      <w:pPr>
        <w:spacing w:after="0" w:line="104" w:lineRule="exact"/>
        <w:rPr>
          <w:sz w:val="20"/>
          <w:szCs w:val="20"/>
          <w:color w:val="auto"/>
        </w:rPr>
      </w:pPr>
    </w:p>
    <w:p>
      <w:pPr>
        <w:ind w:left="920" w:hanging="912"/>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2023 of Flywire Corporation;</w:t>
      </w:r>
    </w:p>
    <w:p>
      <w:pPr>
        <w:spacing w:after="0" w:line="103" w:lineRule="exact"/>
        <w:rPr>
          <w:rFonts w:ascii="Arial" w:cs="Arial" w:eastAsia="Arial" w:hAnsi="Arial"/>
          <w:sz w:val="18"/>
          <w:szCs w:val="18"/>
          <w:color w:val="auto"/>
        </w:rPr>
      </w:pPr>
    </w:p>
    <w:p>
      <w:pPr>
        <w:ind w:left="520" w:right="220" w:hanging="512"/>
        <w:spacing w:after="0" w:line="247"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8"/>
          <w:szCs w:val="18"/>
          <w:color w:val="auto"/>
        </w:rPr>
      </w:pPr>
    </w:p>
    <w:p>
      <w:pPr>
        <w:ind w:left="520" w:right="200" w:hanging="512"/>
        <w:spacing w:after="0" w:line="247"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8"/>
          <w:szCs w:val="18"/>
          <w:color w:val="auto"/>
        </w:rPr>
      </w:pPr>
    </w:p>
    <w:p>
      <w:pPr>
        <w:ind w:left="520" w:right="380" w:hanging="512"/>
        <w:spacing w:after="0" w:line="247"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8"/>
          <w:szCs w:val="18"/>
          <w:color w:val="auto"/>
        </w:rPr>
      </w:pPr>
    </w:p>
    <w:p>
      <w:pPr>
        <w:ind w:left="1660" w:right="200" w:hanging="507"/>
        <w:spacing w:after="0" w:line="243" w:lineRule="auto"/>
        <w:tabs>
          <w:tab w:leader="none" w:pos="2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8"/>
          <w:szCs w:val="18"/>
          <w:color w:val="auto"/>
        </w:rPr>
      </w:pPr>
    </w:p>
    <w:p>
      <w:pPr>
        <w:ind w:left="1660" w:right="20" w:hanging="507"/>
        <w:spacing w:after="0" w:line="269" w:lineRule="auto"/>
        <w:tabs>
          <w:tab w:leader="none" w:pos="20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Arial" w:cs="Arial" w:eastAsia="Arial" w:hAnsi="Arial"/>
          <w:sz w:val="17"/>
          <w:szCs w:val="17"/>
          <w:color w:val="auto"/>
        </w:rPr>
      </w:pPr>
    </w:p>
    <w:p>
      <w:pPr>
        <w:ind w:left="1660" w:right="160" w:hanging="507"/>
        <w:spacing w:after="0" w:line="247" w:lineRule="auto"/>
        <w:tabs>
          <w:tab w:leader="none" w:pos="2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8"/>
          <w:szCs w:val="18"/>
          <w:color w:val="auto"/>
        </w:rPr>
      </w:pPr>
    </w:p>
    <w:p>
      <w:pPr>
        <w:jc w:val="both"/>
        <w:ind w:left="1660" w:right="20" w:hanging="507"/>
        <w:spacing w:after="0" w:line="269" w:lineRule="auto"/>
        <w:tabs>
          <w:tab w:leader="none" w:pos="20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Arial" w:cs="Arial" w:eastAsia="Arial" w:hAnsi="Arial"/>
          <w:sz w:val="17"/>
          <w:szCs w:val="17"/>
          <w:color w:val="auto"/>
        </w:rPr>
      </w:pPr>
    </w:p>
    <w:p>
      <w:pPr>
        <w:ind w:left="520" w:right="120" w:hanging="512"/>
        <w:spacing w:after="0" w:line="247"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8"/>
          <w:szCs w:val="18"/>
          <w:color w:val="auto"/>
        </w:rPr>
      </w:pPr>
    </w:p>
    <w:p>
      <w:pPr>
        <w:ind w:left="1660" w:right="80" w:hanging="507"/>
        <w:spacing w:after="0" w:line="247" w:lineRule="auto"/>
        <w:tabs>
          <w:tab w:leader="none" w:pos="2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left="1660" w:right="20" w:hanging="507"/>
        <w:spacing w:after="0" w:line="260" w:lineRule="auto"/>
        <w:tabs>
          <w:tab w:leader="none" w:pos="2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480" w:right="1620" w:hanging="6467"/>
        <w:spacing w:after="0" w:line="265" w:lineRule="auto"/>
        <w:tabs>
          <w:tab w:leader="none" w:pos="646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/s/ Michael Ellis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0</wp:posOffset>
            </wp:positionV>
            <wp:extent cx="273431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Michael Ellis</w:t>
      </w:r>
    </w:p>
    <w:p>
      <w:pPr>
        <w:spacing w:after="0" w:line="44"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1108710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June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2060" w:hanging="907"/>
        <w:spacing w:after="0"/>
        <w:tabs>
          <w:tab w:leader="none" w:pos="2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7"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91" w:lineRule="exact"/>
        <w:rPr>
          <w:rFonts w:ascii="Arial" w:cs="Arial" w:eastAsia="Arial" w:hAnsi="Arial"/>
          <w:sz w:val="18"/>
          <w:szCs w:val="18"/>
          <w:color w:val="auto"/>
        </w:rPr>
      </w:pPr>
    </w:p>
    <w:p>
      <w:pPr>
        <w:ind w:left="1660" w:right="40" w:hanging="507"/>
        <w:spacing w:after="0" w:line="260" w:lineRule="auto"/>
        <w:tabs>
          <w:tab w:leader="none" w:pos="2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ind w:left="6360" w:right="1460" w:hanging="6345"/>
        <w:spacing w:after="0" w:line="265" w:lineRule="auto"/>
        <w:tabs>
          <w:tab w:leader="none" w:pos="63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/s/ Michael Massaro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0</wp:posOffset>
            </wp:positionV>
            <wp:extent cx="28117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27"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Michael Massaro</w:t>
      </w:r>
    </w:p>
    <w:p>
      <w:pPr>
        <w:spacing w:after="0" w:line="44"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21" w:name="page122"/>
    <w:bookmarkEnd w:id="1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connection with the Quarterly Report of Flywire Corporation (the “Company”) on Form 10-Q for the quarter ended June 30, 2023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2060" w:hanging="907"/>
        <w:spacing w:after="0"/>
        <w:tabs>
          <w:tab w:leader="none" w:pos="2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7"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91" w:lineRule="exact"/>
        <w:rPr>
          <w:rFonts w:ascii="Arial" w:cs="Arial" w:eastAsia="Arial" w:hAnsi="Arial"/>
          <w:sz w:val="18"/>
          <w:szCs w:val="18"/>
          <w:color w:val="auto"/>
        </w:rPr>
      </w:pPr>
    </w:p>
    <w:p>
      <w:pPr>
        <w:ind w:left="1660" w:right="40" w:hanging="507"/>
        <w:spacing w:after="0" w:line="260" w:lineRule="auto"/>
        <w:tabs>
          <w:tab w:leader="none" w:pos="2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ind w:left="6360" w:right="1640" w:hanging="6345"/>
        <w:spacing w:after="0" w:line="265" w:lineRule="auto"/>
        <w:tabs>
          <w:tab w:leader="none" w:pos="6340" w:val="left"/>
        </w:tabs>
        <w:rPr>
          <w:sz w:val="20"/>
          <w:szCs w:val="20"/>
          <w:color w:val="auto"/>
        </w:rPr>
      </w:pPr>
      <w:r>
        <w:rPr>
          <w:rFonts w:ascii="Arial" w:cs="Arial" w:eastAsia="Arial" w:hAnsi="Arial"/>
          <w:sz w:val="18"/>
          <w:szCs w:val="18"/>
          <w:color w:val="auto"/>
        </w:rPr>
        <w:t>Date: August 8, 2023</w:t>
      </w:r>
      <w:r>
        <w:rPr>
          <w:sz w:val="20"/>
          <w:szCs w:val="20"/>
          <w:color w:val="auto"/>
        </w:rPr>
        <w:tab/>
      </w:r>
      <w:r>
        <w:rPr>
          <w:rFonts w:ascii="Arial" w:cs="Arial" w:eastAsia="Arial" w:hAnsi="Arial"/>
          <w:sz w:val="18"/>
          <w:szCs w:val="18"/>
          <w:color w:val="auto"/>
        </w:rPr>
        <w:t>/s/ Michael Ellis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0</wp:posOffset>
            </wp:positionV>
            <wp:extent cx="28117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27"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Michael Ellis</w:t>
      </w:r>
    </w:p>
    <w:p>
      <w:pPr>
        <w:spacing w:after="0" w:line="44"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67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23" w:name="page124"/>
    <w:bookmarkEnd w:id="1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Roman"/>
      <w:start w:val="2"/>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upperLetter"/>
      <w:start w:val="35"/>
    </w:lvl>
  </w:abstractNum>
  <w:abstractNum w:abstractNumId="33">
    <w:nsid w:val="6A2342EC"/>
    <w:multiLevelType w:val="hybridMultilevel"/>
    <w:lvl w:ilvl="0">
      <w:lvlJc w:val="left"/>
      <w:lvlText w:val="%1."/>
      <w:numFmt w:val="decimal"/>
      <w:start w:val="404"/>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22"/>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lowerLetter"/>
      <w:start w:val="5"/>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11"/>
    </w:lvl>
  </w:abstractNum>
  <w:abstractNum w:abstractNumId="44">
    <w:nsid w:val="7644A45C"/>
    <w:multiLevelType w:val="hybridMultilevel"/>
    <w:lvl w:ilvl="0">
      <w:lvlJc w:val="left"/>
      <w:lvlText w:val="%1."/>
      <w:numFmt w:val="upperLetter"/>
      <w:start w:val="1"/>
    </w:lvl>
  </w:abstractNum>
  <w:abstractNum w:abstractNumId="45">
    <w:nsid w:val="32FFF902"/>
    <w:multiLevelType w:val="hybridMultilevel"/>
    <w:lvl w:ilvl="0">
      <w:lvlJc w:val="left"/>
      <w:lvlText w:val="(%1)"/>
      <w:numFmt w:val="decimal"/>
      <w:start w:val="15"/>
    </w:lvl>
  </w:abstractNum>
  <w:abstractNum w:abstractNumId="46">
    <w:nsid w:val="684A481A"/>
    <w:multiLevelType w:val="hybridMultilevel"/>
    <w:lvl w:ilvl="0">
      <w:lvlJc w:val="left"/>
      <w:lvlText w:val="%1."/>
      <w:numFmt w:val="decimal"/>
      <w:start w:val="13"/>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39" Type="http://schemas.openxmlformats.org/officeDocument/2006/relationships/hyperlink" Target="https://www.sec.gov/Archives/edgar/data/1580560/000119312521178711/d109060dex31.htm" TargetMode="External"/><Relationship Id="rId440" Type="http://schemas.openxmlformats.org/officeDocument/2006/relationships/hyperlink" Target="https://www.sec.gov/Archives/edgar/data/1580560/000119312521178711/d10906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2023-08-26T09:09:27Z</dcterms:created>
  <dcterms:modified xsi:type="dcterms:W3CDTF">2023-08-26T09:09:27Z</dcterms:modified>
</cp:coreProperties>
</file>