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King David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05/10/2023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2"/>
        <w:gridCol w:w="913"/>
        <w:gridCol w:w="783"/>
        <w:gridCol w:w="606"/>
        <w:gridCol w:w="341"/>
        <w:gridCol w:w="816"/>
        <w:gridCol w:w="427"/>
        <w:gridCol w:w="984"/>
        <w:gridCol w:w="1123"/>
        <w:gridCol w:w="970"/>
        <w:gridCol w:w="11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05/10/2023</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4,625</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30.5914</w:t>
            </w:r>
            <w:r>
              <w:rPr>
                <w:rFonts w:ascii="Times;serif" w:hAnsi="Times;serif"/>
                <w:color w:val="008000"/>
                <w:position w:val="7"/>
                <w:sz w:val="16"/>
                <w:sz w:val="20"/>
                <w:shd w:fill="FFFFFF" w:val="clear"/>
              </w:rPr>
              <w:t>(2)</w:t>
            </w:r>
            <w:r>
              <w:rPr/>
              <w:t xml:space="preserve"> </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454,029</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Revocable Trust</w:t>
            </w:r>
            <w:r>
              <w:rPr>
                <w:rFonts w:ascii="Times;serif" w:hAnsi="Times;serif"/>
                <w:color w:val="008000"/>
                <w:position w:val="7"/>
                <w:sz w:val="16"/>
                <w:sz w:val="20"/>
                <w:shd w:fill="FFFFFF" w:val="clear"/>
              </w:rPr>
              <w:t>(3)</w:t>
            </w:r>
            <w:r>
              <w:rPr/>
              <w:t xml:space="preserve"> </w:t>
            </w:r>
          </w:p>
        </w:tc>
      </w:tr>
      <w:tr>
        <w:trPr/>
        <w:tc>
          <w:tcPr>
            <w:tcW w:w="20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433,834</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transactions were effected pursuant to a Rule 10b5-1 trading plan adopted by the Reporting Person, entered into prior to the effectiveness of the revised requirements of Rule 10b5-1(c).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$30.50 to $30.95,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R. King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946"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750</Words>
  <Characters>4017</Characters>
  <CharactersWithSpaces>4701</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