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Ellis Michael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Flywire Corp</w:t>
              </w:r>
            </w:hyperlink>
            <w:r>
              <w:rPr/>
              <w:t xml:space="preserve"> [ </w:t>
            </w:r>
            <w:r>
              <w:rPr>
                <w:rFonts w:ascii="Times;serif" w:hAnsi="Times;serif"/>
                <w:color w:val="0000FF"/>
                <w:sz w:val="24"/>
                <w:shd w:fill="FFFFFF" w:val="clear"/>
              </w:rPr>
              <w:t>FLYW</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09/05/2023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882"/>
        <w:gridCol w:w="449"/>
        <w:gridCol w:w="838"/>
        <w:gridCol w:w="1153"/>
        <w:gridCol w:w="991"/>
        <w:gridCol w:w="95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09/05/2023</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2,251</w:t>
            </w:r>
            <w:r>
              <w:rPr>
                <w:rFonts w:ascii="Times;serif" w:hAnsi="Times;serif"/>
                <w:color w:val="008000"/>
                <w:position w:val="7"/>
                <w:sz w:val="16"/>
                <w:sz w:val="20"/>
                <w:shd w:fill="FFFFFF" w:val="clear"/>
              </w:rPr>
              <w:t>(1)</w:t>
            </w:r>
            <w:r>
              <w:rPr/>
              <w:t xml:space="preserve"> </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33.748</w:t>
            </w:r>
            <w:r>
              <w:rPr/>
              <w:t xml:space="preserve"> </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244,094</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09/06/2023</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3,375</w:t>
            </w:r>
            <w:r>
              <w:rPr>
                <w:rFonts w:ascii="Times;serif" w:hAnsi="Times;serif"/>
                <w:color w:val="008000"/>
                <w:position w:val="7"/>
                <w:sz w:val="16"/>
                <w:sz w:val="20"/>
                <w:shd w:fill="FFFFFF" w:val="clear"/>
              </w:rPr>
              <w:t>(2)</w:t>
            </w:r>
            <w:r>
              <w:rPr/>
              <w:t xml:space="preserve"> </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33.54</w:t>
            </w:r>
            <w:r>
              <w:rPr/>
              <w:t xml:space="preserve"> </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240,719</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27,805</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GRAT</w:t>
            </w:r>
            <w:r>
              <w:rPr>
                <w:rFonts w:ascii="Times;serif" w:hAnsi="Times;serif"/>
                <w:color w:val="008000"/>
                <w:position w:val="7"/>
                <w:sz w:val="16"/>
                <w:sz w:val="20"/>
                <w:shd w:fill="FFFFFF" w:val="clear"/>
              </w:rPr>
              <w:t>(3)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is subject to a lock-up agreement with the underwriter for the public offering of Voting Common Stock by the Issuer for which the underwriting agreement was entered into on August 9, 2023. The transaction was pursuant to an exception to the lock-up agreement for sales to cover tax withholding obligations upon the settlement of certain time-based restricted stock unit awards. These shares of common stock were automatically sold in a non-discretionary transaction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is subject to a lock-up agreement with the underwriter for the public offering of Voting Common Stock by the Issuer for which the underwriting agreement was entered into on August 9, 2023. The transaction was pursuant to an exception to the lock-up agreement for sales pursuant to a trading plan that complies with Rule 10b5-1 that has been entered into by the Reporting Person prior the date of the lock-up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are held by the Michael Ellis 2021 Grantor Retained Annuity Trust No. 2,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G. Ellis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09/07/2023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62898" TargetMode="External"/><Relationship Id="rId4" Type="http://schemas.openxmlformats.org/officeDocument/2006/relationships/hyperlink" Target="http://www.sec.gov/cgi-bin/browse-edgar?action=getcompany&amp;CIK=000158056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808</Words>
  <Characters>4312</Characters>
  <CharactersWithSpaces>5045</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