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Date of Report (Date of earliest event reported): August 4, 2021 (July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255905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FLYWIRE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27-0690799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40" w:space="720"/>
            <w:col w:w="2340"/>
          </w:cols>
          <w:pgMar w:left="436" w:top="368" w:right="439" w:bottom="1440" w:gutter="0" w:footer="0" w:header="0"/>
          <w:type w:val="continuous"/>
        </w:sectPr>
      </w:pPr>
    </w:p>
    <w:p>
      <w:pPr>
        <w:spacing w:after="0" w:line="5" w:lineRule="exact"/>
        <w:rPr>
          <w:sz w:val="24"/>
          <w:szCs w:val="24"/>
          <w:color w:val="auto"/>
        </w:rPr>
      </w:pPr>
    </w:p>
    <w:p>
      <w:pPr>
        <w:ind w:left="4764"/>
        <w:spacing w:after="0"/>
        <w:rPr>
          <w:sz w:val="20"/>
          <w:szCs w:val="20"/>
          <w:color w:val="auto"/>
        </w:rPr>
      </w:pPr>
      <w:r>
        <w:rPr>
          <w:rFonts w:ascii="Arial" w:cs="Arial" w:eastAsia="Arial" w:hAnsi="Arial"/>
          <w:sz w:val="18"/>
          <w:szCs w:val="18"/>
          <w:b w:val="1"/>
          <w:bCs w:val="1"/>
          <w:color w:val="auto"/>
        </w:rPr>
        <w:t>141 Tremont St #10</w:t>
      </w:r>
    </w:p>
    <w:p>
      <w:pPr>
        <w:spacing w:after="0" w:line="27" w:lineRule="exact"/>
        <w:rPr>
          <w:sz w:val="24"/>
          <w:szCs w:val="24"/>
          <w:color w:val="auto"/>
        </w:rPr>
      </w:pPr>
    </w:p>
    <w:p>
      <w:pPr>
        <w:ind w:left="4804"/>
        <w:spacing w:after="0"/>
        <w:rPr>
          <w:sz w:val="20"/>
          <w:szCs w:val="20"/>
          <w:color w:val="auto"/>
        </w:rPr>
      </w:pPr>
      <w:r>
        <w:rPr>
          <w:rFonts w:ascii="Arial" w:cs="Arial" w:eastAsia="Arial" w:hAnsi="Arial"/>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(617) 329-4524</w:t>
      </w:r>
    </w:p>
    <w:p>
      <w:pPr>
        <w:spacing w:after="0" w:line="2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Voting Common Stock,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July 29, 2021, Flywire Corporation (the “Company”) replaced its existing revolving credit facility by entering into a Credit Agreement (the “Credit Agreement”), dated as of July 29, 2021 (the “Closing Date”), among the Company, as borrower, the other Loan Parties party thereto from time to time, the Lenders party thereto from time to time, the Issuing Banks party thereto from time to time, and Citibank N.A., as administrative agent. Citibank N.A. acted as sole Lead Arranger and sole Bookrunner, Silicon Valley Bank acted as Syndication Agent, and JPMorgan Chase Bank, N.A. acted as Documentation Agent. Terms used herein with initial capital letters that are not otherwise defined herein are as defined in the Credit Agreement.</w:t>
      </w:r>
    </w:p>
    <w:p>
      <w:pPr>
        <w:spacing w:after="0" w:line="16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Credit Agreement provides for a $50.0 million senior secured three year revolving credit facility with the right (subject to certain conditions) to request an increase to such revolving loan facility by up to $50.0 million in the aggregate. The three year tenor facility provides for a revolving credit facility of which $25,938,575.84 was drawn on the Closing Date, as well as for borrowings up to the amount of the facility with sublimits of up to (i) $5.0 million to be available for the issuance of letters of credit and (ii) $5.0 million to be available for swingline loans.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Credit Agreement, loans bear interest, at the Company’s option, either at an annual rate based on Alternate Base Rate (“ABR”), which references the prime rate, plus an applicable margin or LIBOR plus an applicable margin. Loans based on ABR shall bear interest at a rate between ABR plus 0.75% and ABR plus 1.25%, and loans based on LIBOR shall bear interest at a rate between LIBOR plus 1.75% and LIBOR plus 2.25%, depending on the Company’s liquidity, as defined and calculated according to the Credit Agreement. The Company is required to pay a commitment fee between 0.25% and 0.35% per annum, depending on the Company’s liquidity, on the undrawn portion available under the revolving credit facility. In addition, the Company is required to pay a fee on all outstanding letters of credit equal to the average daily maximum aggregate amount available to be drawn under all outstanding letters of credit, times the applicable margin then in effect with respect to LIBOR loans.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further induce the Lenders and Issuing Banks to enter into the Credit Agreement, the Company and its Material Domestic Subsidiaries (the “Grantors”) have entered into a Pledge and Security Agreement (the “Pledge Agreement”), dated as of July 29, 2021, by and among the Company, the Grantors and Citibank, N.A., in its capacities as administrative agent and collateral agent for the Secured Parties (as such term is defined in the Pledge Agreement). Pursuant to the Pledge Agreement, and subject to certain limited exceptions, the obligations under the Credit Agreement and the guarantees are secured by a lien on substantially all of the tangible and intangible property of the Grantors, and by a pledge of all of the equity interests of the Company’s Material Domestic Subsidiaries and 65% of each class of capital stock of any material first-tier foreign subsidiaries, subject to limited exceptions.</w:t>
      </w:r>
    </w:p>
    <w:p>
      <w:pPr>
        <w:spacing w:after="0" w:line="19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Credit Agreement contains customary affirmative and negative covenants and restrictions typical for a financing of this type that, among other things, require the Company to satisfy certain financial covenants and restrict the Company’s and its subsidiaries’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Credit Agreement becoming immediately due and payable and termination of the commitments.</w:t>
      </w:r>
    </w:p>
    <w:p>
      <w:pPr>
        <w:sectPr>
          <w:pgSz w:w="11900" w:h="16838" w:orient="portrait"/>
          <w:cols w:equalWidth="0" w:num="1">
            <w:col w:w="11000"/>
          </w:cols>
          <w:pgMar w:left="440" w:top="270" w:right="459" w:bottom="1440" w:gutter="0" w:footer="0" w:header="0"/>
        </w:sectPr>
      </w:pPr>
    </w:p>
    <w:bookmarkStart w:id="2" w:name="page3"/>
    <w:bookmarkEnd w:id="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the Credit Agreement and Pledge Agreement are filed as Exhibit 10.1 and Exhibit 10.2 hereto, respectively. The foregoing descriptions of the Credit Agreement and Pledge Agreement do not purport to be complete and are qualified in their entirety by reference to the full text of the Credit Agreement, and the Pledge Agreement which are incorporated by reference herein.</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July 29, 2021, the Company used an aggregate of $25,546,180.59 received from the proceeds of loans issued under the Credit Agreement to pay all outstanding principal, interest and other amounts owing under its existing loan and security agreement with Silicon Valley Bank, dated January 16, 2018, as amended from time to time (“LSA”). Upon the payoff of these obligations, the LSA, all related agreements evidencing obligations under the LSA, and all lender commitments to make loans or other extensions of credit under the LSA, were terminated.</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1.01 of this Current Report on Form 8-K is incorporated herein by reference.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6"/>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20" w:type="dxa"/>
            <w:vAlign w:val="bottom"/>
            <w:gridSpan w:val="5"/>
          </w:tcPr>
          <w:p>
            <w:pPr>
              <w:ind w:left="4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Credit Agreement, dated as of July 29, 2021, by and among Flywire Corporation, the other Loan Parties party thereto from time to</w:t>
              </w:r>
            </w:hyperlink>
          </w:p>
        </w:tc>
      </w:tr>
      <w:tr>
        <w:trPr>
          <w:trHeight w:val="196"/>
        </w:trPr>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2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time, the Lenders party thereto from time to time, the Issuing Banks party thereto from time to time, and Citibank</w:t>
              </w:r>
            </w:hyperlink>
          </w:p>
        </w:tc>
      </w:tr>
      <w:tr>
        <w:trPr>
          <w:trHeight w:val="20"/>
        </w:trPr>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16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31">
              <w:r>
                <w:rPr>
                  <w:rFonts w:ascii="Arial" w:cs="Arial" w:eastAsia="Arial" w:hAnsi="Arial"/>
                  <w:sz w:val="18"/>
                  <w:szCs w:val="18"/>
                  <w:color w:val="0000EE"/>
                  <w:w w:val="90"/>
                </w:rPr>
                <w:t>Pledge Agreement, dated as of July 29, 2021, by and among Flywire Corporation, the Grantors and the Administrative Agent.</w:t>
              </w:r>
            </w:hyperlink>
          </w:p>
        </w:tc>
        <w:tc>
          <w:tcPr>
            <w:tcW w:w="360" w:type="dxa"/>
            <w:vAlign w:val="bottom"/>
          </w:tcPr>
          <w:p>
            <w:pPr>
              <w:spacing w:after="0"/>
              <w:rPr>
                <w:sz w:val="24"/>
                <w:szCs w:val="24"/>
                <w:color w:val="auto"/>
              </w:rPr>
            </w:pPr>
          </w:p>
        </w:tc>
      </w:tr>
    </w:tbl>
    <w:p>
      <w:pPr>
        <w:sectPr>
          <w:pgSz w:w="11900" w:h="16838" w:orient="portrait"/>
          <w:cols w:equalWidth="0" w:num="1">
            <w:col w:w="10940"/>
          </w:cols>
          <w:pgMar w:left="440" w:top="274" w:right="51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FLYWIRE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Michael Ellis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2021</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77470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120015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308610</wp:posOffset>
            </wp:positionV>
            <wp:extent cx="149161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00"/>
        <w:spacing w:after="0"/>
        <w:rPr>
          <w:sz w:val="20"/>
          <w:szCs w:val="20"/>
          <w:color w:val="auto"/>
        </w:rPr>
      </w:pPr>
      <w:r>
        <w:rPr>
          <w:rFonts w:ascii="Arial" w:cs="Arial" w:eastAsia="Arial" w:hAnsi="Arial"/>
          <w:sz w:val="20"/>
          <w:szCs w:val="20"/>
          <w:color w:val="auto"/>
        </w:rPr>
        <w:t>CREDIT AGREEMENT</w:t>
      </w: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July 29, 2021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3" w:lineRule="exact"/>
        <w:rPr>
          <w:sz w:val="20"/>
          <w:szCs w:val="20"/>
          <w:color w:val="auto"/>
        </w:rPr>
      </w:pPr>
    </w:p>
    <w:p>
      <w:pPr>
        <w:jc w:val="center"/>
        <w:ind w:right="1000"/>
        <w:spacing w:after="0"/>
        <w:rPr>
          <w:sz w:val="20"/>
          <w:szCs w:val="20"/>
          <w:color w:val="auto"/>
        </w:rPr>
      </w:pPr>
      <w:r>
        <w:rPr>
          <w:rFonts w:ascii="Arial" w:cs="Arial" w:eastAsia="Arial" w:hAnsi="Arial"/>
          <w:sz w:val="20"/>
          <w:szCs w:val="20"/>
          <w:color w:val="auto"/>
        </w:rPr>
        <w:t>FLYWIRE CORPORATION,</w:t>
      </w:r>
    </w:p>
    <w:p>
      <w:pPr>
        <w:spacing w:after="0" w:line="1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Borrower</w:t>
      </w:r>
    </w:p>
    <w:p>
      <w:pPr>
        <w:spacing w:after="0" w:line="20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other Loan Parties Party Hereto,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jc w:val="center"/>
        <w:ind w:right="1000"/>
        <w:spacing w:after="0"/>
        <w:rPr>
          <w:sz w:val="20"/>
          <w:szCs w:val="20"/>
          <w:color w:val="auto"/>
        </w:rPr>
      </w:pPr>
      <w:r>
        <w:rPr>
          <w:rFonts w:ascii="Arial" w:cs="Arial" w:eastAsia="Arial" w:hAnsi="Arial"/>
          <w:sz w:val="20"/>
          <w:szCs w:val="20"/>
          <w:color w:val="auto"/>
        </w:rPr>
        <w:t>CITIBANK, N.A.,</w:t>
      </w:r>
    </w:p>
    <w:p>
      <w:pPr>
        <w:spacing w:after="0" w:line="1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000"/>
        <w:spacing w:after="0"/>
        <w:rPr>
          <w:sz w:val="20"/>
          <w:szCs w:val="20"/>
          <w:color w:val="auto"/>
        </w:rPr>
      </w:pPr>
      <w:r>
        <w:rPr>
          <w:rFonts w:ascii="Arial" w:cs="Arial" w:eastAsia="Arial" w:hAnsi="Arial"/>
          <w:sz w:val="20"/>
          <w:szCs w:val="20"/>
          <w:color w:val="auto"/>
        </w:rPr>
        <w:t>CITIBANK, N.A.,</w:t>
      </w:r>
    </w:p>
    <w:p>
      <w:pPr>
        <w:spacing w:after="0" w:line="18"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as Sole Lead Arranger and Sole Bookrunner</w:t>
      </w:r>
    </w:p>
    <w:p>
      <w:pPr>
        <w:spacing w:after="0" w:line="23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ARTICLE I</w:t>
            </w:r>
          </w:p>
        </w:tc>
        <w:tc>
          <w:tcPr>
            <w:tcW w:w="7480" w:type="dxa"/>
            <w:vAlign w:val="bottom"/>
            <w:gridSpan w:val="2"/>
          </w:tcPr>
          <w:p>
            <w:pPr>
              <w:ind w:left="160"/>
              <w:spacing w:after="0"/>
              <w:rPr>
                <w:sz w:val="20"/>
                <w:szCs w:val="20"/>
                <w:color w:val="auto"/>
              </w:rPr>
            </w:pPr>
            <w:r>
              <w:rPr>
                <w:rFonts w:ascii="Arial" w:cs="Arial" w:eastAsia="Arial" w:hAnsi="Arial"/>
                <w:sz w:val="18"/>
                <w:szCs w:val="18"/>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1.01</w:t>
            </w:r>
          </w:p>
        </w:tc>
        <w:tc>
          <w:tcPr>
            <w:tcW w:w="692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1.02</w:t>
            </w:r>
          </w:p>
        </w:tc>
        <w:tc>
          <w:tcPr>
            <w:tcW w:w="6920" w:type="dxa"/>
            <w:vAlign w:val="bottom"/>
          </w:tcPr>
          <w:p>
            <w:pPr>
              <w:ind w:left="220"/>
              <w:spacing w:after="0"/>
              <w:rPr>
                <w:sz w:val="20"/>
                <w:szCs w:val="20"/>
                <w:color w:val="auto"/>
              </w:rPr>
            </w:pPr>
            <w:r>
              <w:rPr>
                <w:rFonts w:ascii="Arial" w:cs="Arial" w:eastAsia="Arial" w:hAnsi="Arial"/>
                <w:sz w:val="18"/>
                <w:szCs w:val="18"/>
                <w:color w:val="auto"/>
              </w:rPr>
              <w:t>Classification of Loans and Borrowings</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1.03</w:t>
            </w:r>
          </w:p>
        </w:tc>
        <w:tc>
          <w:tcPr>
            <w:tcW w:w="6920" w:type="dxa"/>
            <w:vAlign w:val="bottom"/>
          </w:tcPr>
          <w:p>
            <w:pPr>
              <w:ind w:left="220"/>
              <w:spacing w:after="0"/>
              <w:rPr>
                <w:sz w:val="20"/>
                <w:szCs w:val="20"/>
                <w:color w:val="auto"/>
              </w:rPr>
            </w:pPr>
            <w:r>
              <w:rPr>
                <w:rFonts w:ascii="Arial" w:cs="Arial" w:eastAsia="Arial" w:hAnsi="Arial"/>
                <w:sz w:val="18"/>
                <w:szCs w:val="18"/>
                <w:color w:val="auto"/>
              </w:rPr>
              <w:t>Terms Generally</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1.04</w:t>
            </w:r>
          </w:p>
        </w:tc>
        <w:tc>
          <w:tcPr>
            <w:tcW w:w="6920" w:type="dxa"/>
            <w:vAlign w:val="bottom"/>
          </w:tcPr>
          <w:p>
            <w:pPr>
              <w:ind w:left="220"/>
              <w:spacing w:after="0"/>
              <w:rPr>
                <w:sz w:val="20"/>
                <w:szCs w:val="20"/>
                <w:color w:val="auto"/>
              </w:rPr>
            </w:pPr>
            <w:r>
              <w:rPr>
                <w:rFonts w:ascii="Arial" w:cs="Arial" w:eastAsia="Arial" w:hAnsi="Arial"/>
                <w:sz w:val="18"/>
                <w:szCs w:val="18"/>
                <w:color w:val="auto"/>
              </w:rPr>
              <w:t>Accounting Terms; GAAP</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1.05</w:t>
            </w:r>
          </w:p>
        </w:tc>
        <w:tc>
          <w:tcPr>
            <w:tcW w:w="6920" w:type="dxa"/>
            <w:vAlign w:val="bottom"/>
          </w:tcPr>
          <w:p>
            <w:pPr>
              <w:ind w:left="220"/>
              <w:spacing w:after="0"/>
              <w:rPr>
                <w:sz w:val="20"/>
                <w:szCs w:val="20"/>
                <w:color w:val="auto"/>
              </w:rPr>
            </w:pPr>
            <w:r>
              <w:rPr>
                <w:rFonts w:ascii="Arial" w:cs="Arial" w:eastAsia="Arial" w:hAnsi="Arial"/>
                <w:sz w:val="18"/>
                <w:szCs w:val="18"/>
                <w:color w:val="auto"/>
              </w:rPr>
              <w:t>Status of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1.06</w:t>
            </w:r>
          </w:p>
        </w:tc>
        <w:tc>
          <w:tcPr>
            <w:tcW w:w="6920" w:type="dxa"/>
            <w:vAlign w:val="bottom"/>
          </w:tcPr>
          <w:p>
            <w:pPr>
              <w:ind w:left="220"/>
              <w:spacing w:after="0"/>
              <w:rPr>
                <w:sz w:val="20"/>
                <w:szCs w:val="20"/>
                <w:color w:val="auto"/>
              </w:rPr>
            </w:pPr>
            <w:r>
              <w:rPr>
                <w:rFonts w:ascii="Arial" w:cs="Arial" w:eastAsia="Arial" w:hAnsi="Arial"/>
                <w:sz w:val="18"/>
                <w:szCs w:val="18"/>
                <w:color w:val="auto"/>
              </w:rPr>
              <w:t>Financial Ratios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1.07</w:t>
            </w:r>
          </w:p>
        </w:tc>
        <w:tc>
          <w:tcPr>
            <w:tcW w:w="6920" w:type="dxa"/>
            <w:vAlign w:val="bottom"/>
          </w:tcPr>
          <w:p>
            <w:pPr>
              <w:ind w:left="220"/>
              <w:spacing w:after="0"/>
              <w:rPr>
                <w:sz w:val="20"/>
                <w:szCs w:val="20"/>
                <w:color w:val="auto"/>
              </w:rPr>
            </w:pPr>
            <w:r>
              <w:rPr>
                <w:rFonts w:ascii="Arial" w:cs="Arial" w:eastAsia="Arial" w:hAnsi="Arial"/>
                <w:sz w:val="18"/>
                <w:szCs w:val="18"/>
                <w:color w:val="auto"/>
              </w:rPr>
              <w:t>Division</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1.08</w:t>
            </w:r>
          </w:p>
        </w:tc>
        <w:tc>
          <w:tcPr>
            <w:tcW w:w="6920" w:type="dxa"/>
            <w:vAlign w:val="bottom"/>
          </w:tcPr>
          <w:p>
            <w:pPr>
              <w:ind w:left="220"/>
              <w:spacing w:after="0"/>
              <w:rPr>
                <w:sz w:val="20"/>
                <w:szCs w:val="20"/>
                <w:color w:val="auto"/>
              </w:rPr>
            </w:pPr>
            <w:r>
              <w:rPr>
                <w:rFonts w:ascii="Arial" w:cs="Arial" w:eastAsia="Arial" w:hAnsi="Arial"/>
                <w:sz w:val="18"/>
                <w:szCs w:val="18"/>
                <w:color w:val="auto"/>
              </w:rPr>
              <w:t>Foreign Currency; Exchange Rate</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1.09</w:t>
            </w:r>
          </w:p>
        </w:tc>
        <w:tc>
          <w:tcPr>
            <w:tcW w:w="6920" w:type="dxa"/>
            <w:vAlign w:val="bottom"/>
          </w:tcPr>
          <w:p>
            <w:pPr>
              <w:ind w:left="220"/>
              <w:spacing w:after="0"/>
              <w:rPr>
                <w:sz w:val="20"/>
                <w:szCs w:val="20"/>
                <w:color w:val="auto"/>
              </w:rPr>
            </w:pPr>
            <w:r>
              <w:rPr>
                <w:rFonts w:ascii="Arial" w:cs="Arial" w:eastAsia="Arial" w:hAnsi="Arial"/>
                <w:sz w:val="18"/>
                <w:szCs w:val="18"/>
                <w:color w:val="auto"/>
              </w:rPr>
              <w:t>Calculations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ARTICLE II</w:t>
            </w:r>
          </w:p>
        </w:tc>
        <w:tc>
          <w:tcPr>
            <w:tcW w:w="7480" w:type="dxa"/>
            <w:vAlign w:val="bottom"/>
            <w:gridSpan w:val="2"/>
          </w:tcPr>
          <w:p>
            <w:pPr>
              <w:ind w:left="160"/>
              <w:spacing w:after="0"/>
              <w:rPr>
                <w:sz w:val="20"/>
                <w:szCs w:val="20"/>
                <w:color w:val="auto"/>
              </w:rPr>
            </w:pPr>
            <w:r>
              <w:rPr>
                <w:rFonts w:ascii="Arial" w:cs="Arial" w:eastAsia="Arial" w:hAnsi="Arial"/>
                <w:sz w:val="18"/>
                <w:szCs w:val="18"/>
                <w:color w:val="auto"/>
              </w:rPr>
              <w:t>THE CREDITS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2.01</w:t>
            </w:r>
          </w:p>
        </w:tc>
        <w:tc>
          <w:tcPr>
            <w:tcW w:w="6920" w:type="dxa"/>
            <w:vAlign w:val="bottom"/>
          </w:tcPr>
          <w:p>
            <w:pPr>
              <w:ind w:left="220"/>
              <w:spacing w:after="0"/>
              <w:rPr>
                <w:sz w:val="20"/>
                <w:szCs w:val="20"/>
                <w:color w:val="auto"/>
              </w:rPr>
            </w:pPr>
            <w:r>
              <w:rPr>
                <w:rFonts w:ascii="Arial" w:cs="Arial" w:eastAsia="Arial" w:hAnsi="Arial"/>
                <w:sz w:val="18"/>
                <w:szCs w:val="18"/>
                <w:color w:val="auto"/>
              </w:rPr>
              <w:t>Commitments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2.02</w:t>
            </w:r>
          </w:p>
        </w:tc>
        <w:tc>
          <w:tcPr>
            <w:tcW w:w="6920" w:type="dxa"/>
            <w:vAlign w:val="bottom"/>
          </w:tcPr>
          <w:p>
            <w:pPr>
              <w:ind w:left="220"/>
              <w:spacing w:after="0"/>
              <w:rPr>
                <w:sz w:val="20"/>
                <w:szCs w:val="20"/>
                <w:color w:val="auto"/>
              </w:rPr>
            </w:pPr>
            <w:r>
              <w:rPr>
                <w:rFonts w:ascii="Arial" w:cs="Arial" w:eastAsia="Arial" w:hAnsi="Arial"/>
                <w:sz w:val="18"/>
                <w:szCs w:val="18"/>
                <w:color w:val="auto"/>
              </w:rPr>
              <w:t>Loans and Borrowings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2.03</w:t>
            </w:r>
          </w:p>
        </w:tc>
        <w:tc>
          <w:tcPr>
            <w:tcW w:w="6920" w:type="dxa"/>
            <w:vAlign w:val="bottom"/>
          </w:tcPr>
          <w:p>
            <w:pPr>
              <w:ind w:left="220"/>
              <w:spacing w:after="0"/>
              <w:rPr>
                <w:sz w:val="20"/>
                <w:szCs w:val="20"/>
                <w:color w:val="auto"/>
              </w:rPr>
            </w:pPr>
            <w:r>
              <w:rPr>
                <w:rFonts w:ascii="Arial" w:cs="Arial" w:eastAsia="Arial" w:hAnsi="Arial"/>
                <w:sz w:val="18"/>
                <w:szCs w:val="18"/>
                <w:color w:val="auto"/>
              </w:rPr>
              <w:t>Requests for Borrowings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2.04</w:t>
            </w:r>
          </w:p>
        </w:tc>
        <w:tc>
          <w:tcPr>
            <w:tcW w:w="6920" w:type="dxa"/>
            <w:vAlign w:val="bottom"/>
          </w:tcPr>
          <w:p>
            <w:pPr>
              <w:ind w:left="220"/>
              <w:spacing w:after="0"/>
              <w:rPr>
                <w:sz w:val="20"/>
                <w:szCs w:val="20"/>
                <w:color w:val="auto"/>
              </w:rPr>
            </w:pPr>
            <w:r>
              <w:rPr>
                <w:rFonts w:ascii="Arial" w:cs="Arial" w:eastAsia="Arial" w:hAnsi="Arial"/>
                <w:sz w:val="18"/>
                <w:szCs w:val="18"/>
                <w:color w:val="auto"/>
              </w:rPr>
              <w:t>Swingline Loans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2.05</w:t>
            </w:r>
          </w:p>
        </w:tc>
        <w:tc>
          <w:tcPr>
            <w:tcW w:w="6920" w:type="dxa"/>
            <w:vAlign w:val="bottom"/>
          </w:tcPr>
          <w:p>
            <w:pPr>
              <w:ind w:left="220"/>
              <w:spacing w:after="0"/>
              <w:rPr>
                <w:sz w:val="20"/>
                <w:szCs w:val="20"/>
                <w:color w:val="auto"/>
              </w:rPr>
            </w:pPr>
            <w:r>
              <w:rPr>
                <w:rFonts w:ascii="Arial" w:cs="Arial" w:eastAsia="Arial" w:hAnsi="Arial"/>
                <w:sz w:val="18"/>
                <w:szCs w:val="18"/>
                <w:color w:val="auto"/>
              </w:rPr>
              <w:t>[Reserved]</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2.06</w:t>
            </w:r>
          </w:p>
        </w:tc>
        <w:tc>
          <w:tcPr>
            <w:tcW w:w="6920" w:type="dxa"/>
            <w:vAlign w:val="bottom"/>
          </w:tcPr>
          <w:p>
            <w:pPr>
              <w:ind w:left="220"/>
              <w:spacing w:after="0"/>
              <w:rPr>
                <w:sz w:val="20"/>
                <w:szCs w:val="20"/>
                <w:color w:val="auto"/>
              </w:rPr>
            </w:pPr>
            <w:r>
              <w:rPr>
                <w:rFonts w:ascii="Arial" w:cs="Arial" w:eastAsia="Arial" w:hAnsi="Arial"/>
                <w:sz w:val="18"/>
                <w:szCs w:val="18"/>
                <w:color w:val="auto"/>
              </w:rPr>
              <w:t>Letters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2.07</w:t>
            </w:r>
          </w:p>
        </w:tc>
        <w:tc>
          <w:tcPr>
            <w:tcW w:w="6920" w:type="dxa"/>
            <w:vAlign w:val="bottom"/>
          </w:tcPr>
          <w:p>
            <w:pPr>
              <w:ind w:left="220"/>
              <w:spacing w:after="0"/>
              <w:rPr>
                <w:sz w:val="20"/>
                <w:szCs w:val="20"/>
                <w:color w:val="auto"/>
              </w:rPr>
            </w:pPr>
            <w:r>
              <w:rPr>
                <w:rFonts w:ascii="Arial" w:cs="Arial" w:eastAsia="Arial" w:hAnsi="Arial"/>
                <w:sz w:val="18"/>
                <w:szCs w:val="18"/>
                <w:color w:val="auto"/>
              </w:rPr>
              <w:t>Funding of Borrowings</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2.08</w:t>
            </w:r>
          </w:p>
        </w:tc>
        <w:tc>
          <w:tcPr>
            <w:tcW w:w="6920" w:type="dxa"/>
            <w:vAlign w:val="bottom"/>
          </w:tcPr>
          <w:p>
            <w:pPr>
              <w:ind w:left="220"/>
              <w:spacing w:after="0"/>
              <w:rPr>
                <w:sz w:val="20"/>
                <w:szCs w:val="20"/>
                <w:color w:val="auto"/>
              </w:rPr>
            </w:pPr>
            <w:r>
              <w:rPr>
                <w:rFonts w:ascii="Arial" w:cs="Arial" w:eastAsia="Arial" w:hAnsi="Arial"/>
                <w:sz w:val="18"/>
                <w:szCs w:val="18"/>
                <w:color w:val="auto"/>
              </w:rPr>
              <w:t>Interest Elections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2.09</w:t>
            </w:r>
          </w:p>
        </w:tc>
        <w:tc>
          <w:tcPr>
            <w:tcW w:w="6920" w:type="dxa"/>
            <w:vAlign w:val="bottom"/>
          </w:tcPr>
          <w:p>
            <w:pPr>
              <w:ind w:left="220"/>
              <w:spacing w:after="0"/>
              <w:rPr>
                <w:sz w:val="20"/>
                <w:szCs w:val="20"/>
                <w:color w:val="auto"/>
              </w:rPr>
            </w:pPr>
            <w:r>
              <w:rPr>
                <w:rFonts w:ascii="Arial" w:cs="Arial" w:eastAsia="Arial" w:hAnsi="Arial"/>
                <w:sz w:val="18"/>
                <w:szCs w:val="18"/>
                <w:color w:val="auto"/>
              </w:rPr>
              <w:t>Termination and Reduction of Commitments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2.10</w:t>
            </w:r>
          </w:p>
        </w:tc>
        <w:tc>
          <w:tcPr>
            <w:tcW w:w="6920" w:type="dxa"/>
            <w:vAlign w:val="bottom"/>
          </w:tcPr>
          <w:p>
            <w:pPr>
              <w:ind w:left="220"/>
              <w:spacing w:after="0"/>
              <w:rPr>
                <w:sz w:val="20"/>
                <w:szCs w:val="20"/>
                <w:color w:val="auto"/>
              </w:rPr>
            </w:pPr>
            <w:r>
              <w:rPr>
                <w:rFonts w:ascii="Arial" w:cs="Arial" w:eastAsia="Arial" w:hAnsi="Arial"/>
                <w:sz w:val="18"/>
                <w:szCs w:val="18"/>
                <w:color w:val="auto"/>
              </w:rPr>
              <w:t>Repayment of Loans; Evidence of Debt</w:t>
            </w: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2.11</w:t>
            </w:r>
          </w:p>
        </w:tc>
        <w:tc>
          <w:tcPr>
            <w:tcW w:w="6920" w:type="dxa"/>
            <w:vAlign w:val="bottom"/>
          </w:tcPr>
          <w:p>
            <w:pPr>
              <w:ind w:left="220"/>
              <w:spacing w:after="0"/>
              <w:rPr>
                <w:sz w:val="20"/>
                <w:szCs w:val="20"/>
                <w:color w:val="auto"/>
              </w:rPr>
            </w:pPr>
            <w:r>
              <w:rPr>
                <w:rFonts w:ascii="Arial" w:cs="Arial" w:eastAsia="Arial" w:hAnsi="Arial"/>
                <w:sz w:val="18"/>
                <w:szCs w:val="18"/>
                <w:color w:val="auto"/>
              </w:rPr>
              <w:t>Prepayment of Loans</w:t>
            </w:r>
          </w:p>
        </w:tc>
        <w:tc>
          <w:tcPr>
            <w:tcW w:w="2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2.12</w:t>
            </w:r>
          </w:p>
        </w:tc>
        <w:tc>
          <w:tcPr>
            <w:tcW w:w="6920" w:type="dxa"/>
            <w:vAlign w:val="bottom"/>
          </w:tcPr>
          <w:p>
            <w:pPr>
              <w:ind w:left="220"/>
              <w:spacing w:after="0"/>
              <w:rPr>
                <w:sz w:val="20"/>
                <w:szCs w:val="20"/>
                <w:color w:val="auto"/>
              </w:rPr>
            </w:pPr>
            <w:r>
              <w:rPr>
                <w:rFonts w:ascii="Arial" w:cs="Arial" w:eastAsia="Arial" w:hAnsi="Arial"/>
                <w:sz w:val="18"/>
                <w:szCs w:val="18"/>
                <w:color w:val="auto"/>
              </w:rPr>
              <w:t>Fees</w:t>
            </w:r>
          </w:p>
        </w:tc>
        <w:tc>
          <w:tcPr>
            <w:tcW w:w="2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2.13</w:t>
            </w:r>
          </w:p>
        </w:tc>
        <w:tc>
          <w:tcPr>
            <w:tcW w:w="692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2.14</w:t>
            </w:r>
          </w:p>
        </w:tc>
        <w:tc>
          <w:tcPr>
            <w:tcW w:w="6920" w:type="dxa"/>
            <w:vAlign w:val="bottom"/>
          </w:tcPr>
          <w:p>
            <w:pPr>
              <w:ind w:left="220"/>
              <w:spacing w:after="0"/>
              <w:rPr>
                <w:sz w:val="20"/>
                <w:szCs w:val="20"/>
                <w:color w:val="auto"/>
              </w:rPr>
            </w:pPr>
            <w:r>
              <w:rPr>
                <w:rFonts w:ascii="Arial" w:cs="Arial" w:eastAsia="Arial" w:hAnsi="Arial"/>
                <w:sz w:val="18"/>
                <w:szCs w:val="18"/>
                <w:color w:val="auto"/>
              </w:rPr>
              <w:t>Alternate Rate of Interest; Illegality</w:t>
            </w:r>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2.15</w:t>
            </w:r>
          </w:p>
        </w:tc>
        <w:tc>
          <w:tcPr>
            <w:tcW w:w="6920" w:type="dxa"/>
            <w:vAlign w:val="bottom"/>
          </w:tcPr>
          <w:p>
            <w:pPr>
              <w:ind w:left="220"/>
              <w:spacing w:after="0"/>
              <w:rPr>
                <w:sz w:val="20"/>
                <w:szCs w:val="20"/>
                <w:color w:val="auto"/>
              </w:rPr>
            </w:pPr>
            <w:r>
              <w:rPr>
                <w:rFonts w:ascii="Arial" w:cs="Arial" w:eastAsia="Arial" w:hAnsi="Arial"/>
                <w:sz w:val="18"/>
                <w:szCs w:val="18"/>
                <w:color w:val="auto"/>
              </w:rPr>
              <w:t>Increased Costs</w:t>
            </w:r>
          </w:p>
        </w:tc>
        <w:tc>
          <w:tcPr>
            <w:tcW w:w="2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2.16</w:t>
            </w:r>
          </w:p>
        </w:tc>
        <w:tc>
          <w:tcPr>
            <w:tcW w:w="6920" w:type="dxa"/>
            <w:vAlign w:val="bottom"/>
          </w:tcPr>
          <w:p>
            <w:pPr>
              <w:ind w:left="220"/>
              <w:spacing w:after="0"/>
              <w:rPr>
                <w:sz w:val="20"/>
                <w:szCs w:val="20"/>
                <w:color w:val="auto"/>
              </w:rPr>
            </w:pPr>
            <w:r>
              <w:rPr>
                <w:rFonts w:ascii="Arial" w:cs="Arial" w:eastAsia="Arial" w:hAnsi="Arial"/>
                <w:sz w:val="18"/>
                <w:szCs w:val="18"/>
                <w:color w:val="auto"/>
              </w:rPr>
              <w:t>Break Funding Payments</w:t>
            </w:r>
          </w:p>
        </w:tc>
        <w:tc>
          <w:tcPr>
            <w:tcW w:w="2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2.17</w:t>
            </w:r>
          </w:p>
        </w:tc>
        <w:tc>
          <w:tcPr>
            <w:tcW w:w="6920" w:type="dxa"/>
            <w:vAlign w:val="bottom"/>
          </w:tcPr>
          <w:p>
            <w:pPr>
              <w:ind w:left="220"/>
              <w:spacing w:after="0"/>
              <w:rPr>
                <w:sz w:val="20"/>
                <w:szCs w:val="20"/>
                <w:color w:val="auto"/>
              </w:rPr>
            </w:pPr>
            <w:r>
              <w:rPr>
                <w:rFonts w:ascii="Arial" w:cs="Arial" w:eastAsia="Arial" w:hAnsi="Arial"/>
                <w:sz w:val="18"/>
                <w:szCs w:val="18"/>
                <w:color w:val="auto"/>
              </w:rPr>
              <w:t>Withholding of Taxes; Gross-Up</w:t>
            </w:r>
          </w:p>
        </w:tc>
        <w:tc>
          <w:tcPr>
            <w:tcW w:w="2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2.18</w:t>
            </w:r>
          </w:p>
        </w:tc>
        <w:tc>
          <w:tcPr>
            <w:tcW w:w="6920" w:type="dxa"/>
            <w:vAlign w:val="bottom"/>
          </w:tcPr>
          <w:p>
            <w:pPr>
              <w:ind w:left="220"/>
              <w:spacing w:after="0"/>
              <w:rPr>
                <w:sz w:val="20"/>
                <w:szCs w:val="20"/>
                <w:color w:val="auto"/>
              </w:rPr>
            </w:pPr>
            <w:r>
              <w:rPr>
                <w:rFonts w:ascii="Arial" w:cs="Arial" w:eastAsia="Arial" w:hAnsi="Arial"/>
                <w:sz w:val="18"/>
                <w:szCs w:val="18"/>
                <w:color w:val="auto"/>
              </w:rPr>
              <w:t>Payments Generally; Allocation of Proceeds; Sharing of Setoffs</w:t>
            </w:r>
          </w:p>
        </w:tc>
        <w:tc>
          <w:tcPr>
            <w:tcW w:w="2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2.19</w:t>
            </w:r>
          </w:p>
        </w:tc>
        <w:tc>
          <w:tcPr>
            <w:tcW w:w="6920" w:type="dxa"/>
            <w:vAlign w:val="bottom"/>
          </w:tcPr>
          <w:p>
            <w:pPr>
              <w:ind w:left="220"/>
              <w:spacing w:after="0"/>
              <w:rPr>
                <w:sz w:val="20"/>
                <w:szCs w:val="20"/>
                <w:color w:val="auto"/>
              </w:rPr>
            </w:pPr>
            <w:r>
              <w:rPr>
                <w:rFonts w:ascii="Arial" w:cs="Arial" w:eastAsia="Arial" w:hAnsi="Arial"/>
                <w:sz w:val="18"/>
                <w:szCs w:val="18"/>
                <w:color w:val="auto"/>
              </w:rPr>
              <w:t>Mitigation Obligations; Replacement of Lenders</w:t>
            </w:r>
          </w:p>
        </w:tc>
        <w:tc>
          <w:tcPr>
            <w:tcW w:w="2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2.20</w:t>
            </w:r>
          </w:p>
        </w:tc>
        <w:tc>
          <w:tcPr>
            <w:tcW w:w="6920" w:type="dxa"/>
            <w:vAlign w:val="bottom"/>
          </w:tcPr>
          <w:p>
            <w:pPr>
              <w:ind w:left="220"/>
              <w:spacing w:after="0"/>
              <w:rPr>
                <w:sz w:val="20"/>
                <w:szCs w:val="20"/>
                <w:color w:val="auto"/>
              </w:rPr>
            </w:pPr>
            <w:r>
              <w:rPr>
                <w:rFonts w:ascii="Arial" w:cs="Arial" w:eastAsia="Arial" w:hAnsi="Arial"/>
                <w:sz w:val="18"/>
                <w:szCs w:val="18"/>
                <w:color w:val="auto"/>
              </w:rPr>
              <w:t>Defaulting Lenders</w:t>
            </w:r>
          </w:p>
        </w:tc>
        <w:tc>
          <w:tcPr>
            <w:tcW w:w="2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2.21</w:t>
            </w:r>
          </w:p>
        </w:tc>
        <w:tc>
          <w:tcPr>
            <w:tcW w:w="6920" w:type="dxa"/>
            <w:vAlign w:val="bottom"/>
          </w:tcPr>
          <w:p>
            <w:pPr>
              <w:ind w:left="220"/>
              <w:spacing w:after="0"/>
              <w:rPr>
                <w:sz w:val="20"/>
                <w:szCs w:val="20"/>
                <w:color w:val="auto"/>
              </w:rPr>
            </w:pPr>
            <w:r>
              <w:rPr>
                <w:rFonts w:ascii="Arial" w:cs="Arial" w:eastAsia="Arial" w:hAnsi="Arial"/>
                <w:sz w:val="18"/>
                <w:szCs w:val="18"/>
                <w:color w:val="auto"/>
              </w:rPr>
              <w:t>Returned Payments</w:t>
            </w:r>
          </w:p>
        </w:tc>
        <w:tc>
          <w:tcPr>
            <w:tcW w:w="2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65"/>
        </w:trPr>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tcPr>
          <w:p>
            <w:pPr>
              <w:ind w:left="3860"/>
              <w:spacing w:after="0"/>
              <w:rPr>
                <w:sz w:val="20"/>
                <w:szCs w:val="20"/>
                <w:color w:val="auto"/>
              </w:rPr>
            </w:pPr>
            <w:r>
              <w:rPr>
                <w:rFonts w:ascii="Arial" w:cs="Arial" w:eastAsia="Arial" w:hAnsi="Arial"/>
                <w:sz w:val="18"/>
                <w:szCs w:val="18"/>
                <w:color w:val="auto"/>
              </w:rPr>
              <w:t>i</w:t>
            </w:r>
          </w:p>
        </w:tc>
        <w:tc>
          <w:tcPr>
            <w:tcW w:w="24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2.22</w:t>
            </w:r>
          </w:p>
        </w:tc>
        <w:tc>
          <w:tcPr>
            <w:tcW w:w="6640" w:type="dxa"/>
            <w:vAlign w:val="bottom"/>
          </w:tcPr>
          <w:p>
            <w:pPr>
              <w:ind w:left="220"/>
              <w:spacing w:after="0"/>
              <w:rPr>
                <w:sz w:val="20"/>
                <w:szCs w:val="20"/>
                <w:color w:val="auto"/>
              </w:rPr>
            </w:pPr>
            <w:r>
              <w:rPr>
                <w:rFonts w:ascii="Arial" w:cs="Arial" w:eastAsia="Arial" w:hAnsi="Arial"/>
                <w:sz w:val="18"/>
                <w:szCs w:val="18"/>
                <w:color w:val="auto"/>
              </w:rPr>
              <w:t>Increase of Commitments</w:t>
            </w:r>
          </w:p>
        </w:tc>
        <w:tc>
          <w:tcPr>
            <w:tcW w:w="2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2.23</w:t>
            </w:r>
          </w:p>
        </w:tc>
        <w:tc>
          <w:tcPr>
            <w:tcW w:w="6640" w:type="dxa"/>
            <w:vAlign w:val="bottom"/>
          </w:tcPr>
          <w:p>
            <w:pPr>
              <w:ind w:left="220"/>
              <w:spacing w:after="0"/>
              <w:rPr>
                <w:sz w:val="20"/>
                <w:szCs w:val="20"/>
                <w:color w:val="auto"/>
              </w:rPr>
            </w:pPr>
            <w:r>
              <w:rPr>
                <w:rFonts w:ascii="Arial" w:cs="Arial" w:eastAsia="Arial" w:hAnsi="Arial"/>
                <w:sz w:val="18"/>
                <w:szCs w:val="18"/>
                <w:color w:val="auto"/>
              </w:rPr>
              <w:t>Banking Services and Swap Agreements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2.24</w:t>
            </w:r>
          </w:p>
        </w:tc>
        <w:tc>
          <w:tcPr>
            <w:tcW w:w="6640" w:type="dxa"/>
            <w:vAlign w:val="bottom"/>
          </w:tcPr>
          <w:p>
            <w:pPr>
              <w:ind w:left="220"/>
              <w:spacing w:after="0"/>
              <w:rPr>
                <w:sz w:val="20"/>
                <w:szCs w:val="20"/>
                <w:color w:val="auto"/>
              </w:rPr>
            </w:pPr>
            <w:r>
              <w:rPr>
                <w:rFonts w:ascii="Arial" w:cs="Arial" w:eastAsia="Arial" w:hAnsi="Arial"/>
                <w:sz w:val="18"/>
                <w:szCs w:val="18"/>
                <w:color w:val="auto"/>
              </w:rPr>
              <w:t>Amend and Extend Transactions</w:t>
            </w:r>
          </w:p>
        </w:tc>
        <w:tc>
          <w:tcPr>
            <w:tcW w:w="27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2.25</w:t>
            </w:r>
          </w:p>
        </w:tc>
        <w:tc>
          <w:tcPr>
            <w:tcW w:w="6640" w:type="dxa"/>
            <w:vAlign w:val="bottom"/>
          </w:tcPr>
          <w:p>
            <w:pPr>
              <w:ind w:left="220"/>
              <w:spacing w:after="0"/>
              <w:rPr>
                <w:sz w:val="20"/>
                <w:szCs w:val="20"/>
                <w:color w:val="auto"/>
              </w:rPr>
            </w:pPr>
            <w:r>
              <w:rPr>
                <w:rFonts w:ascii="Arial" w:cs="Arial" w:eastAsia="Arial" w:hAnsi="Arial"/>
                <w:sz w:val="18"/>
                <w:szCs w:val="18"/>
                <w:color w:val="auto"/>
              </w:rPr>
              <w:t>Benchmark Replacement Setting</w:t>
            </w:r>
          </w:p>
        </w:tc>
        <w:tc>
          <w:tcPr>
            <w:tcW w:w="27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3"/>
        </w:trPr>
        <w:tc>
          <w:tcPr>
            <w:tcW w:w="8260" w:type="dxa"/>
            <w:vAlign w:val="bottom"/>
            <w:gridSpan w:val="3"/>
          </w:tcPr>
          <w:p>
            <w:pPr>
              <w:spacing w:after="0"/>
              <w:rPr>
                <w:sz w:val="20"/>
                <w:szCs w:val="20"/>
                <w:color w:val="auto"/>
              </w:rPr>
            </w:pPr>
            <w:r>
              <w:rPr>
                <w:rFonts w:ascii="Arial" w:cs="Arial" w:eastAsia="Arial" w:hAnsi="Arial"/>
                <w:sz w:val="18"/>
                <w:szCs w:val="18"/>
                <w:color w:val="auto"/>
              </w:rPr>
              <w:t>ARTICLE III   REPRESENTATIONS AND WARRANTIES</w:t>
            </w: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3.01</w:t>
            </w:r>
          </w:p>
        </w:tc>
        <w:tc>
          <w:tcPr>
            <w:tcW w:w="6640" w:type="dxa"/>
            <w:vAlign w:val="bottom"/>
          </w:tcPr>
          <w:p>
            <w:pPr>
              <w:ind w:left="220"/>
              <w:spacing w:after="0"/>
              <w:rPr>
                <w:sz w:val="20"/>
                <w:szCs w:val="20"/>
                <w:color w:val="auto"/>
              </w:rPr>
            </w:pPr>
            <w:r>
              <w:rPr>
                <w:rFonts w:ascii="Arial" w:cs="Arial" w:eastAsia="Arial" w:hAnsi="Arial"/>
                <w:sz w:val="18"/>
                <w:szCs w:val="18"/>
                <w:color w:val="auto"/>
              </w:rPr>
              <w:t>Organization; Powers</w:t>
            </w: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3.02</w:t>
            </w:r>
          </w:p>
        </w:tc>
        <w:tc>
          <w:tcPr>
            <w:tcW w:w="6640" w:type="dxa"/>
            <w:vAlign w:val="bottom"/>
          </w:tcPr>
          <w:p>
            <w:pPr>
              <w:ind w:left="220"/>
              <w:spacing w:after="0"/>
              <w:rPr>
                <w:sz w:val="20"/>
                <w:szCs w:val="20"/>
                <w:color w:val="auto"/>
              </w:rPr>
            </w:pPr>
            <w:r>
              <w:rPr>
                <w:rFonts w:ascii="Arial" w:cs="Arial" w:eastAsia="Arial" w:hAnsi="Arial"/>
                <w:sz w:val="18"/>
                <w:szCs w:val="18"/>
                <w:color w:val="auto"/>
              </w:rPr>
              <w:t>Authorization; Enforceability</w:t>
            </w: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3.03</w:t>
            </w:r>
          </w:p>
        </w:tc>
        <w:tc>
          <w:tcPr>
            <w:tcW w:w="6640" w:type="dxa"/>
            <w:vAlign w:val="bottom"/>
          </w:tcPr>
          <w:p>
            <w:pPr>
              <w:ind w:left="220"/>
              <w:spacing w:after="0"/>
              <w:rPr>
                <w:sz w:val="20"/>
                <w:szCs w:val="20"/>
                <w:color w:val="auto"/>
              </w:rPr>
            </w:pPr>
            <w:r>
              <w:rPr>
                <w:rFonts w:ascii="Arial" w:cs="Arial" w:eastAsia="Arial" w:hAnsi="Arial"/>
                <w:sz w:val="18"/>
                <w:szCs w:val="18"/>
                <w:color w:val="auto"/>
              </w:rPr>
              <w:t>Governmental and Third Party Approvals; No Conflicts</w:t>
            </w:r>
          </w:p>
        </w:tc>
        <w:tc>
          <w:tcPr>
            <w:tcW w:w="2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3.04</w:t>
            </w:r>
          </w:p>
        </w:tc>
        <w:tc>
          <w:tcPr>
            <w:tcW w:w="6640" w:type="dxa"/>
            <w:vAlign w:val="bottom"/>
          </w:tcPr>
          <w:p>
            <w:pPr>
              <w:ind w:left="220"/>
              <w:spacing w:after="0"/>
              <w:rPr>
                <w:sz w:val="20"/>
                <w:szCs w:val="20"/>
                <w:color w:val="auto"/>
              </w:rPr>
            </w:pPr>
            <w:r>
              <w:rPr>
                <w:rFonts w:ascii="Arial" w:cs="Arial" w:eastAsia="Arial" w:hAnsi="Arial"/>
                <w:sz w:val="18"/>
                <w:szCs w:val="18"/>
                <w:color w:val="auto"/>
              </w:rPr>
              <w:t>Financial Condition; No Material Adverse Change</w:t>
            </w:r>
          </w:p>
        </w:tc>
        <w:tc>
          <w:tcPr>
            <w:tcW w:w="2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3.05</w:t>
            </w:r>
          </w:p>
        </w:tc>
        <w:tc>
          <w:tcPr>
            <w:tcW w:w="6640" w:type="dxa"/>
            <w:vAlign w:val="bottom"/>
          </w:tcPr>
          <w:p>
            <w:pPr>
              <w:ind w:left="220"/>
              <w:spacing w:after="0"/>
              <w:rPr>
                <w:sz w:val="20"/>
                <w:szCs w:val="20"/>
                <w:color w:val="auto"/>
              </w:rPr>
            </w:pPr>
            <w:r>
              <w:rPr>
                <w:rFonts w:ascii="Arial" w:cs="Arial" w:eastAsia="Arial" w:hAnsi="Arial"/>
                <w:sz w:val="18"/>
                <w:szCs w:val="18"/>
                <w:color w:val="auto"/>
              </w:rPr>
              <w:t>Properties, Permits, etc</w:t>
            </w:r>
          </w:p>
        </w:tc>
        <w:tc>
          <w:tcPr>
            <w:tcW w:w="2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3.06</w:t>
            </w:r>
          </w:p>
        </w:tc>
        <w:tc>
          <w:tcPr>
            <w:tcW w:w="6640" w:type="dxa"/>
            <w:vAlign w:val="bottom"/>
          </w:tcPr>
          <w:p>
            <w:pPr>
              <w:ind w:left="220"/>
              <w:spacing w:after="0"/>
              <w:rPr>
                <w:sz w:val="20"/>
                <w:szCs w:val="20"/>
                <w:color w:val="auto"/>
              </w:rPr>
            </w:pPr>
            <w:r>
              <w:rPr>
                <w:rFonts w:ascii="Arial" w:cs="Arial" w:eastAsia="Arial" w:hAnsi="Arial"/>
                <w:sz w:val="18"/>
                <w:szCs w:val="18"/>
                <w:color w:val="auto"/>
              </w:rPr>
              <w:t>Litigation and Environmental Matters</w:t>
            </w:r>
          </w:p>
        </w:tc>
        <w:tc>
          <w:tcPr>
            <w:tcW w:w="2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3.07</w:t>
            </w:r>
          </w:p>
        </w:tc>
        <w:tc>
          <w:tcPr>
            <w:tcW w:w="6640" w:type="dxa"/>
            <w:vAlign w:val="bottom"/>
          </w:tcPr>
          <w:p>
            <w:pPr>
              <w:ind w:left="220"/>
              <w:spacing w:after="0"/>
              <w:rPr>
                <w:sz w:val="20"/>
                <w:szCs w:val="20"/>
                <w:color w:val="auto"/>
              </w:rPr>
            </w:pPr>
            <w:r>
              <w:rPr>
                <w:rFonts w:ascii="Arial" w:cs="Arial" w:eastAsia="Arial" w:hAnsi="Arial"/>
                <w:sz w:val="18"/>
                <w:szCs w:val="18"/>
                <w:color w:val="auto"/>
              </w:rPr>
              <w:t>Compliance with Laws and Agreements; No Default</w:t>
            </w:r>
          </w:p>
        </w:tc>
        <w:tc>
          <w:tcPr>
            <w:tcW w:w="2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3.08</w:t>
            </w:r>
          </w:p>
        </w:tc>
        <w:tc>
          <w:tcPr>
            <w:tcW w:w="6640" w:type="dxa"/>
            <w:vAlign w:val="bottom"/>
          </w:tcPr>
          <w:p>
            <w:pPr>
              <w:ind w:left="220"/>
              <w:spacing w:after="0"/>
              <w:rPr>
                <w:sz w:val="20"/>
                <w:szCs w:val="20"/>
                <w:color w:val="auto"/>
              </w:rPr>
            </w:pPr>
            <w:r>
              <w:rPr>
                <w:rFonts w:ascii="Arial" w:cs="Arial" w:eastAsia="Arial" w:hAnsi="Arial"/>
                <w:sz w:val="18"/>
                <w:szCs w:val="18"/>
                <w:color w:val="auto"/>
              </w:rPr>
              <w:t>Investment Company Status</w:t>
            </w:r>
          </w:p>
        </w:tc>
        <w:tc>
          <w:tcPr>
            <w:tcW w:w="2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3.09</w:t>
            </w:r>
          </w:p>
        </w:tc>
        <w:tc>
          <w:tcPr>
            <w:tcW w:w="6640" w:type="dxa"/>
            <w:vAlign w:val="bottom"/>
          </w:tcPr>
          <w:p>
            <w:pPr>
              <w:ind w:left="220"/>
              <w:spacing w:after="0"/>
              <w:rPr>
                <w:sz w:val="20"/>
                <w:szCs w:val="20"/>
                <w:color w:val="auto"/>
              </w:rPr>
            </w:pPr>
            <w:r>
              <w:rPr>
                <w:rFonts w:ascii="Arial" w:cs="Arial" w:eastAsia="Arial" w:hAnsi="Arial"/>
                <w:sz w:val="18"/>
                <w:szCs w:val="18"/>
                <w:color w:val="auto"/>
              </w:rPr>
              <w:t>Taxes</w:t>
            </w:r>
          </w:p>
        </w:tc>
        <w:tc>
          <w:tcPr>
            <w:tcW w:w="2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3.10</w:t>
            </w:r>
          </w:p>
        </w:tc>
        <w:tc>
          <w:tcPr>
            <w:tcW w:w="6640" w:type="dxa"/>
            <w:vAlign w:val="bottom"/>
          </w:tcPr>
          <w:p>
            <w:pPr>
              <w:ind w:left="220"/>
              <w:spacing w:after="0"/>
              <w:rPr>
                <w:sz w:val="20"/>
                <w:szCs w:val="20"/>
                <w:color w:val="auto"/>
              </w:rPr>
            </w:pPr>
            <w:r>
              <w:rPr>
                <w:rFonts w:ascii="Arial" w:cs="Arial" w:eastAsia="Arial" w:hAnsi="Arial"/>
                <w:sz w:val="18"/>
                <w:szCs w:val="18"/>
                <w:color w:val="auto"/>
              </w:rPr>
              <w:t>ERISA</w:t>
            </w:r>
          </w:p>
        </w:tc>
        <w:tc>
          <w:tcPr>
            <w:tcW w:w="2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3.11</w:t>
            </w:r>
          </w:p>
        </w:tc>
        <w:tc>
          <w:tcPr>
            <w:tcW w:w="6640" w:type="dxa"/>
            <w:vAlign w:val="bottom"/>
          </w:tcPr>
          <w:p>
            <w:pPr>
              <w:ind w:left="220"/>
              <w:spacing w:after="0"/>
              <w:rPr>
                <w:sz w:val="20"/>
                <w:szCs w:val="20"/>
                <w:color w:val="auto"/>
              </w:rPr>
            </w:pPr>
            <w:r>
              <w:rPr>
                <w:rFonts w:ascii="Arial" w:cs="Arial" w:eastAsia="Arial" w:hAnsi="Arial"/>
                <w:sz w:val="18"/>
                <w:szCs w:val="18"/>
                <w:color w:val="auto"/>
              </w:rPr>
              <w:t>Disclosure</w:t>
            </w:r>
          </w:p>
        </w:tc>
        <w:tc>
          <w:tcPr>
            <w:tcW w:w="2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3.12</w:t>
            </w:r>
          </w:p>
        </w:tc>
        <w:tc>
          <w:tcPr>
            <w:tcW w:w="6640" w:type="dxa"/>
            <w:vAlign w:val="bottom"/>
          </w:tcPr>
          <w:p>
            <w:pPr>
              <w:ind w:left="220"/>
              <w:spacing w:after="0"/>
              <w:rPr>
                <w:sz w:val="20"/>
                <w:szCs w:val="20"/>
                <w:color w:val="auto"/>
              </w:rPr>
            </w:pPr>
            <w:r>
              <w:rPr>
                <w:rFonts w:ascii="Arial" w:cs="Arial" w:eastAsia="Arial" w:hAnsi="Arial"/>
                <w:sz w:val="18"/>
                <w:szCs w:val="18"/>
                <w:color w:val="auto"/>
              </w:rPr>
              <w:t>Capitalization and Subsidiaries</w:t>
            </w:r>
          </w:p>
        </w:tc>
        <w:tc>
          <w:tcPr>
            <w:tcW w:w="2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3.13</w:t>
            </w:r>
          </w:p>
        </w:tc>
        <w:tc>
          <w:tcPr>
            <w:tcW w:w="6640" w:type="dxa"/>
            <w:vAlign w:val="bottom"/>
          </w:tcPr>
          <w:p>
            <w:pPr>
              <w:ind w:left="220"/>
              <w:spacing w:after="0"/>
              <w:rPr>
                <w:sz w:val="20"/>
                <w:szCs w:val="20"/>
                <w:color w:val="auto"/>
              </w:rPr>
            </w:pPr>
            <w:r>
              <w:rPr>
                <w:rFonts w:ascii="Arial" w:cs="Arial" w:eastAsia="Arial" w:hAnsi="Arial"/>
                <w:sz w:val="18"/>
                <w:szCs w:val="18"/>
                <w:color w:val="auto"/>
              </w:rPr>
              <w:t>Security Interest in Collateral</w:t>
            </w:r>
          </w:p>
        </w:tc>
        <w:tc>
          <w:tcPr>
            <w:tcW w:w="2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3.14</w:t>
            </w:r>
          </w:p>
        </w:tc>
        <w:tc>
          <w:tcPr>
            <w:tcW w:w="6640" w:type="dxa"/>
            <w:vAlign w:val="bottom"/>
          </w:tcPr>
          <w:p>
            <w:pPr>
              <w:ind w:left="220"/>
              <w:spacing w:after="0"/>
              <w:rPr>
                <w:sz w:val="20"/>
                <w:szCs w:val="20"/>
                <w:color w:val="auto"/>
              </w:rPr>
            </w:pPr>
            <w:r>
              <w:rPr>
                <w:rFonts w:ascii="Arial" w:cs="Arial" w:eastAsia="Arial" w:hAnsi="Arial"/>
                <w:sz w:val="18"/>
                <w:szCs w:val="18"/>
                <w:color w:val="auto"/>
              </w:rPr>
              <w:t>Federal Reserve Regulations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3.15</w:t>
            </w:r>
          </w:p>
        </w:tc>
        <w:tc>
          <w:tcPr>
            <w:tcW w:w="6640" w:type="dxa"/>
            <w:vAlign w:val="bottom"/>
          </w:tcPr>
          <w:p>
            <w:pPr>
              <w:ind w:left="220"/>
              <w:spacing w:after="0"/>
              <w:rPr>
                <w:sz w:val="20"/>
                <w:szCs w:val="20"/>
                <w:color w:val="auto"/>
              </w:rPr>
            </w:pPr>
            <w:r>
              <w:rPr>
                <w:rFonts w:ascii="Arial" w:cs="Arial" w:eastAsia="Arial" w:hAnsi="Arial"/>
                <w:sz w:val="18"/>
                <w:szCs w:val="18"/>
                <w:color w:val="auto"/>
              </w:rPr>
              <w:t>Anti-Corruption Laws and Sanctions; USA Patriot Act</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3.16</w:t>
            </w:r>
          </w:p>
        </w:tc>
        <w:tc>
          <w:tcPr>
            <w:tcW w:w="6640" w:type="dxa"/>
            <w:vAlign w:val="bottom"/>
          </w:tcPr>
          <w:p>
            <w:pPr>
              <w:ind w:left="220"/>
              <w:spacing w:after="0"/>
              <w:rPr>
                <w:sz w:val="20"/>
                <w:szCs w:val="20"/>
                <w:color w:val="auto"/>
              </w:rPr>
            </w:pPr>
            <w:r>
              <w:rPr>
                <w:rFonts w:ascii="Arial" w:cs="Arial" w:eastAsia="Arial" w:hAnsi="Arial"/>
                <w:sz w:val="18"/>
                <w:szCs w:val="18"/>
                <w:color w:val="auto"/>
              </w:rPr>
              <w:t>Not an Affected Financial Institution</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3.17</w:t>
            </w:r>
          </w:p>
        </w:tc>
        <w:tc>
          <w:tcPr>
            <w:tcW w:w="6640" w:type="dxa"/>
            <w:vAlign w:val="bottom"/>
          </w:tcPr>
          <w:p>
            <w:pPr>
              <w:ind w:left="220"/>
              <w:spacing w:after="0"/>
              <w:rPr>
                <w:sz w:val="20"/>
                <w:szCs w:val="20"/>
                <w:color w:val="auto"/>
              </w:rPr>
            </w:pPr>
            <w:r>
              <w:rPr>
                <w:rFonts w:ascii="Arial" w:cs="Arial" w:eastAsia="Arial" w:hAnsi="Arial"/>
                <w:sz w:val="18"/>
                <w:szCs w:val="18"/>
                <w:color w:val="auto"/>
              </w:rPr>
              <w:t>Solvency</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3.18</w:t>
            </w:r>
          </w:p>
        </w:tc>
        <w:tc>
          <w:tcPr>
            <w:tcW w:w="6640" w:type="dxa"/>
            <w:vAlign w:val="bottom"/>
          </w:tcPr>
          <w:p>
            <w:pPr>
              <w:ind w:left="220"/>
              <w:spacing w:after="0"/>
              <w:rPr>
                <w:sz w:val="20"/>
                <w:szCs w:val="20"/>
                <w:color w:val="auto"/>
              </w:rPr>
            </w:pPr>
            <w:r>
              <w:rPr>
                <w:rFonts w:ascii="Arial" w:cs="Arial" w:eastAsia="Arial" w:hAnsi="Arial"/>
                <w:sz w:val="18"/>
                <w:szCs w:val="18"/>
                <w:color w:val="auto"/>
              </w:rPr>
              <w:t>Governmental Authorities</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84"/>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3.19</w:t>
            </w:r>
          </w:p>
        </w:tc>
        <w:tc>
          <w:tcPr>
            <w:tcW w:w="664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27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3.20</w:t>
            </w:r>
          </w:p>
        </w:tc>
        <w:tc>
          <w:tcPr>
            <w:tcW w:w="6640" w:type="dxa"/>
            <w:vAlign w:val="bottom"/>
          </w:tcPr>
          <w:p>
            <w:pPr>
              <w:ind w:left="220"/>
              <w:spacing w:after="0"/>
              <w:rPr>
                <w:sz w:val="20"/>
                <w:szCs w:val="20"/>
                <w:color w:val="auto"/>
              </w:rPr>
            </w:pPr>
            <w:r>
              <w:rPr>
                <w:rFonts w:ascii="Arial" w:cs="Arial" w:eastAsia="Arial" w:hAnsi="Arial"/>
                <w:sz w:val="18"/>
                <w:szCs w:val="18"/>
                <w:color w:val="auto"/>
              </w:rPr>
              <w:t>Employee Relations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3.21</w:t>
            </w:r>
          </w:p>
        </w:tc>
        <w:tc>
          <w:tcPr>
            <w:tcW w:w="6640" w:type="dxa"/>
            <w:vAlign w:val="bottom"/>
          </w:tcPr>
          <w:p>
            <w:pPr>
              <w:ind w:left="220"/>
              <w:spacing w:after="0"/>
              <w:rPr>
                <w:sz w:val="20"/>
                <w:szCs w:val="20"/>
                <w:color w:val="auto"/>
              </w:rPr>
            </w:pPr>
            <w:r>
              <w:rPr>
                <w:rFonts w:ascii="Arial" w:cs="Arial" w:eastAsia="Arial" w:hAnsi="Arial"/>
                <w:sz w:val="18"/>
                <w:szCs w:val="18"/>
                <w:color w:val="auto"/>
              </w:rPr>
              <w:t>Data Security; Privacy</w:t>
            </w:r>
          </w:p>
        </w:tc>
        <w:tc>
          <w:tcPr>
            <w:tcW w:w="27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ARTICLE IV</w:t>
            </w: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CONDITIONS</w:t>
            </w:r>
          </w:p>
        </w:tc>
        <w:tc>
          <w:tcPr>
            <w:tcW w:w="27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4.01</w:t>
            </w:r>
          </w:p>
        </w:tc>
        <w:tc>
          <w:tcPr>
            <w:tcW w:w="6640" w:type="dxa"/>
            <w:vAlign w:val="bottom"/>
          </w:tcPr>
          <w:p>
            <w:pPr>
              <w:ind w:left="220"/>
              <w:spacing w:after="0"/>
              <w:rPr>
                <w:sz w:val="20"/>
                <w:szCs w:val="20"/>
                <w:color w:val="auto"/>
              </w:rPr>
            </w:pPr>
            <w:r>
              <w:rPr>
                <w:rFonts w:ascii="Arial" w:cs="Arial" w:eastAsia="Arial" w:hAnsi="Arial"/>
                <w:sz w:val="18"/>
                <w:szCs w:val="18"/>
                <w:color w:val="auto"/>
              </w:rPr>
              <w:t>Conditions to Initial Loans</w:t>
            </w:r>
          </w:p>
        </w:tc>
        <w:tc>
          <w:tcPr>
            <w:tcW w:w="27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4.02</w:t>
            </w:r>
          </w:p>
        </w:tc>
        <w:tc>
          <w:tcPr>
            <w:tcW w:w="6640" w:type="dxa"/>
            <w:vAlign w:val="bottom"/>
          </w:tcPr>
          <w:p>
            <w:pPr>
              <w:ind w:left="220"/>
              <w:spacing w:after="0"/>
              <w:rPr>
                <w:sz w:val="20"/>
                <w:szCs w:val="20"/>
                <w:color w:val="auto"/>
              </w:rPr>
            </w:pPr>
            <w:r>
              <w:rPr>
                <w:rFonts w:ascii="Arial" w:cs="Arial" w:eastAsia="Arial" w:hAnsi="Arial"/>
                <w:sz w:val="18"/>
                <w:szCs w:val="18"/>
                <w:color w:val="auto"/>
              </w:rPr>
              <w:t>Each Credit Event</w:t>
            </w: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ARTICLE V</w:t>
            </w: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AFFIRMATIVE COVENANTS</w:t>
            </w: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5.01</w:t>
            </w:r>
          </w:p>
        </w:tc>
        <w:tc>
          <w:tcPr>
            <w:tcW w:w="6640" w:type="dxa"/>
            <w:vAlign w:val="bottom"/>
          </w:tcPr>
          <w:p>
            <w:pPr>
              <w:ind w:left="220"/>
              <w:spacing w:after="0"/>
              <w:rPr>
                <w:sz w:val="20"/>
                <w:szCs w:val="20"/>
                <w:color w:val="auto"/>
              </w:rPr>
            </w:pPr>
            <w:r>
              <w:rPr>
                <w:rFonts w:ascii="Arial" w:cs="Arial" w:eastAsia="Arial" w:hAnsi="Arial"/>
                <w:sz w:val="18"/>
                <w:szCs w:val="18"/>
                <w:color w:val="auto"/>
              </w:rPr>
              <w:t>Financial Statements and Other Information</w:t>
            </w: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3"/>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5.02</w:t>
            </w:r>
          </w:p>
        </w:tc>
        <w:tc>
          <w:tcPr>
            <w:tcW w:w="6640" w:type="dxa"/>
            <w:vAlign w:val="bottom"/>
          </w:tcPr>
          <w:p>
            <w:pPr>
              <w:ind w:left="220"/>
              <w:spacing w:after="0"/>
              <w:rPr>
                <w:sz w:val="20"/>
                <w:szCs w:val="20"/>
                <w:color w:val="auto"/>
              </w:rPr>
            </w:pPr>
            <w:r>
              <w:rPr>
                <w:rFonts w:ascii="Arial" w:cs="Arial" w:eastAsia="Arial" w:hAnsi="Arial"/>
                <w:sz w:val="18"/>
                <w:szCs w:val="18"/>
                <w:color w:val="auto"/>
              </w:rPr>
              <w:t>Notices of Material Events</w:t>
            </w:r>
          </w:p>
        </w:tc>
        <w:tc>
          <w:tcPr>
            <w:tcW w:w="27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65"/>
        </w:trPr>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40" w:type="dxa"/>
            <w:vAlign w:val="bottom"/>
          </w:tcPr>
          <w:p>
            <w:pPr>
              <w:ind w:left="3840"/>
              <w:spacing w:after="0"/>
              <w:rPr>
                <w:sz w:val="20"/>
                <w:szCs w:val="20"/>
                <w:color w:val="auto"/>
              </w:rPr>
            </w:pPr>
            <w:r>
              <w:rPr>
                <w:rFonts w:ascii="Arial" w:cs="Arial" w:eastAsia="Arial" w:hAnsi="Arial"/>
                <w:sz w:val="18"/>
                <w:szCs w:val="18"/>
                <w:color w:val="auto"/>
              </w:rPr>
              <w:t>ii</w:t>
            </w:r>
          </w:p>
        </w:tc>
        <w:tc>
          <w:tcPr>
            <w:tcW w:w="27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5.03</w:t>
            </w:r>
          </w:p>
        </w:tc>
        <w:tc>
          <w:tcPr>
            <w:tcW w:w="7020" w:type="dxa"/>
            <w:vAlign w:val="bottom"/>
          </w:tcPr>
          <w:p>
            <w:pPr>
              <w:ind w:left="200"/>
              <w:spacing w:after="0"/>
              <w:rPr>
                <w:sz w:val="20"/>
                <w:szCs w:val="20"/>
                <w:color w:val="auto"/>
              </w:rPr>
            </w:pPr>
            <w:r>
              <w:rPr>
                <w:rFonts w:ascii="Arial" w:cs="Arial" w:eastAsia="Arial" w:hAnsi="Arial"/>
                <w:sz w:val="18"/>
                <w:szCs w:val="18"/>
                <w:color w:val="auto"/>
              </w:rPr>
              <w:t>Existence; Conduct of Business</w:t>
            </w:r>
          </w:p>
        </w:tc>
        <w:tc>
          <w:tcPr>
            <w:tcW w:w="2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5.04</w:t>
            </w:r>
          </w:p>
        </w:tc>
        <w:tc>
          <w:tcPr>
            <w:tcW w:w="7020" w:type="dxa"/>
            <w:vAlign w:val="bottom"/>
          </w:tcPr>
          <w:p>
            <w:pPr>
              <w:ind w:left="200"/>
              <w:spacing w:after="0"/>
              <w:rPr>
                <w:sz w:val="20"/>
                <w:szCs w:val="20"/>
                <w:color w:val="auto"/>
              </w:rPr>
            </w:pPr>
            <w:r>
              <w:rPr>
                <w:rFonts w:ascii="Arial" w:cs="Arial" w:eastAsia="Arial" w:hAnsi="Arial"/>
                <w:sz w:val="18"/>
                <w:szCs w:val="18"/>
                <w:color w:val="auto"/>
              </w:rPr>
              <w:t>Payment of Taxes</w:t>
            </w:r>
          </w:p>
        </w:tc>
        <w:tc>
          <w:tcPr>
            <w:tcW w:w="2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5.05</w:t>
            </w:r>
          </w:p>
        </w:tc>
        <w:tc>
          <w:tcPr>
            <w:tcW w:w="7020" w:type="dxa"/>
            <w:vAlign w:val="bottom"/>
          </w:tcPr>
          <w:p>
            <w:pPr>
              <w:ind w:left="200"/>
              <w:spacing w:after="0"/>
              <w:rPr>
                <w:sz w:val="20"/>
                <w:szCs w:val="20"/>
                <w:color w:val="auto"/>
              </w:rPr>
            </w:pPr>
            <w:r>
              <w:rPr>
                <w:rFonts w:ascii="Arial" w:cs="Arial" w:eastAsia="Arial" w:hAnsi="Arial"/>
                <w:sz w:val="18"/>
                <w:szCs w:val="18"/>
                <w:color w:val="auto"/>
              </w:rPr>
              <w:t>Maintenance of Properties; Insurance; Casualty and Condemnation</w:t>
            </w:r>
          </w:p>
        </w:tc>
        <w:tc>
          <w:tcPr>
            <w:tcW w:w="2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5.06</w:t>
            </w:r>
          </w:p>
        </w:tc>
        <w:tc>
          <w:tcPr>
            <w:tcW w:w="7020" w:type="dxa"/>
            <w:vAlign w:val="bottom"/>
          </w:tcPr>
          <w:p>
            <w:pPr>
              <w:ind w:left="200"/>
              <w:spacing w:after="0"/>
              <w:rPr>
                <w:sz w:val="20"/>
                <w:szCs w:val="20"/>
                <w:color w:val="auto"/>
              </w:rPr>
            </w:pPr>
            <w:r>
              <w:rPr>
                <w:rFonts w:ascii="Arial" w:cs="Arial" w:eastAsia="Arial" w:hAnsi="Arial"/>
                <w:sz w:val="18"/>
                <w:szCs w:val="18"/>
                <w:color w:val="auto"/>
              </w:rPr>
              <w:t>Books and Records; Inspection Rights</w:t>
            </w:r>
          </w:p>
        </w:tc>
        <w:tc>
          <w:tcPr>
            <w:tcW w:w="2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84"/>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5.07</w:t>
            </w:r>
          </w:p>
        </w:tc>
        <w:tc>
          <w:tcPr>
            <w:tcW w:w="702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2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5.08</w:t>
            </w:r>
          </w:p>
        </w:tc>
        <w:tc>
          <w:tcPr>
            <w:tcW w:w="70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2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5.09</w:t>
            </w:r>
          </w:p>
        </w:tc>
        <w:tc>
          <w:tcPr>
            <w:tcW w:w="7020" w:type="dxa"/>
            <w:vAlign w:val="bottom"/>
          </w:tcPr>
          <w:p>
            <w:pPr>
              <w:ind w:left="200"/>
              <w:spacing w:after="0"/>
              <w:rPr>
                <w:sz w:val="20"/>
                <w:szCs w:val="20"/>
                <w:color w:val="auto"/>
              </w:rPr>
            </w:pPr>
            <w:r>
              <w:rPr>
                <w:rFonts w:ascii="Arial" w:cs="Arial" w:eastAsia="Arial" w:hAnsi="Arial"/>
                <w:sz w:val="18"/>
                <w:szCs w:val="18"/>
                <w:color w:val="auto"/>
              </w:rPr>
              <w:t>Additional Collateral; Further Assurances</w:t>
            </w:r>
          </w:p>
        </w:tc>
        <w:tc>
          <w:tcPr>
            <w:tcW w:w="2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5.10</w:t>
            </w:r>
          </w:p>
        </w:tc>
        <w:tc>
          <w:tcPr>
            <w:tcW w:w="7020" w:type="dxa"/>
            <w:vAlign w:val="bottom"/>
          </w:tcPr>
          <w:p>
            <w:pPr>
              <w:ind w:left="200"/>
              <w:spacing w:after="0"/>
              <w:rPr>
                <w:sz w:val="20"/>
                <w:szCs w:val="20"/>
                <w:color w:val="auto"/>
              </w:rPr>
            </w:pPr>
            <w:r>
              <w:rPr>
                <w:rFonts w:ascii="Arial" w:cs="Arial" w:eastAsia="Arial" w:hAnsi="Arial"/>
                <w:sz w:val="18"/>
                <w:szCs w:val="18"/>
                <w:color w:val="auto"/>
              </w:rPr>
              <w:t>Anti-Corruption Laws and Sanctions</w:t>
            </w:r>
          </w:p>
        </w:tc>
        <w:tc>
          <w:tcPr>
            <w:tcW w:w="2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5.11</w:t>
            </w:r>
          </w:p>
        </w:tc>
        <w:tc>
          <w:tcPr>
            <w:tcW w:w="7020" w:type="dxa"/>
            <w:vAlign w:val="bottom"/>
          </w:tcPr>
          <w:p>
            <w:pPr>
              <w:ind w:left="200"/>
              <w:spacing w:after="0"/>
              <w:rPr>
                <w:sz w:val="20"/>
                <w:szCs w:val="20"/>
                <w:color w:val="auto"/>
              </w:rPr>
            </w:pPr>
            <w:r>
              <w:rPr>
                <w:rFonts w:ascii="Arial" w:cs="Arial" w:eastAsia="Arial" w:hAnsi="Arial"/>
                <w:sz w:val="18"/>
                <w:szCs w:val="18"/>
                <w:color w:val="auto"/>
              </w:rPr>
              <w:t>Compliance with Environmental Laws</w:t>
            </w:r>
          </w:p>
        </w:tc>
        <w:tc>
          <w:tcPr>
            <w:tcW w:w="2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5.12</w:t>
            </w:r>
          </w:p>
        </w:tc>
        <w:tc>
          <w:tcPr>
            <w:tcW w:w="7020" w:type="dxa"/>
            <w:vAlign w:val="bottom"/>
          </w:tcPr>
          <w:p>
            <w:pPr>
              <w:ind w:left="200"/>
              <w:spacing w:after="0"/>
              <w:rPr>
                <w:sz w:val="20"/>
                <w:szCs w:val="20"/>
                <w:color w:val="auto"/>
              </w:rPr>
            </w:pPr>
            <w:r>
              <w:rPr>
                <w:rFonts w:ascii="Arial" w:cs="Arial" w:eastAsia="Arial" w:hAnsi="Arial"/>
                <w:sz w:val="18"/>
                <w:szCs w:val="18"/>
                <w:color w:val="auto"/>
              </w:rPr>
              <w:t>Intellectual Property</w:t>
            </w:r>
          </w:p>
        </w:tc>
        <w:tc>
          <w:tcPr>
            <w:tcW w:w="2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4"/>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5.13</w:t>
            </w:r>
          </w:p>
        </w:tc>
        <w:tc>
          <w:tcPr>
            <w:tcW w:w="7020" w:type="dxa"/>
            <w:vAlign w:val="bottom"/>
          </w:tcPr>
          <w:p>
            <w:pPr>
              <w:ind w:left="200"/>
              <w:spacing w:after="0"/>
              <w:rPr>
                <w:sz w:val="20"/>
                <w:szCs w:val="20"/>
                <w:color w:val="auto"/>
              </w:rPr>
            </w:pPr>
            <w:r>
              <w:rPr>
                <w:rFonts w:ascii="Arial" w:cs="Arial" w:eastAsia="Arial" w:hAnsi="Arial"/>
                <w:sz w:val="18"/>
                <w:szCs w:val="18"/>
                <w:color w:val="auto"/>
              </w:rPr>
              <w:t>ERISA</w:t>
            </w:r>
          </w:p>
        </w:tc>
        <w:tc>
          <w:tcPr>
            <w:tcW w:w="2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5.14</w:t>
            </w:r>
          </w:p>
        </w:tc>
        <w:tc>
          <w:tcPr>
            <w:tcW w:w="7020" w:type="dxa"/>
            <w:vAlign w:val="bottom"/>
          </w:tcPr>
          <w:p>
            <w:pPr>
              <w:ind w:left="200"/>
              <w:spacing w:after="0"/>
              <w:rPr>
                <w:sz w:val="20"/>
                <w:szCs w:val="20"/>
                <w:color w:val="auto"/>
              </w:rPr>
            </w:pPr>
            <w:r>
              <w:rPr>
                <w:rFonts w:ascii="Arial" w:cs="Arial" w:eastAsia="Arial" w:hAnsi="Arial"/>
                <w:sz w:val="18"/>
                <w:szCs w:val="18"/>
                <w:color w:val="auto"/>
              </w:rPr>
              <w:t>PCI Compliance; Data Security</w:t>
            </w:r>
          </w:p>
        </w:tc>
        <w:tc>
          <w:tcPr>
            <w:tcW w:w="2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ARTICLE VI</w:t>
            </w:r>
          </w:p>
        </w:tc>
        <w:tc>
          <w:tcPr>
            <w:tcW w:w="7500" w:type="dxa"/>
            <w:vAlign w:val="bottom"/>
            <w:gridSpan w:val="2"/>
          </w:tcPr>
          <w:p>
            <w:pPr>
              <w:ind w:left="60"/>
              <w:spacing w:after="0"/>
              <w:rPr>
                <w:sz w:val="20"/>
                <w:szCs w:val="20"/>
                <w:color w:val="auto"/>
              </w:rPr>
            </w:pPr>
            <w:r>
              <w:rPr>
                <w:rFonts w:ascii="Arial" w:cs="Arial" w:eastAsia="Arial" w:hAnsi="Arial"/>
                <w:sz w:val="18"/>
                <w:szCs w:val="18"/>
                <w:color w:val="auto"/>
              </w:rPr>
              <w:t>NEGATIVE COVENANTS</w:t>
            </w:r>
          </w:p>
        </w:tc>
        <w:tc>
          <w:tcPr>
            <w:tcW w:w="2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6.01</w:t>
            </w:r>
          </w:p>
        </w:tc>
        <w:tc>
          <w:tcPr>
            <w:tcW w:w="7020" w:type="dxa"/>
            <w:vAlign w:val="bottom"/>
          </w:tcPr>
          <w:p>
            <w:pPr>
              <w:ind w:left="200"/>
              <w:spacing w:after="0"/>
              <w:rPr>
                <w:sz w:val="20"/>
                <w:szCs w:val="20"/>
                <w:color w:val="auto"/>
              </w:rPr>
            </w:pPr>
            <w:r>
              <w:rPr>
                <w:rFonts w:ascii="Arial" w:cs="Arial" w:eastAsia="Arial" w:hAnsi="Arial"/>
                <w:sz w:val="18"/>
                <w:szCs w:val="18"/>
                <w:color w:val="auto"/>
              </w:rPr>
              <w:t>Indebtedness</w:t>
            </w:r>
          </w:p>
        </w:tc>
        <w:tc>
          <w:tcPr>
            <w:tcW w:w="2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6.02</w:t>
            </w:r>
          </w:p>
        </w:tc>
        <w:tc>
          <w:tcPr>
            <w:tcW w:w="7020" w:type="dxa"/>
            <w:vAlign w:val="bottom"/>
          </w:tcPr>
          <w:p>
            <w:pPr>
              <w:ind w:left="200"/>
              <w:spacing w:after="0"/>
              <w:rPr>
                <w:sz w:val="20"/>
                <w:szCs w:val="20"/>
                <w:color w:val="auto"/>
              </w:rPr>
            </w:pPr>
            <w:r>
              <w:rPr>
                <w:rFonts w:ascii="Arial" w:cs="Arial" w:eastAsia="Arial" w:hAnsi="Arial"/>
                <w:sz w:val="18"/>
                <w:szCs w:val="18"/>
                <w:color w:val="auto"/>
              </w:rPr>
              <w:t>Liens</w:t>
            </w:r>
          </w:p>
        </w:tc>
        <w:tc>
          <w:tcPr>
            <w:tcW w:w="2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6.03</w:t>
            </w:r>
          </w:p>
        </w:tc>
        <w:tc>
          <w:tcPr>
            <w:tcW w:w="7020" w:type="dxa"/>
            <w:vAlign w:val="bottom"/>
          </w:tcPr>
          <w:p>
            <w:pPr>
              <w:ind w:left="200"/>
              <w:spacing w:after="0"/>
              <w:rPr>
                <w:sz w:val="20"/>
                <w:szCs w:val="20"/>
                <w:color w:val="auto"/>
              </w:rPr>
            </w:pPr>
            <w:r>
              <w:rPr>
                <w:rFonts w:ascii="Arial" w:cs="Arial" w:eastAsia="Arial" w:hAnsi="Arial"/>
                <w:sz w:val="18"/>
                <w:szCs w:val="18"/>
                <w:color w:val="auto"/>
              </w:rPr>
              <w:t>Fundamental Changes</w:t>
            </w:r>
          </w:p>
        </w:tc>
        <w:tc>
          <w:tcPr>
            <w:tcW w:w="2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84"/>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6.04</w:t>
            </w:r>
          </w:p>
        </w:tc>
        <w:tc>
          <w:tcPr>
            <w:tcW w:w="7020" w:type="dxa"/>
            <w:vAlign w:val="bottom"/>
          </w:tcPr>
          <w:p>
            <w:pPr>
              <w:ind w:left="200"/>
              <w:spacing w:after="0"/>
              <w:rPr>
                <w:sz w:val="20"/>
                <w:szCs w:val="20"/>
                <w:color w:val="auto"/>
              </w:rPr>
            </w:pPr>
            <w:r>
              <w:rPr>
                <w:rFonts w:ascii="Arial" w:cs="Arial" w:eastAsia="Arial" w:hAnsi="Arial"/>
                <w:sz w:val="18"/>
                <w:szCs w:val="18"/>
                <w:color w:val="auto"/>
              </w:rPr>
              <w:t>Investments, Loans, Advances, Guarantees and Acquisitions</w:t>
            </w:r>
          </w:p>
        </w:tc>
        <w:tc>
          <w:tcPr>
            <w:tcW w:w="2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6.05</w:t>
            </w:r>
          </w:p>
        </w:tc>
        <w:tc>
          <w:tcPr>
            <w:tcW w:w="7020" w:type="dxa"/>
            <w:vAlign w:val="bottom"/>
          </w:tcPr>
          <w:p>
            <w:pPr>
              <w:ind w:left="200"/>
              <w:spacing w:after="0"/>
              <w:rPr>
                <w:sz w:val="20"/>
                <w:szCs w:val="20"/>
                <w:color w:val="auto"/>
              </w:rPr>
            </w:pPr>
            <w:r>
              <w:rPr>
                <w:rFonts w:ascii="Arial" w:cs="Arial" w:eastAsia="Arial" w:hAnsi="Arial"/>
                <w:sz w:val="18"/>
                <w:szCs w:val="18"/>
                <w:color w:val="auto"/>
              </w:rPr>
              <w:t>Asset Dispositions; Sale and Leaseback Transactions</w:t>
            </w:r>
          </w:p>
        </w:tc>
        <w:tc>
          <w:tcPr>
            <w:tcW w:w="2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6.06</w:t>
            </w:r>
          </w:p>
        </w:tc>
        <w:tc>
          <w:tcPr>
            <w:tcW w:w="7020" w:type="dxa"/>
            <w:vAlign w:val="bottom"/>
          </w:tcPr>
          <w:p>
            <w:pPr>
              <w:ind w:left="200"/>
              <w:spacing w:after="0"/>
              <w:rPr>
                <w:sz w:val="20"/>
                <w:szCs w:val="20"/>
                <w:color w:val="auto"/>
              </w:rPr>
            </w:pPr>
            <w:r>
              <w:rPr>
                <w:rFonts w:ascii="Arial" w:cs="Arial" w:eastAsia="Arial" w:hAnsi="Arial"/>
                <w:sz w:val="18"/>
                <w:szCs w:val="18"/>
                <w:color w:val="auto"/>
              </w:rPr>
              <w:t>Swap Agreements</w:t>
            </w:r>
          </w:p>
        </w:tc>
        <w:tc>
          <w:tcPr>
            <w:tcW w:w="2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6.07</w:t>
            </w:r>
          </w:p>
        </w:tc>
        <w:tc>
          <w:tcPr>
            <w:tcW w:w="7020" w:type="dxa"/>
            <w:vAlign w:val="bottom"/>
          </w:tcPr>
          <w:p>
            <w:pPr>
              <w:ind w:left="200"/>
              <w:spacing w:after="0"/>
              <w:rPr>
                <w:sz w:val="20"/>
                <w:szCs w:val="20"/>
                <w:color w:val="auto"/>
              </w:rPr>
            </w:pPr>
            <w:r>
              <w:rPr>
                <w:rFonts w:ascii="Arial" w:cs="Arial" w:eastAsia="Arial" w:hAnsi="Arial"/>
                <w:sz w:val="18"/>
                <w:szCs w:val="18"/>
                <w:color w:val="auto"/>
              </w:rPr>
              <w:t>Restricted Payments; Prepayments of Junior Debt</w:t>
            </w:r>
          </w:p>
        </w:tc>
        <w:tc>
          <w:tcPr>
            <w:tcW w:w="2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84"/>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6.08</w:t>
            </w:r>
          </w:p>
        </w:tc>
        <w:tc>
          <w:tcPr>
            <w:tcW w:w="7020" w:type="dxa"/>
            <w:vAlign w:val="bottom"/>
          </w:tcPr>
          <w:p>
            <w:pPr>
              <w:ind w:left="200"/>
              <w:spacing w:after="0"/>
              <w:rPr>
                <w:sz w:val="20"/>
                <w:szCs w:val="20"/>
                <w:color w:val="auto"/>
              </w:rPr>
            </w:pPr>
            <w:r>
              <w:rPr>
                <w:rFonts w:ascii="Arial" w:cs="Arial" w:eastAsia="Arial" w:hAnsi="Arial"/>
                <w:sz w:val="18"/>
                <w:szCs w:val="18"/>
                <w:color w:val="auto"/>
              </w:rPr>
              <w:t>Transactions with Affiliates</w:t>
            </w:r>
          </w:p>
        </w:tc>
        <w:tc>
          <w:tcPr>
            <w:tcW w:w="2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6.09</w:t>
            </w:r>
          </w:p>
        </w:tc>
        <w:tc>
          <w:tcPr>
            <w:tcW w:w="7020" w:type="dxa"/>
            <w:vAlign w:val="bottom"/>
          </w:tcPr>
          <w:p>
            <w:pPr>
              <w:ind w:left="200"/>
              <w:spacing w:after="0"/>
              <w:rPr>
                <w:sz w:val="20"/>
                <w:szCs w:val="20"/>
                <w:color w:val="auto"/>
              </w:rPr>
            </w:pPr>
            <w:r>
              <w:rPr>
                <w:rFonts w:ascii="Arial" w:cs="Arial" w:eastAsia="Arial" w:hAnsi="Arial"/>
                <w:sz w:val="18"/>
                <w:szCs w:val="18"/>
                <w:color w:val="auto"/>
              </w:rPr>
              <w:t>Restrictive Agreements</w:t>
            </w:r>
          </w:p>
        </w:tc>
        <w:tc>
          <w:tcPr>
            <w:tcW w:w="2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6.10</w:t>
            </w:r>
          </w:p>
        </w:tc>
        <w:tc>
          <w:tcPr>
            <w:tcW w:w="7020" w:type="dxa"/>
            <w:vAlign w:val="bottom"/>
          </w:tcPr>
          <w:p>
            <w:pPr>
              <w:ind w:left="200"/>
              <w:spacing w:after="0"/>
              <w:rPr>
                <w:sz w:val="20"/>
                <w:szCs w:val="20"/>
                <w:color w:val="auto"/>
              </w:rPr>
            </w:pPr>
            <w:r>
              <w:rPr>
                <w:rFonts w:ascii="Arial" w:cs="Arial" w:eastAsia="Arial" w:hAnsi="Arial"/>
                <w:sz w:val="18"/>
                <w:szCs w:val="18"/>
                <w:color w:val="auto"/>
              </w:rPr>
              <w:t>Amendment of Material Documents; End of Fiscal Years.</w:t>
            </w:r>
          </w:p>
        </w:tc>
        <w:tc>
          <w:tcPr>
            <w:tcW w:w="2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84"/>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6.11</w:t>
            </w:r>
          </w:p>
        </w:tc>
        <w:tc>
          <w:tcPr>
            <w:tcW w:w="7020" w:type="dxa"/>
            <w:vAlign w:val="bottom"/>
          </w:tcPr>
          <w:p>
            <w:pPr>
              <w:ind w:left="200"/>
              <w:spacing w:after="0"/>
              <w:rPr>
                <w:sz w:val="20"/>
                <w:szCs w:val="20"/>
                <w:color w:val="auto"/>
              </w:rPr>
            </w:pPr>
            <w:r>
              <w:rPr>
                <w:rFonts w:ascii="Arial" w:cs="Arial" w:eastAsia="Arial" w:hAnsi="Arial"/>
                <w:sz w:val="18"/>
                <w:szCs w:val="18"/>
                <w:color w:val="auto"/>
              </w:rPr>
              <w:t>Financial Covenant</w:t>
            </w:r>
          </w:p>
        </w:tc>
        <w:tc>
          <w:tcPr>
            <w:tcW w:w="2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6.12</w:t>
            </w:r>
          </w:p>
        </w:tc>
        <w:tc>
          <w:tcPr>
            <w:tcW w:w="7020" w:type="dxa"/>
            <w:vAlign w:val="bottom"/>
          </w:tcPr>
          <w:p>
            <w:pPr>
              <w:ind w:left="200"/>
              <w:spacing w:after="0"/>
              <w:rPr>
                <w:sz w:val="20"/>
                <w:szCs w:val="20"/>
                <w:color w:val="auto"/>
              </w:rPr>
            </w:pPr>
            <w:r>
              <w:rPr>
                <w:rFonts w:ascii="Arial" w:cs="Arial" w:eastAsia="Arial" w:hAnsi="Arial"/>
                <w:sz w:val="18"/>
                <w:szCs w:val="18"/>
                <w:color w:val="auto"/>
              </w:rPr>
              <w:t>ERISA</w:t>
            </w:r>
          </w:p>
        </w:tc>
        <w:tc>
          <w:tcPr>
            <w:tcW w:w="2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ARTICLE VII</w:t>
            </w:r>
          </w:p>
        </w:tc>
        <w:tc>
          <w:tcPr>
            <w:tcW w:w="7500" w:type="dxa"/>
            <w:vAlign w:val="bottom"/>
            <w:gridSpan w:val="2"/>
          </w:tcPr>
          <w:p>
            <w:pPr>
              <w:ind w:left="60"/>
              <w:spacing w:after="0"/>
              <w:rPr>
                <w:sz w:val="20"/>
                <w:szCs w:val="20"/>
                <w:color w:val="auto"/>
              </w:rPr>
            </w:pPr>
            <w:r>
              <w:rPr>
                <w:rFonts w:ascii="Arial" w:cs="Arial" w:eastAsia="Arial" w:hAnsi="Arial"/>
                <w:sz w:val="18"/>
                <w:szCs w:val="18"/>
                <w:color w:val="auto"/>
              </w:rPr>
              <w:t>EVENTS OF DEFAULT</w:t>
            </w:r>
          </w:p>
        </w:tc>
        <w:tc>
          <w:tcPr>
            <w:tcW w:w="2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84"/>
        </w:trPr>
        <w:tc>
          <w:tcPr>
            <w:tcW w:w="1160" w:type="dxa"/>
            <w:vAlign w:val="bottom"/>
          </w:tcPr>
          <w:p>
            <w:pPr>
              <w:spacing w:after="0"/>
              <w:rPr>
                <w:sz w:val="20"/>
                <w:szCs w:val="20"/>
                <w:color w:val="auto"/>
              </w:rPr>
            </w:pPr>
            <w:r>
              <w:rPr>
                <w:rFonts w:ascii="Arial" w:cs="Arial" w:eastAsia="Arial" w:hAnsi="Arial"/>
                <w:sz w:val="18"/>
                <w:szCs w:val="18"/>
                <w:color w:val="auto"/>
              </w:rPr>
              <w:t>ARTICLE VIII</w:t>
            </w: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THE ADMINISTRATIVE AGENT</w:t>
            </w:r>
          </w:p>
        </w:tc>
        <w:tc>
          <w:tcPr>
            <w:tcW w:w="2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8.01</w:t>
            </w:r>
          </w:p>
        </w:tc>
        <w:tc>
          <w:tcPr>
            <w:tcW w:w="7020" w:type="dxa"/>
            <w:vAlign w:val="bottom"/>
          </w:tcPr>
          <w:p>
            <w:pPr>
              <w:ind w:left="200"/>
              <w:spacing w:after="0"/>
              <w:rPr>
                <w:sz w:val="20"/>
                <w:szCs w:val="20"/>
                <w:color w:val="auto"/>
              </w:rPr>
            </w:pPr>
            <w:r>
              <w:rPr>
                <w:rFonts w:ascii="Arial" w:cs="Arial" w:eastAsia="Arial" w:hAnsi="Arial"/>
                <w:sz w:val="18"/>
                <w:szCs w:val="18"/>
                <w:color w:val="auto"/>
              </w:rPr>
              <w:t>Appointment</w:t>
            </w:r>
          </w:p>
        </w:tc>
        <w:tc>
          <w:tcPr>
            <w:tcW w:w="2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8.02</w:t>
            </w:r>
          </w:p>
        </w:tc>
        <w:tc>
          <w:tcPr>
            <w:tcW w:w="7020" w:type="dxa"/>
            <w:vAlign w:val="bottom"/>
          </w:tcPr>
          <w:p>
            <w:pPr>
              <w:ind w:left="200"/>
              <w:spacing w:after="0"/>
              <w:rPr>
                <w:sz w:val="20"/>
                <w:szCs w:val="20"/>
                <w:color w:val="auto"/>
              </w:rPr>
            </w:pPr>
            <w:r>
              <w:rPr>
                <w:rFonts w:ascii="Arial" w:cs="Arial" w:eastAsia="Arial" w:hAnsi="Arial"/>
                <w:sz w:val="18"/>
                <w:szCs w:val="18"/>
                <w:color w:val="auto"/>
              </w:rPr>
              <w:t>Rights as a Lender</w:t>
            </w:r>
          </w:p>
        </w:tc>
        <w:tc>
          <w:tcPr>
            <w:tcW w:w="2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84"/>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8.03</w:t>
            </w:r>
          </w:p>
        </w:tc>
        <w:tc>
          <w:tcPr>
            <w:tcW w:w="7020" w:type="dxa"/>
            <w:vAlign w:val="bottom"/>
          </w:tcPr>
          <w:p>
            <w:pPr>
              <w:ind w:left="200"/>
              <w:spacing w:after="0"/>
              <w:rPr>
                <w:sz w:val="20"/>
                <w:szCs w:val="20"/>
                <w:color w:val="auto"/>
              </w:rPr>
            </w:pPr>
            <w:r>
              <w:rPr>
                <w:rFonts w:ascii="Arial" w:cs="Arial" w:eastAsia="Arial" w:hAnsi="Arial"/>
                <w:sz w:val="18"/>
                <w:szCs w:val="18"/>
                <w:color w:val="auto"/>
              </w:rPr>
              <w:t>Duties and Obligations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8.04</w:t>
            </w:r>
          </w:p>
        </w:tc>
        <w:tc>
          <w:tcPr>
            <w:tcW w:w="7020" w:type="dxa"/>
            <w:vAlign w:val="bottom"/>
          </w:tcPr>
          <w:p>
            <w:pPr>
              <w:ind w:left="200"/>
              <w:spacing w:after="0"/>
              <w:rPr>
                <w:sz w:val="20"/>
                <w:szCs w:val="20"/>
                <w:color w:val="auto"/>
              </w:rPr>
            </w:pPr>
            <w:r>
              <w:rPr>
                <w:rFonts w:ascii="Arial" w:cs="Arial" w:eastAsia="Arial" w:hAnsi="Arial"/>
                <w:sz w:val="18"/>
                <w:szCs w:val="18"/>
                <w:color w:val="auto"/>
              </w:rPr>
              <w:t>Reliance</w:t>
            </w:r>
          </w:p>
        </w:tc>
        <w:tc>
          <w:tcPr>
            <w:tcW w:w="2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83"/>
        </w:trPr>
        <w:tc>
          <w:tcPr>
            <w:tcW w:w="1640" w:type="dxa"/>
            <w:vAlign w:val="bottom"/>
            <w:gridSpan w:val="2"/>
          </w:tcPr>
          <w:p>
            <w:pPr>
              <w:ind w:left="540"/>
              <w:spacing w:after="0"/>
              <w:rPr>
                <w:sz w:val="20"/>
                <w:szCs w:val="20"/>
                <w:color w:val="auto"/>
              </w:rPr>
            </w:pPr>
            <w:r>
              <w:rPr>
                <w:rFonts w:ascii="Arial" w:cs="Arial" w:eastAsia="Arial" w:hAnsi="Arial"/>
                <w:sz w:val="18"/>
                <w:szCs w:val="18"/>
                <w:color w:val="auto"/>
              </w:rPr>
              <w:t>Section 8.05</w:t>
            </w:r>
          </w:p>
        </w:tc>
        <w:tc>
          <w:tcPr>
            <w:tcW w:w="7020" w:type="dxa"/>
            <w:vAlign w:val="bottom"/>
          </w:tcPr>
          <w:p>
            <w:pPr>
              <w:ind w:left="200"/>
              <w:spacing w:after="0"/>
              <w:rPr>
                <w:sz w:val="20"/>
                <w:szCs w:val="20"/>
                <w:color w:val="auto"/>
              </w:rPr>
            </w:pPr>
            <w:r>
              <w:rPr>
                <w:rFonts w:ascii="Arial" w:cs="Arial" w:eastAsia="Arial" w:hAnsi="Arial"/>
                <w:sz w:val="18"/>
                <w:szCs w:val="18"/>
                <w:color w:val="auto"/>
              </w:rPr>
              <w:t>Actions through Sub-Agents</w:t>
            </w:r>
          </w:p>
        </w:tc>
        <w:tc>
          <w:tcPr>
            <w:tcW w:w="2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65"/>
        </w:trPr>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20" w:type="dxa"/>
            <w:vAlign w:val="bottom"/>
          </w:tcPr>
          <w:p>
            <w:pPr>
              <w:ind w:left="3780"/>
              <w:spacing w:after="0"/>
              <w:rPr>
                <w:sz w:val="20"/>
                <w:szCs w:val="20"/>
                <w:color w:val="auto"/>
              </w:rPr>
            </w:pPr>
            <w:r>
              <w:rPr>
                <w:rFonts w:ascii="Arial" w:cs="Arial" w:eastAsia="Arial" w:hAnsi="Arial"/>
                <w:sz w:val="18"/>
                <w:szCs w:val="18"/>
                <w:color w:val="auto"/>
              </w:rPr>
              <w:t>iii</w:t>
            </w:r>
          </w:p>
        </w:tc>
        <w:tc>
          <w:tcPr>
            <w:tcW w:w="2280" w:type="dxa"/>
            <w:vAlign w:val="bottom"/>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8.06</w:t>
            </w:r>
          </w:p>
        </w:tc>
        <w:tc>
          <w:tcPr>
            <w:tcW w:w="7900" w:type="dxa"/>
            <w:vAlign w:val="bottom"/>
          </w:tcPr>
          <w:p>
            <w:pPr>
              <w:ind w:left="160"/>
              <w:spacing w:after="0"/>
              <w:rPr>
                <w:sz w:val="20"/>
                <w:szCs w:val="20"/>
                <w:color w:val="auto"/>
              </w:rPr>
            </w:pPr>
            <w:r>
              <w:rPr>
                <w:rFonts w:ascii="Arial" w:cs="Arial" w:eastAsia="Arial" w:hAnsi="Arial"/>
                <w:sz w:val="18"/>
                <w:szCs w:val="18"/>
                <w:color w:val="auto"/>
              </w:rPr>
              <w:t>Resignation</w:t>
            </w:r>
          </w:p>
        </w:tc>
        <w:tc>
          <w:tcPr>
            <w:tcW w:w="1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8.07</w:t>
            </w:r>
          </w:p>
        </w:tc>
        <w:tc>
          <w:tcPr>
            <w:tcW w:w="7900" w:type="dxa"/>
            <w:vAlign w:val="bottom"/>
          </w:tcPr>
          <w:p>
            <w:pPr>
              <w:ind w:left="160"/>
              <w:spacing w:after="0"/>
              <w:rPr>
                <w:sz w:val="20"/>
                <w:szCs w:val="20"/>
                <w:color w:val="auto"/>
              </w:rPr>
            </w:pPr>
            <w:r>
              <w:rPr>
                <w:rFonts w:ascii="Arial" w:cs="Arial" w:eastAsia="Arial" w:hAnsi="Arial"/>
                <w:sz w:val="18"/>
                <w:szCs w:val="18"/>
                <w:color w:val="auto"/>
              </w:rPr>
              <w:t>Non-Reliance</w:t>
            </w: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8.08</w:t>
            </w:r>
          </w:p>
        </w:tc>
        <w:tc>
          <w:tcPr>
            <w:tcW w:w="7900" w:type="dxa"/>
            <w:vAlign w:val="bottom"/>
          </w:tcPr>
          <w:p>
            <w:pPr>
              <w:ind w:left="160"/>
              <w:spacing w:after="0"/>
              <w:rPr>
                <w:sz w:val="20"/>
                <w:szCs w:val="20"/>
                <w:color w:val="auto"/>
              </w:rPr>
            </w:pPr>
            <w:r>
              <w:rPr>
                <w:rFonts w:ascii="Arial" w:cs="Arial" w:eastAsia="Arial" w:hAnsi="Arial"/>
                <w:sz w:val="18"/>
                <w:szCs w:val="18"/>
                <w:color w:val="auto"/>
              </w:rPr>
              <w:t>Not Partners or Co-Venturers; Administrative Agent as Representative of the Secured Parties</w:t>
            </w:r>
          </w:p>
        </w:tc>
        <w:tc>
          <w:tcPr>
            <w:tcW w:w="13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8.09</w:t>
            </w:r>
          </w:p>
        </w:tc>
        <w:tc>
          <w:tcPr>
            <w:tcW w:w="7900" w:type="dxa"/>
            <w:vAlign w:val="bottom"/>
          </w:tcPr>
          <w:p>
            <w:pPr>
              <w:ind w:left="160"/>
              <w:spacing w:after="0"/>
              <w:rPr>
                <w:sz w:val="20"/>
                <w:szCs w:val="20"/>
                <w:color w:val="auto"/>
              </w:rPr>
            </w:pPr>
            <w:r>
              <w:rPr>
                <w:rFonts w:ascii="Arial" w:cs="Arial" w:eastAsia="Arial" w:hAnsi="Arial"/>
                <w:sz w:val="18"/>
                <w:szCs w:val="18"/>
                <w:color w:val="auto"/>
              </w:rPr>
              <w:t>Lenders Not Subject to ERISA</w:t>
            </w:r>
          </w:p>
        </w:tc>
        <w:tc>
          <w:tcPr>
            <w:tcW w:w="13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84"/>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8.10</w:t>
            </w:r>
          </w:p>
        </w:tc>
        <w:tc>
          <w:tcPr>
            <w:tcW w:w="7900" w:type="dxa"/>
            <w:vAlign w:val="bottom"/>
          </w:tcPr>
          <w:p>
            <w:pPr>
              <w:ind w:left="160"/>
              <w:spacing w:after="0"/>
              <w:rPr>
                <w:sz w:val="20"/>
                <w:szCs w:val="20"/>
                <w:color w:val="auto"/>
              </w:rPr>
            </w:pPr>
            <w:r>
              <w:rPr>
                <w:rFonts w:ascii="Arial" w:cs="Arial" w:eastAsia="Arial" w:hAnsi="Arial"/>
                <w:sz w:val="18"/>
                <w:szCs w:val="18"/>
                <w:color w:val="auto"/>
              </w:rPr>
              <w:t>Erroneous Payment</w:t>
            </w: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ARTICLE IX</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MISCELLANEOUS</w:t>
            </w:r>
          </w:p>
        </w:tc>
        <w:tc>
          <w:tcPr>
            <w:tcW w:w="13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9.01</w:t>
            </w:r>
          </w:p>
        </w:tc>
        <w:tc>
          <w:tcPr>
            <w:tcW w:w="7900" w:type="dxa"/>
            <w:vAlign w:val="bottom"/>
          </w:tcPr>
          <w:p>
            <w:pPr>
              <w:ind w:left="160"/>
              <w:spacing w:after="0"/>
              <w:rPr>
                <w:sz w:val="20"/>
                <w:szCs w:val="20"/>
                <w:color w:val="auto"/>
              </w:rPr>
            </w:pPr>
            <w:r>
              <w:rPr>
                <w:rFonts w:ascii="Arial" w:cs="Arial" w:eastAsia="Arial" w:hAnsi="Arial"/>
                <w:sz w:val="18"/>
                <w:szCs w:val="18"/>
                <w:color w:val="auto"/>
              </w:rPr>
              <w:t>Notices</w:t>
            </w:r>
          </w:p>
        </w:tc>
        <w:tc>
          <w:tcPr>
            <w:tcW w:w="13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9.02</w:t>
            </w:r>
          </w:p>
        </w:tc>
        <w:tc>
          <w:tcPr>
            <w:tcW w:w="7900" w:type="dxa"/>
            <w:vAlign w:val="bottom"/>
          </w:tcPr>
          <w:p>
            <w:pPr>
              <w:ind w:left="160"/>
              <w:spacing w:after="0"/>
              <w:rPr>
                <w:sz w:val="20"/>
                <w:szCs w:val="20"/>
                <w:color w:val="auto"/>
              </w:rPr>
            </w:pPr>
            <w:r>
              <w:rPr>
                <w:rFonts w:ascii="Arial" w:cs="Arial" w:eastAsia="Arial" w:hAnsi="Arial"/>
                <w:sz w:val="18"/>
                <w:szCs w:val="18"/>
                <w:color w:val="auto"/>
              </w:rPr>
              <w:t>Waivers; Amendments</w:t>
            </w:r>
          </w:p>
        </w:tc>
        <w:tc>
          <w:tcPr>
            <w:tcW w:w="13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9.03</w:t>
            </w:r>
          </w:p>
        </w:tc>
        <w:tc>
          <w:tcPr>
            <w:tcW w:w="7900" w:type="dxa"/>
            <w:vAlign w:val="bottom"/>
          </w:tcPr>
          <w:p>
            <w:pPr>
              <w:ind w:left="160"/>
              <w:spacing w:after="0"/>
              <w:rPr>
                <w:sz w:val="20"/>
                <w:szCs w:val="20"/>
                <w:color w:val="auto"/>
              </w:rPr>
            </w:pPr>
            <w:r>
              <w:rPr>
                <w:rFonts w:ascii="Arial" w:cs="Arial" w:eastAsia="Arial" w:hAnsi="Arial"/>
                <w:sz w:val="18"/>
                <w:szCs w:val="18"/>
                <w:color w:val="auto"/>
              </w:rPr>
              <w:t>Expenses; Indemnity; Damage Waiver</w:t>
            </w:r>
          </w:p>
        </w:tc>
        <w:tc>
          <w:tcPr>
            <w:tcW w:w="13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9.04</w:t>
            </w:r>
          </w:p>
        </w:tc>
        <w:tc>
          <w:tcPr>
            <w:tcW w:w="790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84"/>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9.05</w:t>
            </w:r>
          </w:p>
        </w:tc>
        <w:tc>
          <w:tcPr>
            <w:tcW w:w="7900" w:type="dxa"/>
            <w:vAlign w:val="bottom"/>
          </w:tcPr>
          <w:p>
            <w:pPr>
              <w:ind w:left="160"/>
              <w:spacing w:after="0"/>
              <w:rPr>
                <w:sz w:val="20"/>
                <w:szCs w:val="20"/>
                <w:color w:val="auto"/>
              </w:rPr>
            </w:pPr>
            <w:r>
              <w:rPr>
                <w:rFonts w:ascii="Arial" w:cs="Arial" w:eastAsia="Arial" w:hAnsi="Arial"/>
                <w:sz w:val="18"/>
                <w:szCs w:val="18"/>
                <w:color w:val="auto"/>
              </w:rPr>
              <w:t>Survival</w:t>
            </w: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9.06</w:t>
            </w:r>
          </w:p>
        </w:tc>
        <w:tc>
          <w:tcPr>
            <w:tcW w:w="7900" w:type="dxa"/>
            <w:vAlign w:val="bottom"/>
          </w:tcPr>
          <w:p>
            <w:pPr>
              <w:ind w:left="160"/>
              <w:spacing w:after="0"/>
              <w:rPr>
                <w:sz w:val="20"/>
                <w:szCs w:val="20"/>
                <w:color w:val="auto"/>
              </w:rPr>
            </w:pPr>
            <w:r>
              <w:rPr>
                <w:rFonts w:ascii="Arial" w:cs="Arial" w:eastAsia="Arial" w:hAnsi="Arial"/>
                <w:sz w:val="18"/>
                <w:szCs w:val="18"/>
                <w:color w:val="auto"/>
              </w:rPr>
              <w:t>Counterparts; Integration; Effectiveness; Electronic Execution</w:t>
            </w:r>
          </w:p>
        </w:tc>
        <w:tc>
          <w:tcPr>
            <w:tcW w:w="13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9.07</w:t>
            </w:r>
          </w:p>
        </w:tc>
        <w:tc>
          <w:tcPr>
            <w:tcW w:w="790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9.08</w:t>
            </w:r>
          </w:p>
        </w:tc>
        <w:tc>
          <w:tcPr>
            <w:tcW w:w="7900" w:type="dxa"/>
            <w:vAlign w:val="bottom"/>
          </w:tcPr>
          <w:p>
            <w:pPr>
              <w:ind w:left="160"/>
              <w:spacing w:after="0"/>
              <w:rPr>
                <w:sz w:val="20"/>
                <w:szCs w:val="20"/>
                <w:color w:val="auto"/>
              </w:rPr>
            </w:pPr>
            <w:r>
              <w:rPr>
                <w:rFonts w:ascii="Arial" w:cs="Arial" w:eastAsia="Arial" w:hAnsi="Arial"/>
                <w:sz w:val="18"/>
                <w:szCs w:val="18"/>
                <w:color w:val="auto"/>
              </w:rPr>
              <w:t>Right of Setoff</w:t>
            </w:r>
          </w:p>
        </w:tc>
        <w:tc>
          <w:tcPr>
            <w:tcW w:w="13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9.09</w:t>
            </w:r>
          </w:p>
        </w:tc>
        <w:tc>
          <w:tcPr>
            <w:tcW w:w="7900" w:type="dxa"/>
            <w:vAlign w:val="bottom"/>
          </w:tcPr>
          <w:p>
            <w:pPr>
              <w:ind w:left="160"/>
              <w:spacing w:after="0"/>
              <w:rPr>
                <w:sz w:val="20"/>
                <w:szCs w:val="20"/>
                <w:color w:val="auto"/>
              </w:rPr>
            </w:pPr>
            <w:r>
              <w:rPr>
                <w:rFonts w:ascii="Arial" w:cs="Arial" w:eastAsia="Arial" w:hAnsi="Arial"/>
                <w:sz w:val="18"/>
                <w:szCs w:val="18"/>
                <w:color w:val="auto"/>
              </w:rPr>
              <w:t>Governing Law; Jurisdiction; Consent to Service of Process</w:t>
            </w:r>
          </w:p>
        </w:tc>
        <w:tc>
          <w:tcPr>
            <w:tcW w:w="13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9.10</w:t>
            </w:r>
          </w:p>
        </w:tc>
        <w:tc>
          <w:tcPr>
            <w:tcW w:w="7900" w:type="dxa"/>
            <w:vAlign w:val="bottom"/>
          </w:tcPr>
          <w:p>
            <w:pPr>
              <w:ind w:left="160"/>
              <w:spacing w:after="0"/>
              <w:rPr>
                <w:sz w:val="20"/>
                <w:szCs w:val="20"/>
                <w:color w:val="auto"/>
              </w:rPr>
            </w:pPr>
            <w:r>
              <w:rPr>
                <w:rFonts w:ascii="Arial" w:cs="Arial" w:eastAsia="Arial" w:hAnsi="Arial"/>
                <w:sz w:val="18"/>
                <w:szCs w:val="18"/>
                <w:color w:val="auto"/>
              </w:rPr>
              <w:t>WAIVER OF JURY TRIAL</w:t>
            </w:r>
          </w:p>
        </w:tc>
        <w:tc>
          <w:tcPr>
            <w:tcW w:w="13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84"/>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9.11</w:t>
            </w:r>
          </w:p>
        </w:tc>
        <w:tc>
          <w:tcPr>
            <w:tcW w:w="7900" w:type="dxa"/>
            <w:vAlign w:val="bottom"/>
          </w:tcPr>
          <w:p>
            <w:pPr>
              <w:ind w:left="160"/>
              <w:spacing w:after="0"/>
              <w:rPr>
                <w:sz w:val="20"/>
                <w:szCs w:val="20"/>
                <w:color w:val="auto"/>
              </w:rPr>
            </w:pPr>
            <w:r>
              <w:rPr>
                <w:rFonts w:ascii="Arial" w:cs="Arial" w:eastAsia="Arial" w:hAnsi="Arial"/>
                <w:sz w:val="18"/>
                <w:szCs w:val="18"/>
                <w:color w:val="auto"/>
              </w:rPr>
              <w:t>Headings</w:t>
            </w:r>
          </w:p>
        </w:tc>
        <w:tc>
          <w:tcPr>
            <w:tcW w:w="13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9.12</w:t>
            </w:r>
          </w:p>
        </w:tc>
        <w:tc>
          <w:tcPr>
            <w:tcW w:w="790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13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9.13</w:t>
            </w:r>
          </w:p>
        </w:tc>
        <w:tc>
          <w:tcPr>
            <w:tcW w:w="7900" w:type="dxa"/>
            <w:vAlign w:val="bottom"/>
          </w:tcPr>
          <w:p>
            <w:pPr>
              <w:ind w:left="160"/>
              <w:spacing w:after="0"/>
              <w:rPr>
                <w:sz w:val="20"/>
                <w:szCs w:val="20"/>
                <w:color w:val="auto"/>
              </w:rPr>
            </w:pPr>
            <w:r>
              <w:rPr>
                <w:rFonts w:ascii="Arial" w:cs="Arial" w:eastAsia="Arial" w:hAnsi="Arial"/>
                <w:sz w:val="18"/>
                <w:szCs w:val="18"/>
                <w:color w:val="auto"/>
              </w:rPr>
              <w:t>Several Obligations; Nonreliance; Violation of Law</w:t>
            </w: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9.14</w:t>
            </w:r>
          </w:p>
        </w:tc>
        <w:tc>
          <w:tcPr>
            <w:tcW w:w="7900" w:type="dxa"/>
            <w:vAlign w:val="bottom"/>
          </w:tcPr>
          <w:p>
            <w:pPr>
              <w:ind w:left="160"/>
              <w:spacing w:after="0"/>
              <w:rPr>
                <w:sz w:val="20"/>
                <w:szCs w:val="20"/>
                <w:color w:val="auto"/>
              </w:rPr>
            </w:pPr>
            <w:r>
              <w:rPr>
                <w:rFonts w:ascii="Arial" w:cs="Arial" w:eastAsia="Arial" w:hAnsi="Arial"/>
                <w:sz w:val="18"/>
                <w:szCs w:val="18"/>
                <w:color w:val="auto"/>
              </w:rPr>
              <w:t>USA PATRIOT Act</w:t>
            </w: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84"/>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9.15</w:t>
            </w:r>
          </w:p>
        </w:tc>
        <w:tc>
          <w:tcPr>
            <w:tcW w:w="7900" w:type="dxa"/>
            <w:vAlign w:val="bottom"/>
          </w:tcPr>
          <w:p>
            <w:pPr>
              <w:ind w:left="160"/>
              <w:spacing w:after="0"/>
              <w:rPr>
                <w:sz w:val="20"/>
                <w:szCs w:val="20"/>
                <w:color w:val="auto"/>
              </w:rPr>
            </w:pPr>
            <w:r>
              <w:rPr>
                <w:rFonts w:ascii="Arial" w:cs="Arial" w:eastAsia="Arial" w:hAnsi="Arial"/>
                <w:sz w:val="18"/>
                <w:szCs w:val="18"/>
                <w:color w:val="auto"/>
              </w:rPr>
              <w:t>Disclosure</w:t>
            </w: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9.16</w:t>
            </w:r>
          </w:p>
        </w:tc>
        <w:tc>
          <w:tcPr>
            <w:tcW w:w="7900" w:type="dxa"/>
            <w:vAlign w:val="bottom"/>
          </w:tcPr>
          <w:p>
            <w:pPr>
              <w:ind w:left="160"/>
              <w:spacing w:after="0"/>
              <w:rPr>
                <w:sz w:val="20"/>
                <w:szCs w:val="20"/>
                <w:color w:val="auto"/>
              </w:rPr>
            </w:pPr>
            <w:r>
              <w:rPr>
                <w:rFonts w:ascii="Arial" w:cs="Arial" w:eastAsia="Arial" w:hAnsi="Arial"/>
                <w:sz w:val="18"/>
                <w:szCs w:val="18"/>
                <w:color w:val="auto"/>
              </w:rPr>
              <w:t>Appointment for Perfection</w:t>
            </w: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9.17</w:t>
            </w:r>
          </w:p>
        </w:tc>
        <w:tc>
          <w:tcPr>
            <w:tcW w:w="7900" w:type="dxa"/>
            <w:vAlign w:val="bottom"/>
          </w:tcPr>
          <w:p>
            <w:pPr>
              <w:ind w:left="160"/>
              <w:spacing w:after="0"/>
              <w:rPr>
                <w:sz w:val="20"/>
                <w:szCs w:val="20"/>
                <w:color w:val="auto"/>
              </w:rPr>
            </w:pPr>
            <w:r>
              <w:rPr>
                <w:rFonts w:ascii="Arial" w:cs="Arial" w:eastAsia="Arial" w:hAnsi="Arial"/>
                <w:sz w:val="18"/>
                <w:szCs w:val="18"/>
                <w:color w:val="auto"/>
              </w:rPr>
              <w:t>Interest Rate Limitation</w:t>
            </w: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84"/>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9.18</w:t>
            </w:r>
          </w:p>
        </w:tc>
        <w:tc>
          <w:tcPr>
            <w:tcW w:w="7900" w:type="dxa"/>
            <w:vAlign w:val="bottom"/>
          </w:tcPr>
          <w:p>
            <w:pPr>
              <w:ind w:left="160"/>
              <w:spacing w:after="0"/>
              <w:rPr>
                <w:sz w:val="20"/>
                <w:szCs w:val="20"/>
                <w:color w:val="auto"/>
              </w:rPr>
            </w:pPr>
            <w:r>
              <w:rPr>
                <w:rFonts w:ascii="Arial" w:cs="Arial" w:eastAsia="Arial" w:hAnsi="Arial"/>
                <w:sz w:val="18"/>
                <w:szCs w:val="18"/>
                <w:color w:val="auto"/>
              </w:rPr>
              <w:t>No Advisory or Fiduciary Responsibility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9.19</w:t>
            </w:r>
          </w:p>
        </w:tc>
        <w:tc>
          <w:tcPr>
            <w:tcW w:w="7900" w:type="dxa"/>
            <w:vAlign w:val="bottom"/>
          </w:tcPr>
          <w:p>
            <w:pPr>
              <w:ind w:left="16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13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9.20</w:t>
            </w:r>
          </w:p>
        </w:tc>
        <w:tc>
          <w:tcPr>
            <w:tcW w:w="7900" w:type="dxa"/>
            <w:vAlign w:val="bottom"/>
          </w:tcPr>
          <w:p>
            <w:pPr>
              <w:ind w:left="160"/>
              <w:spacing w:after="0"/>
              <w:rPr>
                <w:sz w:val="20"/>
                <w:szCs w:val="20"/>
                <w:color w:val="auto"/>
              </w:rPr>
            </w:pPr>
            <w:r>
              <w:rPr>
                <w:rFonts w:ascii="Arial" w:cs="Arial" w:eastAsia="Arial" w:hAnsi="Arial"/>
                <w:sz w:val="18"/>
                <w:szCs w:val="18"/>
                <w:color w:val="auto"/>
              </w:rPr>
              <w:t>Acknowledgment Regarding any Supported QFCs</w:t>
            </w:r>
          </w:p>
        </w:tc>
        <w:tc>
          <w:tcPr>
            <w:tcW w:w="13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ARTICLE X</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LOAN GUARANTY</w:t>
            </w:r>
          </w:p>
        </w:tc>
        <w:tc>
          <w:tcPr>
            <w:tcW w:w="13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10.01</w:t>
            </w:r>
          </w:p>
        </w:tc>
        <w:tc>
          <w:tcPr>
            <w:tcW w:w="7900" w:type="dxa"/>
            <w:vAlign w:val="bottom"/>
          </w:tcPr>
          <w:p>
            <w:pPr>
              <w:ind w:left="160"/>
              <w:spacing w:after="0"/>
              <w:rPr>
                <w:sz w:val="20"/>
                <w:szCs w:val="20"/>
                <w:color w:val="auto"/>
              </w:rPr>
            </w:pPr>
            <w:r>
              <w:rPr>
                <w:rFonts w:ascii="Arial" w:cs="Arial" w:eastAsia="Arial" w:hAnsi="Arial"/>
                <w:sz w:val="18"/>
                <w:szCs w:val="18"/>
                <w:color w:val="auto"/>
              </w:rPr>
              <w:t>Guaranty</w:t>
            </w:r>
          </w:p>
        </w:tc>
        <w:tc>
          <w:tcPr>
            <w:tcW w:w="13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10.02</w:t>
            </w:r>
          </w:p>
        </w:tc>
        <w:tc>
          <w:tcPr>
            <w:tcW w:w="7900" w:type="dxa"/>
            <w:vAlign w:val="bottom"/>
          </w:tcPr>
          <w:p>
            <w:pPr>
              <w:ind w:left="160"/>
              <w:spacing w:after="0"/>
              <w:rPr>
                <w:sz w:val="20"/>
                <w:szCs w:val="20"/>
                <w:color w:val="auto"/>
              </w:rPr>
            </w:pPr>
            <w:r>
              <w:rPr>
                <w:rFonts w:ascii="Arial" w:cs="Arial" w:eastAsia="Arial" w:hAnsi="Arial"/>
                <w:sz w:val="18"/>
                <w:szCs w:val="18"/>
                <w:color w:val="auto"/>
              </w:rPr>
              <w:t>Guaranty of Payment</w:t>
            </w:r>
          </w:p>
        </w:tc>
        <w:tc>
          <w:tcPr>
            <w:tcW w:w="13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84"/>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10.03</w:t>
            </w:r>
          </w:p>
        </w:tc>
        <w:tc>
          <w:tcPr>
            <w:tcW w:w="7900" w:type="dxa"/>
            <w:vAlign w:val="bottom"/>
          </w:tcPr>
          <w:p>
            <w:pPr>
              <w:ind w:left="160"/>
              <w:spacing w:after="0"/>
              <w:rPr>
                <w:sz w:val="20"/>
                <w:szCs w:val="20"/>
                <w:color w:val="auto"/>
              </w:rPr>
            </w:pPr>
            <w:r>
              <w:rPr>
                <w:rFonts w:ascii="Arial" w:cs="Arial" w:eastAsia="Arial" w:hAnsi="Arial"/>
                <w:sz w:val="18"/>
                <w:szCs w:val="18"/>
                <w:color w:val="auto"/>
              </w:rPr>
              <w:t>No Discharge or Diminishment of Loan Guaranty</w:t>
            </w:r>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83"/>
        </w:trPr>
        <w:tc>
          <w:tcPr>
            <w:tcW w:w="1680" w:type="dxa"/>
            <w:vAlign w:val="bottom"/>
            <w:gridSpan w:val="2"/>
          </w:tcPr>
          <w:p>
            <w:pPr>
              <w:ind w:left="520"/>
              <w:spacing w:after="0"/>
              <w:rPr>
                <w:sz w:val="20"/>
                <w:szCs w:val="20"/>
                <w:color w:val="auto"/>
              </w:rPr>
            </w:pPr>
            <w:r>
              <w:rPr>
                <w:rFonts w:ascii="Arial" w:cs="Arial" w:eastAsia="Arial" w:hAnsi="Arial"/>
                <w:sz w:val="18"/>
                <w:szCs w:val="18"/>
                <w:color w:val="auto"/>
              </w:rPr>
              <w:t>Section 10.04</w:t>
            </w:r>
          </w:p>
        </w:tc>
        <w:tc>
          <w:tcPr>
            <w:tcW w:w="7900" w:type="dxa"/>
            <w:vAlign w:val="bottom"/>
          </w:tcPr>
          <w:p>
            <w:pPr>
              <w:ind w:left="160"/>
              <w:spacing w:after="0"/>
              <w:rPr>
                <w:sz w:val="20"/>
                <w:szCs w:val="20"/>
                <w:color w:val="auto"/>
              </w:rPr>
            </w:pPr>
            <w:r>
              <w:rPr>
                <w:rFonts w:ascii="Arial" w:cs="Arial" w:eastAsia="Arial" w:hAnsi="Arial"/>
                <w:sz w:val="18"/>
                <w:szCs w:val="18"/>
                <w:color w:val="auto"/>
              </w:rPr>
              <w:t>Defenses Waived</w:t>
            </w:r>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65"/>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900" w:type="dxa"/>
            <w:vAlign w:val="bottom"/>
          </w:tcPr>
          <w:p>
            <w:pPr>
              <w:ind w:left="3760"/>
              <w:spacing w:after="0"/>
              <w:rPr>
                <w:sz w:val="20"/>
                <w:szCs w:val="20"/>
                <w:color w:val="auto"/>
              </w:rPr>
            </w:pPr>
            <w:r>
              <w:rPr>
                <w:rFonts w:ascii="Arial" w:cs="Arial" w:eastAsia="Arial" w:hAnsi="Arial"/>
                <w:sz w:val="18"/>
                <w:szCs w:val="18"/>
                <w:color w:val="auto"/>
              </w:rPr>
              <w:t>iv</w:t>
            </w:r>
          </w:p>
        </w:tc>
        <w:tc>
          <w:tcPr>
            <w:tcW w:w="138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480" w:type="dxa"/>
            <w:vAlign w:val="bottom"/>
          </w:tcPr>
          <w:p>
            <w:pPr>
              <w:jc w:val="center"/>
              <w:ind w:right="4351"/>
              <w:spacing w:after="0"/>
              <w:rPr>
                <w:sz w:val="20"/>
                <w:szCs w:val="20"/>
                <w:color w:val="auto"/>
              </w:rPr>
            </w:pPr>
            <w:r>
              <w:rPr>
                <w:rFonts w:ascii="Arial" w:cs="Arial" w:eastAsia="Arial" w:hAnsi="Arial"/>
                <w:sz w:val="18"/>
                <w:szCs w:val="18"/>
                <w:b w:val="1"/>
                <w:bCs w:val="1"/>
                <w:color w:val="auto"/>
                <w:w w:val="98"/>
              </w:rPr>
              <w:t>TABLE OF CONTENTS</w:t>
            </w:r>
          </w:p>
        </w:tc>
      </w:tr>
      <w:tr>
        <w:trPr>
          <w:trHeight w:val="230"/>
        </w:trPr>
        <w:tc>
          <w:tcPr>
            <w:tcW w:w="11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480" w:type="dxa"/>
            <w:vAlign w:val="bottom"/>
          </w:tcPr>
          <w:p>
            <w:pPr>
              <w:jc w:val="center"/>
              <w:ind w:right="4351"/>
              <w:spacing w:after="0"/>
              <w:rPr>
                <w:sz w:val="20"/>
                <w:szCs w:val="20"/>
                <w:color w:val="auto"/>
              </w:rPr>
            </w:pPr>
            <w:r>
              <w:rPr>
                <w:rFonts w:ascii="Arial" w:cs="Arial" w:eastAsia="Arial" w:hAnsi="Arial"/>
                <w:sz w:val="18"/>
                <w:szCs w:val="18"/>
                <w:color w:val="auto"/>
                <w:w w:val="93"/>
              </w:rPr>
              <w:t>(continued)</w:t>
            </w:r>
          </w:p>
        </w:tc>
      </w:tr>
      <w:tr>
        <w:trPr>
          <w:trHeight w:val="283"/>
        </w:trPr>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10.05</w:t>
            </w:r>
          </w:p>
        </w:tc>
        <w:tc>
          <w:tcPr>
            <w:tcW w:w="2800" w:type="dxa"/>
            <w:vAlign w:val="bottom"/>
          </w:tcPr>
          <w:p>
            <w:pPr>
              <w:ind w:left="160"/>
              <w:spacing w:after="0"/>
              <w:rPr>
                <w:sz w:val="20"/>
                <w:szCs w:val="20"/>
                <w:color w:val="auto"/>
              </w:rPr>
            </w:pPr>
            <w:r>
              <w:rPr>
                <w:rFonts w:ascii="Arial" w:cs="Arial" w:eastAsia="Arial" w:hAnsi="Arial"/>
                <w:sz w:val="18"/>
                <w:szCs w:val="18"/>
                <w:color w:val="auto"/>
              </w:rPr>
              <w:t>Rights of Subrogation</w:t>
            </w:r>
          </w:p>
        </w:tc>
        <w:tc>
          <w:tcPr>
            <w:tcW w:w="6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Section 10.06</w:t>
            </w:r>
          </w:p>
        </w:tc>
        <w:tc>
          <w:tcPr>
            <w:tcW w:w="2800" w:type="dxa"/>
            <w:vAlign w:val="bottom"/>
          </w:tcPr>
          <w:p>
            <w:pPr>
              <w:ind w:left="160"/>
              <w:spacing w:after="0"/>
              <w:rPr>
                <w:sz w:val="20"/>
                <w:szCs w:val="20"/>
                <w:color w:val="auto"/>
              </w:rPr>
            </w:pPr>
            <w:r>
              <w:rPr>
                <w:rFonts w:ascii="Arial" w:cs="Arial" w:eastAsia="Arial" w:hAnsi="Arial"/>
                <w:sz w:val="18"/>
                <w:szCs w:val="18"/>
                <w:color w:val="auto"/>
                <w:w w:val="91"/>
              </w:rPr>
              <w:t>Reinstatement; Stay of Acceleration</w:t>
            </w:r>
          </w:p>
        </w:tc>
        <w:tc>
          <w:tcPr>
            <w:tcW w:w="6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Section 10.07</w:t>
            </w:r>
          </w:p>
        </w:tc>
        <w:tc>
          <w:tcPr>
            <w:tcW w:w="2800" w:type="dxa"/>
            <w:vAlign w:val="bottom"/>
          </w:tcPr>
          <w:p>
            <w:pPr>
              <w:ind w:left="160"/>
              <w:spacing w:after="0"/>
              <w:rPr>
                <w:sz w:val="20"/>
                <w:szCs w:val="20"/>
                <w:color w:val="auto"/>
              </w:rPr>
            </w:pPr>
            <w:r>
              <w:rPr>
                <w:rFonts w:ascii="Arial" w:cs="Arial" w:eastAsia="Arial" w:hAnsi="Arial"/>
                <w:sz w:val="18"/>
                <w:szCs w:val="18"/>
                <w:color w:val="auto"/>
              </w:rPr>
              <w:t>Information</w:t>
            </w:r>
          </w:p>
        </w:tc>
        <w:tc>
          <w:tcPr>
            <w:tcW w:w="6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Section 10.08</w:t>
            </w:r>
          </w:p>
        </w:tc>
        <w:tc>
          <w:tcPr>
            <w:tcW w:w="280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6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84"/>
        </w:trPr>
        <w:tc>
          <w:tcPr>
            <w:tcW w:w="1160" w:type="dxa"/>
            <w:vAlign w:val="bottom"/>
          </w:tcPr>
          <w:p>
            <w:pPr>
              <w:spacing w:after="0"/>
              <w:rPr>
                <w:sz w:val="20"/>
                <w:szCs w:val="20"/>
                <w:color w:val="auto"/>
              </w:rPr>
            </w:pPr>
            <w:r>
              <w:rPr>
                <w:rFonts w:ascii="Arial" w:cs="Arial" w:eastAsia="Arial" w:hAnsi="Arial"/>
                <w:sz w:val="18"/>
                <w:szCs w:val="18"/>
                <w:color w:val="auto"/>
              </w:rPr>
              <w:t>Section 10.09</w:t>
            </w:r>
          </w:p>
        </w:tc>
        <w:tc>
          <w:tcPr>
            <w:tcW w:w="2800" w:type="dxa"/>
            <w:vAlign w:val="bottom"/>
          </w:tcPr>
          <w:p>
            <w:pPr>
              <w:ind w:left="160"/>
              <w:spacing w:after="0"/>
              <w:rPr>
                <w:sz w:val="20"/>
                <w:szCs w:val="20"/>
                <w:color w:val="auto"/>
              </w:rPr>
            </w:pPr>
            <w:r>
              <w:rPr>
                <w:rFonts w:ascii="Arial" w:cs="Arial" w:eastAsia="Arial" w:hAnsi="Arial"/>
                <w:sz w:val="18"/>
                <w:szCs w:val="18"/>
                <w:color w:val="auto"/>
              </w:rPr>
              <w:t>[Reserved]</w:t>
            </w:r>
          </w:p>
        </w:tc>
        <w:tc>
          <w:tcPr>
            <w:tcW w:w="6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Section 10.10</w:t>
            </w:r>
          </w:p>
        </w:tc>
        <w:tc>
          <w:tcPr>
            <w:tcW w:w="2800" w:type="dxa"/>
            <w:vAlign w:val="bottom"/>
          </w:tcPr>
          <w:p>
            <w:pPr>
              <w:ind w:left="160"/>
              <w:spacing w:after="0"/>
              <w:rPr>
                <w:sz w:val="20"/>
                <w:szCs w:val="20"/>
                <w:color w:val="auto"/>
              </w:rPr>
            </w:pPr>
            <w:r>
              <w:rPr>
                <w:rFonts w:ascii="Arial" w:cs="Arial" w:eastAsia="Arial" w:hAnsi="Arial"/>
                <w:sz w:val="18"/>
                <w:szCs w:val="18"/>
                <w:color w:val="auto"/>
              </w:rPr>
              <w:t>Maximum Liability</w:t>
            </w:r>
          </w:p>
        </w:tc>
        <w:tc>
          <w:tcPr>
            <w:tcW w:w="6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Section 10.11</w:t>
            </w:r>
          </w:p>
        </w:tc>
        <w:tc>
          <w:tcPr>
            <w:tcW w:w="2800" w:type="dxa"/>
            <w:vAlign w:val="bottom"/>
          </w:tcPr>
          <w:p>
            <w:pPr>
              <w:ind w:left="160"/>
              <w:spacing w:after="0"/>
              <w:rPr>
                <w:sz w:val="20"/>
                <w:szCs w:val="20"/>
                <w:color w:val="auto"/>
              </w:rPr>
            </w:pPr>
            <w:r>
              <w:rPr>
                <w:rFonts w:ascii="Arial" w:cs="Arial" w:eastAsia="Arial" w:hAnsi="Arial"/>
                <w:sz w:val="18"/>
                <w:szCs w:val="18"/>
                <w:color w:val="auto"/>
              </w:rPr>
              <w:t>Contribution</w:t>
            </w:r>
          </w:p>
        </w:tc>
        <w:tc>
          <w:tcPr>
            <w:tcW w:w="6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Section 10.12</w:t>
            </w:r>
          </w:p>
        </w:tc>
        <w:tc>
          <w:tcPr>
            <w:tcW w:w="2800" w:type="dxa"/>
            <w:vAlign w:val="bottom"/>
          </w:tcPr>
          <w:p>
            <w:pPr>
              <w:ind w:left="160"/>
              <w:spacing w:after="0"/>
              <w:rPr>
                <w:sz w:val="20"/>
                <w:szCs w:val="20"/>
                <w:color w:val="auto"/>
              </w:rPr>
            </w:pPr>
            <w:r>
              <w:rPr>
                <w:rFonts w:ascii="Arial" w:cs="Arial" w:eastAsia="Arial" w:hAnsi="Arial"/>
                <w:sz w:val="18"/>
                <w:szCs w:val="18"/>
                <w:color w:val="auto"/>
              </w:rPr>
              <w:t>Liability Cumulative</w:t>
            </w:r>
          </w:p>
        </w:tc>
        <w:tc>
          <w:tcPr>
            <w:tcW w:w="6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Section 10.13</w:t>
            </w:r>
          </w:p>
        </w:tc>
        <w:tc>
          <w:tcPr>
            <w:tcW w:w="2800" w:type="dxa"/>
            <w:vAlign w:val="bottom"/>
          </w:tcPr>
          <w:p>
            <w:pPr>
              <w:ind w:left="160"/>
              <w:spacing w:after="0"/>
              <w:rPr>
                <w:sz w:val="20"/>
                <w:szCs w:val="20"/>
                <w:color w:val="auto"/>
              </w:rPr>
            </w:pPr>
            <w:r>
              <w:rPr>
                <w:rFonts w:ascii="Arial" w:cs="Arial" w:eastAsia="Arial" w:hAnsi="Arial"/>
                <w:sz w:val="18"/>
                <w:szCs w:val="18"/>
                <w:color w:val="auto"/>
              </w:rPr>
              <w:t>Keepwell</w:t>
            </w:r>
          </w:p>
        </w:tc>
        <w:tc>
          <w:tcPr>
            <w:tcW w:w="6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65"/>
        </w:trPr>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480" w:type="dxa"/>
            <w:vAlign w:val="bottom"/>
          </w:tcPr>
          <w:p>
            <w:pPr>
              <w:jc w:val="center"/>
              <w:ind w:right="4351"/>
              <w:spacing w:after="0"/>
              <w:rPr>
                <w:sz w:val="20"/>
                <w:szCs w:val="20"/>
                <w:color w:val="auto"/>
              </w:rPr>
            </w:pPr>
            <w:r>
              <w:rPr>
                <w:rFonts w:ascii="Arial" w:cs="Arial" w:eastAsia="Arial" w:hAnsi="Arial"/>
                <w:sz w:val="18"/>
                <w:szCs w:val="18"/>
                <w:color w:val="auto"/>
                <w:w w:val="88"/>
              </w:rPr>
              <w:t>v</w:t>
            </w:r>
          </w:p>
        </w:tc>
      </w:tr>
    </w:tbl>
    <w:p>
      <w:pPr>
        <w:sectPr>
          <w:pgSz w:w="11900" w:h="16838" w:orient="portrait"/>
          <w:cols w:equalWidth="0" w:num="1">
            <w:col w:w="10440"/>
          </w:cols>
          <w:pgMar w:left="960" w:top="270" w:right="4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Commitment Schedule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Schedule 3.12</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Capitalization and Subsidiaries</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Schedule 5.09</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Post-Closing Deliverables</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Schedule 6.01</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Existing Indebtedness</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Schedule 6.02</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Existing Liens</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Schedule 6.04</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Existing Investments</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Schedule 6.08</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Transactions with Affiliates</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w w:val="99"/>
              </w:rPr>
              <w:t>Schedule 6.09</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Restrictive Agreements</w:t>
            </w:r>
          </w:p>
        </w:tc>
      </w:tr>
      <w:tr>
        <w:trPr>
          <w:trHeight w:val="391"/>
        </w:trPr>
        <w:tc>
          <w:tcPr>
            <w:tcW w:w="116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460" w:type="dxa"/>
            <w:vAlign w:val="bottom"/>
          </w:tcPr>
          <w:p>
            <w:pPr>
              <w:spacing w:after="0"/>
              <w:rPr>
                <w:sz w:val="24"/>
                <w:szCs w:val="24"/>
                <w:color w:val="auto"/>
              </w:rPr>
            </w:pPr>
          </w:p>
        </w:tc>
        <w:tc>
          <w:tcPr>
            <w:tcW w:w="8080" w:type="dxa"/>
            <w:vAlign w:val="bottom"/>
          </w:tcPr>
          <w:p>
            <w:pPr>
              <w:spacing w:after="0"/>
              <w:rPr>
                <w:sz w:val="24"/>
                <w:szCs w:val="24"/>
                <w:color w:val="auto"/>
              </w:rPr>
            </w:pPr>
          </w:p>
        </w:tc>
      </w:tr>
      <w:tr>
        <w:trPr>
          <w:trHeight w:val="345"/>
        </w:trPr>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300" w:type="dxa"/>
            <w:vAlign w:val="bottom"/>
          </w:tcPr>
          <w:p>
            <w:pPr>
              <w:spacing w:after="0"/>
              <w:rPr>
                <w:sz w:val="24"/>
                <w:szCs w:val="24"/>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Form of Assignment and Assumption</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Form of Compliance Certificate</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Form of Joinder Agreement</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Form of Solvency Certificate</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Exhibit E - 1</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w w:val="93"/>
              </w:rPr>
              <w:t>U.S. Tax Certificate (For Foreign Lenders that are not Partnerships for U.S. Federal Income Tax Purposes)</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Exhibit E - 2</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w w:val="90"/>
              </w:rPr>
              <w:t>U.S. Tax Certificate (For Foreign Participants that are not Partnerships for U.S. Federal Income Tax Purposes)</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Exhibit E - 3</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w w:val="93"/>
              </w:rPr>
              <w:t>U.S. Tax Certificate (For Foreign Participants that are Partnerships for U.S. Federal Income Tax Purposes)</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Exhibit E - 4</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w w:val="96"/>
              </w:rPr>
              <w:t>U.S. Tax Certificate (For Foreign Lenders that are Partnerships for U.S. Federal Income Tax Purposes)</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Form of Borrowing Request</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Form of Notice of Continuation/Conversion</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Form of Swingline Request</w:t>
            </w: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Exhibit I</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Form of Promissory Note</w:t>
            </w:r>
          </w:p>
        </w:tc>
      </w:tr>
      <w:tr>
        <w:trPr>
          <w:trHeight w:val="729"/>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80" w:type="dxa"/>
            <w:vAlign w:val="bottom"/>
          </w:tcPr>
          <w:p>
            <w:pPr>
              <w:ind w:left="3820"/>
              <w:spacing w:after="0"/>
              <w:rPr>
                <w:sz w:val="20"/>
                <w:szCs w:val="20"/>
                <w:color w:val="auto"/>
              </w:rPr>
            </w:pPr>
            <w:r>
              <w:rPr>
                <w:rFonts w:ascii="Arial" w:cs="Arial" w:eastAsia="Arial" w:hAnsi="Arial"/>
                <w:sz w:val="18"/>
                <w:szCs w:val="18"/>
                <w:color w:val="auto"/>
              </w:rPr>
              <w:t>vi</w:t>
            </w:r>
          </w:p>
        </w:tc>
      </w:tr>
    </w:tbl>
    <w:p>
      <w:pPr>
        <w:sectPr>
          <w:pgSz w:w="11900" w:h="16838" w:orient="portrait"/>
          <w:cols w:equalWidth="0" w:num="1">
            <w:col w:w="10019"/>
          </w:cols>
          <w:pgMar w:left="440" w:top="274" w:right="1440" w:bottom="1440" w:gutter="0" w:footer="0" w:header="0"/>
        </w:sectPr>
      </w:pPr>
    </w:p>
    <w:bookmarkStart w:id="11" w:name="page12"/>
    <w:bookmarkEnd w:id="11"/>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CREDIT AGREEMENT, dated as of July 29, 2021 (as it may be amended, restated, amended and restated, supplemented, and/or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FLYWIRE CORPORATION, a Delaware corporation, as the Borrower, the other Loan Parties party hereto from time to time, the Lenders party hereto from time to time, the Issuing Banks party hereto from time to time, and CITIBANK, N.A., as the Administrative Agent.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hereto agree as follows:</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ARTICLE I</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Firm</w:t>
      </w:r>
      <w:r>
        <w:rPr>
          <w:rFonts w:ascii="Arial" w:cs="Arial" w:eastAsia="Arial" w:hAnsi="Arial"/>
          <w:sz w:val="18"/>
          <w:szCs w:val="18"/>
          <w:color w:val="auto"/>
        </w:rPr>
        <w:t>” means PricewaterhouseCoopers LLP, or any other independent registered public accounting firm of nationally recognized standing.</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xml:space="preserve">” means any transaction or series of related transactions for the purpose of or resulting, directly or indirectly, in (a) the acquisition of all or substantially all of the assets of a Person, or of any business or division of a Person, (b) the acquisition of in excess of 50% of the Equity Interests of any Person, or otherwise causing any Person to become a Subsidiary, or (c) a merger, amalgamation or consolidation or any other combination with another Person (other than a Person that is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Borrower or the applicable Subsidiary of the Borrower is the surviving entity.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2.22(a)(ii)</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Quick Ratio</w:t>
      </w:r>
      <w:r>
        <w:rPr>
          <w:rFonts w:ascii="Arial" w:cs="Arial" w:eastAsia="Arial" w:hAnsi="Arial"/>
          <w:sz w:val="16"/>
          <w:szCs w:val="16"/>
          <w:color w:val="auto"/>
        </w:rPr>
        <w:t>” means, at any date, the ratio of (i) Unrestricted Cash and Cash Equivalents plus accounts receivable of the Loan Parties that have been invoiced or in respect of which payment has been received calculated net of loss reserves to (ii) Consolidated Current Liabilities.</w:t>
      </w:r>
    </w:p>
    <w:p>
      <w:pPr>
        <w:spacing w:after="0" w:line="124"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with respect to any Eurodollar Borrowing for any Interest Period or for any ABR Borrowing, an interest rate </w:t>
      </w:r>
      <w:r>
        <w:rPr>
          <w:rFonts w:ascii="Arial" w:cs="Arial" w:eastAsia="Arial" w:hAnsi="Arial"/>
          <w:sz w:val="16"/>
          <w:szCs w:val="16"/>
          <w:i w:val="1"/>
          <w:iCs w:val="1"/>
          <w:color w:val="auto"/>
        </w:rPr>
        <w:t>per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annum </w:t>
      </w:r>
      <w:r>
        <w:rPr>
          <w:rFonts w:ascii="Arial" w:cs="Arial" w:eastAsia="Arial" w:hAnsi="Arial"/>
          <w:sz w:val="16"/>
          <w:szCs w:val="16"/>
          <w:color w:val="auto"/>
        </w:rPr>
        <w:t>(rounded upwards, if necessary, to the next 1/100 of 1%) equal to (a) the LIBO Rate for such Interest Period multiplied by (b) the Statutory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Reserve Rate;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Adjusted LIBO Rate is less than zero, it shall be deemed to be zero for purposes of this Agreement.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means Citibank, N.A., in its capacities as administrative agent and collateral agent for the Lenders hereunder.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ectPr>
          <w:pgSz w:w="11900" w:h="16838" w:orient="portrait"/>
          <w:cols w:equalWidth="0" w:num="1">
            <w:col w:w="10900"/>
          </w:cols>
          <w:pgMar w:left="440" w:top="274" w:right="559" w:bottom="1440" w:gutter="0" w:footer="0" w:header="0"/>
        </w:sectPr>
      </w:pPr>
    </w:p>
    <w:bookmarkStart w:id="12" w:name="page13"/>
    <w:bookmarkEnd w:id="12"/>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9.01(d)(ii)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Credit Exposure</w:t>
      </w:r>
      <w:r>
        <w:rPr>
          <w:rFonts w:ascii="Arial" w:cs="Arial" w:eastAsia="Arial" w:hAnsi="Arial"/>
          <w:sz w:val="18"/>
          <w:szCs w:val="18"/>
          <w:color w:val="auto"/>
        </w:rPr>
        <w:t>” means, at any time, the aggregate Credit Exposure of all the Lenders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introductory paragraph.</w:t>
      </w:r>
    </w:p>
    <w:p>
      <w:pPr>
        <w:spacing w:after="0" w:line="225" w:lineRule="exact"/>
        <w:rPr>
          <w:sz w:val="20"/>
          <w:szCs w:val="20"/>
          <w:color w:val="auto"/>
        </w:rPr>
      </w:pPr>
    </w:p>
    <w:p>
      <w:pPr>
        <w:ind w:right="40" w:firstLine="44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greatest of (a) the Prime Rate in effect on such day, (b) the Federal Funds Effective Rate in effect on such day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 and (c) the Adjusted LIBO Rate for a one month Interest Period on such day (or if such day is not a Business Day, the immediately preceding Business Day) plus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Adjusted LIBO Rate for any day shall be based on the rate appearing on the Reuters Screen LIBOR01 Page (or on any successor or substitute page) at approximately 11:00 a.m. London time on such day (without any rounding).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 If the Alternate Base Rate is being used as an alternate rate of interest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hereof, then the Alternate Base Rate shall be the greater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and shall be determined without reference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In the event that that the Alternate Base Rate is less than zero, it shall be deemed to be zero for purposes of this Agreement.</w:t>
      </w:r>
    </w:p>
    <w:p>
      <w:pPr>
        <w:spacing w:after="0" w:line="183"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(a) bribery and/or corruption and (b) terrorism financing and/or money laundering, including any applicable provision of the USA PATRIOT Act and The Currency and Foreign Transactions Reporting Act (also known as the “Bank Secrecy Act,” 31 U.S.C. §§ 5311-5330 and 12 U.S.C. §§ 1818(s), 1820(b) and 1951-1959).</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(a) with respect to Loans and LC Exposure, a percentage equal to a fraction the numerator of which is such Lender’s Commitment and the denominator of which is the aggregate Commitment of all Lenders (if the Commitments have terminated or expired, the Applicable Percentages shall be determined based upon such Lender’s share of the Aggregate Credit Exposure at that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when a Defaulting Lender shall exist, any such Defaulting Lender’s Commitment shall be disregarded in the calculation, and (b) with respect to the Aggregate Credit Exposure, a percentage based upon its share of the Aggregate Credit Exposure and the unused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when a Defaulting Lender shall exist, any such Defaulting Lender’s Aggregate Credit Exposure and Commitment shall be disregarded in the calculation.</w:t>
      </w:r>
    </w:p>
    <w:p>
      <w:pPr>
        <w:spacing w:after="0" w:line="17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for any day, with respect to any ABR Loan or Eurodollar Loan, or with respect to the commitment fees or letter of credit fees payable hereunder, as the case may be, the applicable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set forth below under the caption “Applicable Rate for Eurodollar Loans”, “Applicable Rate for ABR Loans” or “Commitment Fee Rate”, as the case may be, based upon the Borrower’s Liquidity as of the most recent determination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the delivery to the Administrative Agent,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of the Borrower’s consolidated financial information for the Borrower’s first fiscal quarter ending after the Effective Date, the “Applicable Rate” shall be the applicable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set forth below in Level II:</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Level</w:t>
            </w:r>
          </w:p>
        </w:tc>
        <w:tc>
          <w:tcPr>
            <w:tcW w:w="2100" w:type="dxa"/>
            <w:vAlign w:val="bottom"/>
            <w:vMerge w:val="restart"/>
          </w:tcPr>
          <w:p>
            <w:pPr>
              <w:spacing w:after="0"/>
              <w:rPr>
                <w:sz w:val="14"/>
                <w:szCs w:val="14"/>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Liquidity</w:t>
            </w: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Applicable Rate for</w:t>
            </w: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Applicable Rate for</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Commitment Fee Rate</w:t>
            </w:r>
          </w:p>
        </w:tc>
        <w:tc>
          <w:tcPr>
            <w:tcW w:w="0" w:type="dxa"/>
            <w:vAlign w:val="bottom"/>
          </w:tcPr>
          <w:p>
            <w:pPr>
              <w:spacing w:after="0"/>
              <w:rPr>
                <w:sz w:val="1"/>
                <w:szCs w:val="1"/>
                <w:color w:val="auto"/>
              </w:rPr>
            </w:pPr>
          </w:p>
        </w:tc>
      </w:tr>
      <w:tr>
        <w:trPr>
          <w:trHeight w:val="191"/>
        </w:trPr>
        <w:tc>
          <w:tcPr>
            <w:tcW w:w="340" w:type="dxa"/>
            <w:vAlign w:val="bottom"/>
            <w:tcBorders>
              <w:bottom w:val="single" w:sz="8" w:color="auto"/>
            </w:tcBorders>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Eurodollar Loans</w:t>
            </w: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ABR Loans</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Level I</w:t>
            </w:r>
          </w:p>
        </w:tc>
        <w:tc>
          <w:tcPr>
            <w:tcW w:w="21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³ $200,000,000</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1.750%</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0.750%</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0.250%</w:t>
            </w:r>
          </w:p>
        </w:tc>
        <w:tc>
          <w:tcPr>
            <w:tcW w:w="0" w:type="dxa"/>
            <w:vAlign w:val="bottom"/>
          </w:tcPr>
          <w:p>
            <w:pPr>
              <w:spacing w:after="0"/>
              <w:rPr>
                <w:sz w:val="1"/>
                <w:szCs w:val="1"/>
                <w:color w:val="auto"/>
              </w:rPr>
            </w:pPr>
          </w:p>
        </w:tc>
      </w:tr>
      <w:tr>
        <w:trPr>
          <w:trHeight w:val="202"/>
        </w:trPr>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Level II</w:t>
            </w:r>
          </w:p>
        </w:tc>
        <w:tc>
          <w:tcPr>
            <w:tcW w:w="2100" w:type="dxa"/>
            <w:vAlign w:val="bottom"/>
          </w:tcPr>
          <w:p>
            <w:pPr>
              <w:jc w:val="center"/>
              <w:spacing w:after="0" w:line="201" w:lineRule="exact"/>
              <w:rPr>
                <w:sz w:val="20"/>
                <w:szCs w:val="20"/>
                <w:color w:val="auto"/>
              </w:rPr>
            </w:pPr>
            <w:r>
              <w:rPr>
                <w:rFonts w:ascii="Arial" w:cs="Arial" w:eastAsia="Arial" w:hAnsi="Arial"/>
                <w:sz w:val="18"/>
                <w:szCs w:val="18"/>
                <w:color w:val="auto"/>
                <w:w w:val="90"/>
              </w:rPr>
              <w:t>&lt; $200,000,000</w:t>
            </w:r>
          </w:p>
        </w:tc>
        <w:tc>
          <w:tcPr>
            <w:tcW w:w="100" w:type="dxa"/>
            <w:vAlign w:val="bottom"/>
          </w:tcPr>
          <w:p>
            <w:pPr>
              <w:spacing w:after="0"/>
              <w:rPr>
                <w:sz w:val="17"/>
                <w:szCs w:val="17"/>
                <w:color w:val="auto"/>
              </w:rPr>
            </w:pPr>
          </w:p>
        </w:tc>
        <w:tc>
          <w:tcPr>
            <w:tcW w:w="2100" w:type="dxa"/>
            <w:vAlign w:val="bottom"/>
          </w:tcPr>
          <w:p>
            <w:pPr>
              <w:jc w:val="center"/>
              <w:spacing w:after="0" w:line="201" w:lineRule="exact"/>
              <w:rPr>
                <w:sz w:val="20"/>
                <w:szCs w:val="20"/>
                <w:color w:val="auto"/>
              </w:rPr>
            </w:pPr>
            <w:r>
              <w:rPr>
                <w:rFonts w:ascii="Arial" w:cs="Arial" w:eastAsia="Arial" w:hAnsi="Arial"/>
                <w:sz w:val="18"/>
                <w:szCs w:val="18"/>
                <w:color w:val="auto"/>
                <w:w w:val="91"/>
              </w:rPr>
              <w:t>2.000%</w:t>
            </w:r>
          </w:p>
        </w:tc>
        <w:tc>
          <w:tcPr>
            <w:tcW w:w="100" w:type="dxa"/>
            <w:vAlign w:val="bottom"/>
          </w:tcPr>
          <w:p>
            <w:pPr>
              <w:spacing w:after="0"/>
              <w:rPr>
                <w:sz w:val="17"/>
                <w:szCs w:val="17"/>
                <w:color w:val="auto"/>
              </w:rPr>
            </w:pPr>
          </w:p>
        </w:tc>
        <w:tc>
          <w:tcPr>
            <w:tcW w:w="2100" w:type="dxa"/>
            <w:vAlign w:val="bottom"/>
          </w:tcPr>
          <w:p>
            <w:pPr>
              <w:jc w:val="center"/>
              <w:spacing w:after="0" w:line="201" w:lineRule="exact"/>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1"/>
              </w:rPr>
              <w:t>0.300%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but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³ $100,000,000</w:t>
            </w: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Level III</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&lt; $100,000,000</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2.250%</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0.350%</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40" w:firstLine="440"/>
        <w:spacing w:after="0" w:line="272" w:lineRule="auto"/>
        <w:rPr>
          <w:sz w:val="20"/>
          <w:szCs w:val="20"/>
          <w:color w:val="auto"/>
        </w:rPr>
      </w:pPr>
      <w:r>
        <w:rPr>
          <w:rFonts w:ascii="Arial" w:cs="Arial" w:eastAsia="Arial" w:hAnsi="Arial"/>
          <w:sz w:val="17"/>
          <w:szCs w:val="17"/>
          <w:color w:val="auto"/>
        </w:rPr>
        <w:t xml:space="preserve">For purposes of the foregoing, (a) the Applicable Rate shall be determined as of the end of each fiscal quarter of the Borrower based upon the Borrower’s annual or quarterly consolidated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and (b) each change in the Applicable Rate resulting from a change in the Liquidity shall be effective five (5) Business Days after the date of delivery to the Administrative Agent of such consolidated financial statements indicating such change and ending on the date immediately preceding the effective date of the next such 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Liquidity shall be deemed to be in Level III for the period commencing five (5) Business Days after the Borrower fails to deliver the annual or quarterly consolidated financial statements required to be delivered by it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and ending on the date which is five (5) Business Days after such statements or certificates are actually delivered.</w:t>
      </w:r>
    </w:p>
    <w:p>
      <w:pPr>
        <w:spacing w:after="0" w:line="17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In the event that any financial statement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any compliance certificate delivered pursuant to </w:t>
      </w:r>
      <w:r>
        <w:rPr>
          <w:rFonts w:ascii="Arial" w:cs="Arial" w:eastAsia="Arial" w:hAnsi="Arial"/>
          <w:sz w:val="17"/>
          <w:szCs w:val="17"/>
          <w:u w:val="single" w:color="auto"/>
          <w:color w:val="auto"/>
        </w:rPr>
        <w:t>Section 5.01(c)</w:t>
      </w:r>
      <w:r>
        <w:rPr>
          <w:rFonts w:ascii="Arial" w:cs="Arial" w:eastAsia="Arial" w:hAnsi="Arial"/>
          <w:sz w:val="17"/>
          <w:szCs w:val="17"/>
          <w:color w:val="auto"/>
        </w:rPr>
        <w:t>, as applicable, is inaccurate, and such inaccuracy, if corrected, would have led to the imposition of a higher Applicable Rate for any period than the Applicable Rate applied for that period, then (i) Borrower shall promptly deliver to Administrative Agent a corrected financial statement and a corrected compliance certificate for that period (the “</w:t>
      </w:r>
      <w:r>
        <w:rPr>
          <w:rFonts w:ascii="Arial" w:cs="Arial" w:eastAsia="Arial" w:hAnsi="Arial"/>
          <w:sz w:val="17"/>
          <w:szCs w:val="17"/>
          <w:u w:val="single" w:color="auto"/>
          <w:color w:val="auto"/>
        </w:rPr>
        <w:t>Corrected Financials Date</w:t>
      </w:r>
      <w:r>
        <w:rPr>
          <w:rFonts w:ascii="Arial" w:cs="Arial" w:eastAsia="Arial" w:hAnsi="Arial"/>
          <w:sz w:val="17"/>
          <w:szCs w:val="17"/>
          <w:color w:val="auto"/>
        </w:rPr>
        <w:t xml:space="preserve">”), (ii) the Applicable Rate shall be determined based on the corrected Compliance Certificate for that period, and (iii) Borrower shall promptly pay to Administrative Agent (for the account of the Lenders that hold the Commitments and Loans at the time such payment is received, regardless of whether those Lenders held the Commitments and Loans during the relevant period) the accrued additional interest owing as a result of such increased Applicable Rate for that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for the avoidance of doubt, such deficiency shall be due and payable as at such Corrected Financials Date and no Default or Event of Default under clause (b)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deemed to have occurred with respect to such deficiency prior to such date (but if not so paid on such date, shall constitute an Event of Default immediately thereafter). This paragraph shall not limit the rights of Administrative Agent or the Lenders with respect to </w:t>
      </w:r>
      <w:r>
        <w:rPr>
          <w:rFonts w:ascii="Arial" w:cs="Arial" w:eastAsia="Arial" w:hAnsi="Arial"/>
          <w:sz w:val="17"/>
          <w:szCs w:val="17"/>
          <w:u w:val="single" w:color="auto"/>
          <w:color w:val="auto"/>
        </w:rPr>
        <w:t>Section 2.13(c)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hereof, and shall survive the termination of this Agreement until Payment in Full.</w:t>
      </w:r>
    </w:p>
    <w:p>
      <w:pPr>
        <w:spacing w:after="0" w:line="182"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4"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xml:space="preserve">” means, at any time, the aggregate Commitments of all Lenders then in effect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the Aggregate Credit Exposure at such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53" w:right="439" w:bottom="1440" w:gutter="0" w:footer="0" w:header="0"/>
        </w:sectPr>
      </w:pPr>
    </w:p>
    <w:bookmarkStart w:id="14" w:name="page15"/>
    <w:bookmarkEnd w:id="14"/>
    <w:p>
      <w:pPr>
        <w:jc w:val="both"/>
        <w:ind w:left="4" w:right="26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Available Tenor</w:t>
      </w:r>
      <w:r>
        <w:rPr>
          <w:rFonts w:ascii="Arial" w:cs="Arial" w:eastAsia="Arial" w:hAnsi="Arial"/>
          <w:sz w:val="16"/>
          <w:szCs w:val="16"/>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49"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w:t>
      </w:r>
      <w:r>
        <w:rPr>
          <w:rFonts w:ascii="Arial" w:cs="Arial" w:eastAsia="Arial" w:hAnsi="Arial"/>
          <w:sz w:val="16"/>
          <w:szCs w:val="16"/>
          <w:color w:val="auto"/>
        </w:rPr>
        <w:t>” means each and any of the following bank, payment and treasury services provided to any Loan Party or any Subsidiary:</w:t>
      </w:r>
    </w:p>
    <w:p>
      <w:pPr>
        <w:spacing w:after="0" w:line="46" w:lineRule="exact"/>
        <w:rPr>
          <w:sz w:val="20"/>
          <w:szCs w:val="20"/>
          <w:color w:val="auto"/>
        </w:rPr>
      </w:pPr>
    </w:p>
    <w:p>
      <w:pPr>
        <w:ind w:left="244" w:hanging="244"/>
        <w:spacing w:after="0"/>
        <w:tabs>
          <w:tab w:leader="none" w:pos="244" w:val="left"/>
        </w:tabs>
        <w:numPr>
          <w:ilvl w:val="0"/>
          <w:numId w:val="2"/>
        </w:numPr>
        <w:rPr>
          <w:rFonts w:ascii="Arial" w:cs="Arial" w:eastAsia="Arial" w:hAnsi="Arial"/>
          <w:sz w:val="17"/>
          <w:szCs w:val="17"/>
          <w:color w:val="auto"/>
        </w:rPr>
      </w:pPr>
      <w:r>
        <w:rPr>
          <w:rFonts w:ascii="Arial" w:cs="Arial" w:eastAsia="Arial" w:hAnsi="Arial"/>
          <w:sz w:val="17"/>
          <w:szCs w:val="17"/>
          <w:color w:val="auto"/>
        </w:rPr>
        <w:t>credit cards for commercial customers (including, without limitation, “commercial credit cards” and purchasing cards) or for corporate purposes,</w:t>
      </w:r>
    </w:p>
    <w:p>
      <w:pPr>
        <w:spacing w:after="0" w:line="20" w:lineRule="exact"/>
        <w:rPr>
          <w:rFonts w:ascii="Arial" w:cs="Arial" w:eastAsia="Arial" w:hAnsi="Arial"/>
          <w:sz w:val="17"/>
          <w:szCs w:val="17"/>
          <w:color w:val="auto"/>
        </w:rPr>
      </w:pPr>
    </w:p>
    <w:p>
      <w:pPr>
        <w:ind w:left="4" w:right="140" w:hanging="4"/>
        <w:spacing w:after="0" w:line="302"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stored value cards, (c) treasury management services (including, without limitation, controlled disbursement, automated clearinghouse transactions and other payment processing services, return items, overdrafts and interstate depository network services), (d) documentary services and foreign currency exchange services and (e) any arrangement or services similar to, or for the purpose of effectuating, any of the foregoing.</w:t>
      </w:r>
    </w:p>
    <w:p>
      <w:pPr>
        <w:spacing w:after="0" w:line="155"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the Loan Parties or any Subsidiary, whether absolute or contingent and howsoever and whensoever created, arising, evidenced or acquired (including all renewals, extensions and modifications thereof and substitutions therefor) in connection with Banking Services, but excluding any Swap Agreement Obligations, provided by a Person that, at the time of entering into the agreements or arrangements giving effect to the Banking Services, is the Administrative Agent, a Lender or an Affiliate of a Lender (and so long as such Person does not cease to be the Administrative Agent or a Lender or such Person’s Affiliate does not cease to be the Administrative Agent or a Lender).</w:t>
      </w:r>
    </w:p>
    <w:p>
      <w:pPr>
        <w:spacing w:after="0" w:line="192"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15" w:name="page16"/>
    <w:bookmarkEnd w:id="15"/>
    <w:p>
      <w:pPr>
        <w:jc w:val="center"/>
        <w:ind w:right="1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Benchmark</w:t>
      </w:r>
      <w:r>
        <w:rPr>
          <w:rFonts w:ascii="Arial" w:cs="Arial" w:eastAsia="Arial" w:hAnsi="Arial"/>
          <w:sz w:val="17"/>
          <w:szCs w:val="17"/>
          <w:color w:val="auto"/>
        </w:rPr>
        <w:t xml:space="preserve">” means, initially, USD LIBOR; provided that if a replacement of the Benchmark has occurred pursuant to </w:t>
      </w:r>
      <w:r>
        <w:rPr>
          <w:rFonts w:ascii="Arial" w:cs="Arial" w:eastAsia="Arial" w:hAnsi="Arial"/>
          <w:sz w:val="17"/>
          <w:szCs w:val="17"/>
          <w:u w:val="single" w:color="auto"/>
          <w:color w:val="auto"/>
        </w:rPr>
        <w:t>Section 2.25</w:t>
      </w:r>
      <w:r>
        <w:rPr>
          <w:rFonts w:ascii="Arial" w:cs="Arial" w:eastAsia="Arial" w:hAnsi="Arial"/>
          <w:sz w:val="17"/>
          <w:szCs w:val="17"/>
          <w:color w:val="auto"/>
        </w:rPr>
        <w:t>, then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“Benchmark” means the applicable Benchmark Replacement to the extent that such Benchmark Replacement has replaced such prior benchmark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reference to “Benchmark” shall include, as applicable, the published component used in the calculation thereof.</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for any Available Tenor:</w:t>
      </w:r>
    </w:p>
    <w:p>
      <w:pPr>
        <w:spacing w:after="0" w:line="131"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For purposes of clause (a)(i) of </w:t>
      </w:r>
      <w:r>
        <w:rPr>
          <w:rFonts w:ascii="Arial" w:cs="Arial" w:eastAsia="Arial" w:hAnsi="Arial"/>
          <w:sz w:val="17"/>
          <w:szCs w:val="17"/>
          <w:u w:val="single" w:color="auto"/>
          <w:color w:val="auto"/>
        </w:rPr>
        <w:t>Section 2.25</w:t>
      </w:r>
      <w:r>
        <w:rPr>
          <w:rFonts w:ascii="Arial" w:cs="Arial" w:eastAsia="Arial" w:hAnsi="Arial"/>
          <w:sz w:val="17"/>
          <w:szCs w:val="17"/>
          <w:color w:val="auto"/>
        </w:rPr>
        <w:t>, the first alternative set forth below that can be determined by the Administrative Agent:</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sum of: (i) Term SOFR and (ii) 0.11448% (11.448 basis points) for an Available Tenor of one-month’s duration, 0.26161%</w:t>
      </w:r>
    </w:p>
    <w:p>
      <w:pPr>
        <w:spacing w:after="0" w:line="34" w:lineRule="exact"/>
        <w:rPr>
          <w:rFonts w:ascii="Arial" w:cs="Arial" w:eastAsia="Arial" w:hAnsi="Arial"/>
          <w:sz w:val="17"/>
          <w:szCs w:val="17"/>
          <w:color w:val="auto"/>
        </w:rPr>
      </w:pPr>
    </w:p>
    <w:p>
      <w:pPr>
        <w:ind w:left="1420" w:right="180"/>
        <w:spacing w:after="0" w:line="270" w:lineRule="auto"/>
        <w:rPr>
          <w:rFonts w:ascii="Arial" w:cs="Arial" w:eastAsia="Arial" w:hAnsi="Arial"/>
          <w:sz w:val="17"/>
          <w:szCs w:val="17"/>
          <w:color w:val="auto"/>
        </w:rPr>
      </w:pPr>
      <w:r>
        <w:rPr>
          <w:rFonts w:ascii="Arial" w:cs="Arial" w:eastAsia="Arial" w:hAnsi="Arial"/>
          <w:sz w:val="17"/>
          <w:szCs w:val="17"/>
          <w:color w:val="auto"/>
        </w:rPr>
        <w:t>(26.161 basis points) for an Available Tenor of three-months’ duration, 0.42826% (42.826 basis points) for an Available Tenor of six-months’ duration and 0.71513% (71.513 basis points) for an Available Tenor of twelve-months’ duration; provided, that if any Available Tenor of USD LIBOR does not correspond to an Available Tenor of Term SOFR, the Benchmark Replacement for such Available Tenor of USD LIBOR shall be the closest corresponding Available Tenor (based on tenor) for Term SOFR and if such Available Tenor of USD LIBOR corresponds equally to two Available Tenors of Term SOFR, the corresponding tenor of Term SOFR with the shorter duration shall be applied, or</w:t>
      </w:r>
    </w:p>
    <w:p>
      <w:pPr>
        <w:spacing w:after="0" w:line="83" w:lineRule="exact"/>
        <w:rPr>
          <w:rFonts w:ascii="Arial" w:cs="Arial" w:eastAsia="Arial" w:hAnsi="Arial"/>
          <w:sz w:val="17"/>
          <w:szCs w:val="17"/>
          <w:color w:val="auto"/>
        </w:rPr>
      </w:pPr>
    </w:p>
    <w:p>
      <w:pPr>
        <w:ind w:left="1420" w:right="20" w:hanging="439"/>
        <w:spacing w:after="0" w:line="259"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the sum of: (i) Daily Simple SOFR and (ii) the spread adjustment selected or recommended by the Relevant Governmental Body for the replacement of the tenor of USD LIBOR with a SOFR-based rate having approximately the same length as the interest payment period specified in clause (a)(i) of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(which spread adjustment, for the avoidance of doubt, shall be 0.26161% (26.161 basis points); and</w:t>
      </w:r>
    </w:p>
    <w:p>
      <w:pPr>
        <w:spacing w:after="0" w:line="92" w:lineRule="exact"/>
        <w:rPr>
          <w:rFonts w:ascii="Arial" w:cs="Arial" w:eastAsia="Arial" w:hAnsi="Arial"/>
          <w:sz w:val="18"/>
          <w:szCs w:val="18"/>
          <w:color w:val="auto"/>
        </w:rPr>
      </w:pPr>
    </w:p>
    <w:p>
      <w:pPr>
        <w:ind w:left="960" w:right="120" w:hanging="532"/>
        <w:spacing w:after="0" w:line="25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For purposes of clause (a)(ii) of </w:t>
      </w:r>
      <w:r>
        <w:rPr>
          <w:rFonts w:ascii="Arial" w:cs="Arial" w:eastAsia="Arial" w:hAnsi="Arial"/>
          <w:sz w:val="18"/>
          <w:szCs w:val="18"/>
          <w:u w:val="single" w:color="auto"/>
          <w:color w:val="auto"/>
        </w:rPr>
        <w:t>Section 2.25</w:t>
      </w:r>
      <w:r>
        <w:rPr>
          <w:rFonts w:ascii="Arial" w:cs="Arial" w:eastAsia="Arial" w:hAnsi="Arial"/>
          <w:sz w:val="18"/>
          <w:szCs w:val="18"/>
          <w:color w:val="auto"/>
        </w:rPr>
        <w:t>, the sum of (a) the alternate benchmark rate and (b) an adjustment (which may be a positive or negative value or zero), in each case, that has been selected by the Administrative Agent and the Borrower as the replacement for such Available Tenor of such Benchmark giving due consideration to any evolving or then-prevailing market convention, including any applicable recommendations made by the Relevant Governmental Body, for U.S. dollar-denominated syndicated credit facilities at such time;</w:t>
      </w:r>
    </w:p>
    <w:p>
      <w:pPr>
        <w:spacing w:after="0" w:line="188"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Benchmark Replacement as determined pursuant to clause (1) or (2) above would be less than the Floor, the Benchmark Replacement will be deemed to be the Floor for the purposes of this Agreement and the other Loan Documents.</w:t>
      </w:r>
    </w:p>
    <w:p>
      <w:pPr>
        <w:spacing w:after="0" w:line="14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the formula for calculating any successor rates identified pursuant to the definition of “Benchmark Replacement,” the formula, methodology or convention for applying the successor Floor to the successor Benchmark Replacement and other technical, administrative or operational matters) that the Administrative Agent decides may be appropriate to reflect the adoption and implementation of such Benchmark Replacement and to permit the administration thereof by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with respect to any then-current Benchmark other than USD LIBOR,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provided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8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means, with respect to any U.S. Federal withholding Tax, the beneficial owner, for U.S. Federal income tax purposes, to whom such Tax relates.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 Certification</w:t>
      </w:r>
      <w:r>
        <w:rPr>
          <w:rFonts w:ascii="Arial" w:cs="Arial" w:eastAsia="Arial" w:hAnsi="Arial"/>
          <w:sz w:val="16"/>
          <w:szCs w:val="16"/>
          <w:color w:val="auto"/>
        </w:rPr>
        <w:t>” means a certification regarding beneficial ownership as required by the Beneficial Ownership Regulation.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3(2) of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Act Affiliate</w:t>
      </w:r>
      <w:r>
        <w:rPr>
          <w:rFonts w:ascii="Arial" w:cs="Arial" w:eastAsia="Arial" w:hAnsi="Arial"/>
          <w:sz w:val="17"/>
          <w:szCs w:val="17"/>
          <w:color w:val="auto"/>
        </w:rPr>
        <w:t>” means an “affiliate” (as such term is defined under, and interpreted in accordance with 12 U.S.C. 1841(k)) of a party.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Billing Statement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2.18(g)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Flywire Corporation, a Delaware corporation.</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Loans of the same Type, made, converted or continued on the same date and, in the case of Eurodollar Loans, as to which a single Interest Period is in effect or (b) a Swingline Loan.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17" w:name="page18"/>
    <w:bookmarkEnd w:id="17"/>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that, when used in connection with a Eurodollar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Dollar deposits in the London interbank market.</w:t>
      </w:r>
    </w:p>
    <w:p>
      <w:pPr>
        <w:spacing w:after="0" w:line="184"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being understood that, with respect to the Borrower and its Subsidiaries, the determination of whether any lease constitutes an operating lease or capital lease shall be made on a basis consistent with that reflected in the financial statements delivered pursuant to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without regard to any classification or reclassification as an operating lease or capital lease upon the Borrower’s adoption of Accounting Standards Codification 842.</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firstLine="436"/>
        <w:spacing w:after="0" w:line="263" w:lineRule="auto"/>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3" w:lineRule="exact"/>
        <w:rPr>
          <w:rFonts w:ascii="Arial" w:cs="Arial" w:eastAsia="Arial" w:hAnsi="Arial"/>
          <w:sz w:val="18"/>
          <w:szCs w:val="18"/>
          <w:color w:val="auto"/>
        </w:rPr>
      </w:pPr>
    </w:p>
    <w:p>
      <w:pPr>
        <w:ind w:right="240" w:firstLine="436"/>
        <w:spacing w:after="0" w:line="277" w:lineRule="auto"/>
        <w:tabs>
          <w:tab w:leader="none" w:pos="83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investments in commercial paper maturing within one (1) year from the date of acquisition thereof and having, at such date of acquisition, the highest credit rating obtainable from S&amp;P or from Moody’s;</w:t>
      </w:r>
    </w:p>
    <w:p>
      <w:pPr>
        <w:spacing w:after="0" w:line="170" w:lineRule="exact"/>
        <w:rPr>
          <w:rFonts w:ascii="Arial" w:cs="Arial" w:eastAsia="Arial" w:hAnsi="Arial"/>
          <w:sz w:val="18"/>
          <w:szCs w:val="18"/>
          <w:color w:val="auto"/>
        </w:rPr>
      </w:pPr>
    </w:p>
    <w:p>
      <w:pPr>
        <w:ind w:right="120" w:firstLine="436"/>
        <w:spacing w:after="0" w:line="259" w:lineRule="auto"/>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one (1) year from the date of acquisition thereof issued or guaranteed by or placed with, and demand deposit accounts and money market deposit accounts issued or offered by any domestic office of any commercial bank organized under the laws of the United States of America or any State thereof which has a combined capital and surplus and undivided profits of not less than $500.0 million;</w:t>
      </w:r>
    </w:p>
    <w:p>
      <w:pPr>
        <w:spacing w:after="0" w:line="186" w:lineRule="exact"/>
        <w:rPr>
          <w:rFonts w:ascii="Arial" w:cs="Arial" w:eastAsia="Arial" w:hAnsi="Arial"/>
          <w:sz w:val="18"/>
          <w:szCs w:val="18"/>
          <w:color w:val="auto"/>
        </w:rPr>
      </w:pPr>
    </w:p>
    <w:p>
      <w:pPr>
        <w:ind w:right="460" w:firstLine="436"/>
        <w:spacing w:after="0" w:line="277" w:lineRule="auto"/>
        <w:tabs>
          <w:tab w:leader="none" w:pos="83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fully collateralized repurchase agreements with a term of not more than thirty (30) days for securities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and entered into with a financial institution satisfying the criteria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ind w:right="260" w:firstLine="436"/>
        <w:spacing w:after="0" w:line="277" w:lineRule="auto"/>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(ii) are rated AAA by S&amp;P and Aaa by Moody’s and (iii) have portfolio assets of at least $5.0 billion;</w:t>
      </w:r>
    </w:p>
    <w:p>
      <w:pPr>
        <w:spacing w:after="0" w:line="170" w:lineRule="exact"/>
        <w:rPr>
          <w:rFonts w:ascii="Arial" w:cs="Arial" w:eastAsia="Arial" w:hAnsi="Arial"/>
          <w:sz w:val="18"/>
          <w:szCs w:val="18"/>
          <w:color w:val="auto"/>
        </w:rPr>
      </w:pPr>
    </w:p>
    <w:p>
      <w:pPr>
        <w:ind w:right="260" w:firstLine="436"/>
        <w:spacing w:after="0" w:line="263" w:lineRule="auto"/>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 and</w:t>
      </w:r>
    </w:p>
    <w:p>
      <w:pPr>
        <w:spacing w:after="0" w:line="183" w:lineRule="exact"/>
        <w:rPr>
          <w:rFonts w:ascii="Arial" w:cs="Arial" w:eastAsia="Arial" w:hAnsi="Arial"/>
          <w:sz w:val="18"/>
          <w:szCs w:val="18"/>
          <w:color w:val="auto"/>
        </w:rPr>
      </w:pPr>
    </w:p>
    <w:p>
      <w:pPr>
        <w:ind w:right="100" w:firstLine="436"/>
        <w:spacing w:after="0" w:line="277" w:lineRule="auto"/>
        <w:tabs>
          <w:tab w:leader="none" w:pos="83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case of any Foreign Subsidiary, other short-term investments that are analogous to the foregoing, are of comparable credit quality and are customarily used in the jurisdiction of such Foreign Subsidiary for cash management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as defined in Section 957 of the Code.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8" w:name="page19"/>
    <w:bookmarkEnd w:id="18"/>
    <w:p>
      <w:pPr>
        <w:ind w:right="6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CFPB</w:t>
      </w:r>
      <w:r>
        <w:rPr>
          <w:rFonts w:ascii="Arial" w:cs="Arial" w:eastAsia="Arial" w:hAnsi="Arial"/>
          <w:sz w:val="18"/>
          <w:szCs w:val="18"/>
          <w:color w:val="auto"/>
        </w:rPr>
        <w:t>” means the Consumer Financial Protection Bureau or any Governmental Authority succeeding to any or all of the functions of the Consumer Financial Protection Bureau.</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40% of the aggregate ordinary voting power represented by the issued and outstanding Equity Interests of the Borrower, (b) the occupation of a majority of the seats (other than vacant seats) on the board of directors of the Borrower by Persons who were neither (i) nominated or approved (either by a specific vote or by approval of a proxy statement issued by the Borrower on behalf of its board of directors (as constituted at the time of such proxy statement) in which such individual is named as a nominee for director) by the board of directors of the Borrower nor (ii) appointed by directors so nominated or (c) the occurrence of any “change of control” or similar event with respect to any Material Indebtedness.</w:t>
      </w:r>
    </w:p>
    <w:p>
      <w:pPr>
        <w:spacing w:after="0" w:line="166"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or application thereof by any Governmental Authority; or (c) compliance by any Lender or any Issuing Bank (or, for purposes of </w:t>
      </w: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by any lending office of such Lender or by such Lender’s or such Issuing Bank’s holding company, if any) with any request, guideline, requirement or directive (whether or not having the force of law) of any Governmental Authority made or issued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Citi</w:t>
      </w:r>
      <w:r>
        <w:rPr>
          <w:rFonts w:ascii="Arial" w:cs="Arial" w:eastAsia="Arial" w:hAnsi="Arial"/>
          <w:sz w:val="18"/>
          <w:szCs w:val="18"/>
          <w:color w:val="auto"/>
        </w:rPr>
        <w:t>” means Citibank, N.A., a national banking association, in its individual capacity, and its successors.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given to “Collateral” in the Security Agreement.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Security Agreement and any other documents granting a Lien upon the Collateral as security for payment of the Secured Obligations.</w:t>
      </w:r>
    </w:p>
    <w:p>
      <w:pPr>
        <w:spacing w:after="0" w:line="170"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if any, of such Lender to make Loans and to acquire participations in Letters of Credit and Swingline Loans hereunder, expressed as an amount representing the maximum possible aggregate amount of such Lender’s Credit Exposure hereunder, as such commitment may be reduced or increased from time to time pursuant to (a) </w:t>
      </w:r>
      <w:r>
        <w:rPr>
          <w:rFonts w:ascii="Arial" w:cs="Arial" w:eastAsia="Arial" w:hAnsi="Arial"/>
          <w:sz w:val="17"/>
          <w:szCs w:val="17"/>
          <w:u w:val="single" w:color="auto"/>
          <w:color w:val="auto"/>
        </w:rPr>
        <w:t>Section 2.09 or 2.22</w:t>
      </w:r>
      <w:r>
        <w:rPr>
          <w:rFonts w:ascii="Arial" w:cs="Arial" w:eastAsia="Arial" w:hAnsi="Arial"/>
          <w:sz w:val="17"/>
          <w:szCs w:val="17"/>
          <w:color w:val="auto"/>
        </w:rPr>
        <w:t xml:space="preserve"> and (b) assignments by or to such Lender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The initial amount of each Lender’s Commitment is set forth on the </w:t>
      </w:r>
      <w:r>
        <w:rPr>
          <w:rFonts w:ascii="Arial" w:cs="Arial" w:eastAsia="Arial" w:hAnsi="Arial"/>
          <w:sz w:val="17"/>
          <w:szCs w:val="17"/>
          <w:u w:val="single" w:color="auto"/>
          <w:color w:val="auto"/>
        </w:rPr>
        <w:t>Commitment Schedule</w:t>
      </w:r>
      <w:r>
        <w:rPr>
          <w:rFonts w:ascii="Arial" w:cs="Arial" w:eastAsia="Arial" w:hAnsi="Arial"/>
          <w:sz w:val="17"/>
          <w:szCs w:val="17"/>
          <w:color w:val="auto"/>
        </w:rPr>
        <w:t>, or in the Assignment and Assumption pursuant to which such Lender shall have assumed its Commitment, as applicable. The initial aggregate amount of the Lenders’ Commitments as of the Effective Date is $50.0 million.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Commitment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Schedule</w:t>
      </w:r>
      <w:r>
        <w:rPr>
          <w:rFonts w:ascii="Arial" w:cs="Arial" w:eastAsia="Arial" w:hAnsi="Arial"/>
          <w:sz w:val="18"/>
          <w:szCs w:val="18"/>
          <w:color w:val="auto"/>
        </w:rPr>
        <w:t>” means the Schedule attached hereto identified as such.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means, on any date, (a) the Aggregate Credit Exposure, plus (b) without duplication, the aggregate amount of obligations on such date that should, under GAAP, be classified as current liabilities on the consolidated balance sheet of the Borrower and its Subsidiaries, including the current portion of any long-term Indebtedness.</w:t>
      </w:r>
    </w:p>
    <w:p>
      <w:pPr>
        <w:spacing w:after="0" w:line="184"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Assets</w:t>
      </w:r>
      <w:r>
        <w:rPr>
          <w:rFonts w:ascii="Arial" w:cs="Arial" w:eastAsia="Arial" w:hAnsi="Arial"/>
          <w:sz w:val="16"/>
          <w:szCs w:val="16"/>
          <w:color w:val="auto"/>
        </w:rPr>
        <w:t xml:space="preserve">” means the consolidated total assets of the Borrower and its Subsidiaries, determined in accordance with GAAP, as of the date of the financial statements most recently delivered pursuant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5.01(b)</w:t>
      </w:r>
      <w:r>
        <w:rPr>
          <w:rFonts w:ascii="Arial" w:cs="Arial" w:eastAsia="Arial" w:hAnsi="Arial"/>
          <w:sz w:val="16"/>
          <w:szCs w:val="16"/>
          <w:color w:val="auto"/>
        </w:rPr>
        <w:t>, as applicable.</w:t>
      </w:r>
    </w:p>
    <w:p>
      <w:pPr>
        <w:spacing w:after="0" w:line="124"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means debt securities or other Indebtedness, the terms of which provide for conversion into, or exchange for, Equity Interests (other than Disqualified Equity Interests) of the Borrower, cash </w:t>
      </w:r>
      <w:r>
        <w:rPr>
          <w:rFonts w:ascii="Arial" w:cs="Arial" w:eastAsia="Arial" w:hAnsi="Arial"/>
          <w:sz w:val="16"/>
          <w:szCs w:val="16"/>
          <w:i w:val="1"/>
          <w:iCs w:val="1"/>
          <w:color w:val="auto"/>
        </w:rPr>
        <w:t>in lieu</w:t>
      </w:r>
      <w:r>
        <w:rPr>
          <w:rFonts w:ascii="Arial" w:cs="Arial" w:eastAsia="Arial" w:hAnsi="Arial"/>
          <w:sz w:val="16"/>
          <w:szCs w:val="16"/>
          <w:color w:val="auto"/>
        </w:rPr>
        <w:t xml:space="preserve"> thereof or a combination of such Equity Interests and cash </w:t>
      </w:r>
      <w:r>
        <w:rPr>
          <w:rFonts w:ascii="Arial" w:cs="Arial" w:eastAsia="Arial" w:hAnsi="Arial"/>
          <w:sz w:val="16"/>
          <w:szCs w:val="16"/>
          <w:i w:val="1"/>
          <w:iCs w:val="1"/>
          <w:color w:val="auto"/>
        </w:rPr>
        <w:t>in lieu</w:t>
      </w:r>
      <w:r>
        <w:rPr>
          <w:rFonts w:ascii="Arial" w:cs="Arial" w:eastAsia="Arial" w:hAnsi="Arial"/>
          <w:sz w:val="16"/>
          <w:szCs w:val="16"/>
          <w:color w:val="auto"/>
        </w:rPr>
        <w:t xml:space="preserve"> thereof.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Corrected Financials Date</w:t>
      </w:r>
      <w:r>
        <w:rPr>
          <w:rFonts w:ascii="Arial" w:cs="Arial" w:eastAsia="Arial" w:hAnsi="Arial"/>
          <w:sz w:val="18"/>
          <w:szCs w:val="18"/>
          <w:color w:val="auto"/>
        </w:rPr>
        <w:t>” has the meaning assigned to such term in the definition of “Applicable Rate”.</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Liabilities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9.19</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means, with respect to any Lender at any time, the sum of the outstanding principal amount of such Lender’s Loans (including any Swingline Loans) and its LC Exposure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any Swingline Lender or any Lender.</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means, for any day, SOFR, with the conventions for this rate (which will include a lookback) being established by the Administrative Agent in accordance with the conventions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0" w:name="page21"/>
    <w:bookmarkEnd w:id="2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rate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84"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Laws</w:t>
      </w:r>
      <w:r>
        <w:rPr>
          <w:rFonts w:ascii="Arial" w:cs="Arial" w:eastAsia="Arial" w:hAnsi="Arial"/>
          <w:sz w:val="18"/>
          <w:szCs w:val="18"/>
          <w:color w:val="auto"/>
        </w:rPr>
        <w:t>” shall mean any and all applicable national/federal or state/provincial data protection and privacy laws and regulations covering the processing of Personal Information, including but not limited to U.S. federal and state laws, the EU General Data Protection Regulation (“</w:t>
      </w:r>
      <w:r>
        <w:rPr>
          <w:rFonts w:ascii="Arial" w:cs="Arial" w:eastAsia="Arial" w:hAnsi="Arial"/>
          <w:sz w:val="18"/>
          <w:szCs w:val="18"/>
          <w:u w:val="single" w:color="auto"/>
          <w:color w:val="auto"/>
        </w:rPr>
        <w:t>GDPR</w:t>
      </w:r>
      <w:r>
        <w:rPr>
          <w:rFonts w:ascii="Arial" w:cs="Arial" w:eastAsia="Arial" w:hAnsi="Arial"/>
          <w:sz w:val="18"/>
          <w:szCs w:val="18"/>
          <w:color w:val="auto"/>
        </w:rPr>
        <w:t>”), any national implementing laws of the GDPR, and the e-Privacy Directive 2002/58/EC.</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such term in, and shall be interpreted in accordance with, 12 C.F.R. §§ 252.81, 47.2 or 382.1, as applicable.</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such Credit Party’s receipt of such certification in form and substance satisfactory to it and the Administrative Agent, (d) has become the subject of a Bankruptcy Event, or (e) has become (or whose direct or indirect parent company has become) subject to a Bail-In Action.</w:t>
      </w:r>
    </w:p>
    <w:p>
      <w:pPr>
        <w:spacing w:after="0" w:line="17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Acquisition Consideration</w:t>
      </w:r>
      <w:r>
        <w:rPr>
          <w:rFonts w:ascii="Arial" w:cs="Arial" w:eastAsia="Arial" w:hAnsi="Arial"/>
          <w:sz w:val="18"/>
          <w:szCs w:val="18"/>
          <w:color w:val="auto"/>
        </w:rPr>
        <w:t>” means any purchase price adjustments, royalty, earn-out, milestone payments, contingent or other deferred payments of a similar nature (including any non-compete payments and consulting payments) made in connection with any Permitted Acquisition or other Acquisition permitted under this Agreement.</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Revenue</w:t>
      </w:r>
      <w:r>
        <w:rPr>
          <w:rFonts w:ascii="Arial" w:cs="Arial" w:eastAsia="Arial" w:hAnsi="Arial"/>
          <w:sz w:val="18"/>
          <w:szCs w:val="18"/>
          <w:color w:val="auto"/>
        </w:rPr>
        <w:t>” means, with respect to the Borrower and its Domestic Subsidiaries on any date, all amounts received or invoiced in advance of performance under contracts and not yet recognized as revenue on such date.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Department of the Treasury</w:t>
      </w:r>
      <w:r>
        <w:rPr>
          <w:rFonts w:ascii="Arial" w:cs="Arial" w:eastAsia="Arial" w:hAnsi="Arial"/>
          <w:sz w:val="18"/>
          <w:szCs w:val="18"/>
          <w:color w:val="auto"/>
        </w:rPr>
        <w:t>” means the United States Department of the Treasury or any Governmental Authority succeeding to any or all of the functions of the United States Department of the Treasury.</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1" w:name="page22"/>
    <w:bookmarkEnd w:id="21"/>
    <w:p>
      <w:pPr>
        <w:ind w:right="6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Disqualified Equity Interest</w:t>
      </w:r>
      <w:r>
        <w:rPr>
          <w:rFonts w:ascii="Arial" w:cs="Arial" w:eastAsia="Arial" w:hAnsi="Arial"/>
          <w:sz w:val="17"/>
          <w:szCs w:val="17"/>
          <w:color w:val="auto"/>
        </w:rPr>
        <w:t>” means any Equity Interest that, by its terms (or by the terms of any security into which it is convertible or for which it is exchangeable) or upon the happening of any event, matures or is mandatorily redeemable for any consideration other than another Equity Interest (which would not constitute a Disqualified Equity Interest), pursuant to a sinking fund obligation or otherwise (except as a result of a change of control or asset sale so long as any rights of the holders thereof upon the occurrence of such change of control or asset sale event shall be subject to prior Payment in Full), or is convertible or exchangeable for Indebtedness or redeemable for any consideration other than any Equity Interest (which would not constitute a Disqualified Equity Interest) at the option of the holder thereof, in whole or in part, on or prior to the date that is ninety-one (91) days after the Maturity Date; provided that if such Equity Interest is issued pursuant to any plan for the benefit of the Borrower or its Subsidiaries or their officers or employees, such Equity Interest shall not constitute a Disqualified Equity Interest solely because it may be required to be repurchased by the Borrower or any of its Subsidiaries in order to satisfy applicable statutory or regulatory obligations, or as a result of such employee’s or officer’s termination, death or disability.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assigned to it in the definition of “Division.”</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Division Successor</w:t>
      </w:r>
      <w:r>
        <w:rPr>
          <w:rFonts w:ascii="Arial" w:cs="Arial" w:eastAsia="Arial" w:hAnsi="Arial"/>
          <w:sz w:val="16"/>
          <w:szCs w:val="16"/>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of the Borrower organized under the laws of any state of the United States of America or the District of Columbia or any entity disregarded for U.S. tax purposes wholly owned by the Borrower or a Domestic Subsidiary.</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Effective Date</w:t>
      </w:r>
      <w:r>
        <w:rPr>
          <w:rFonts w:ascii="Arial" w:cs="Arial" w:eastAsia="Arial" w:hAnsi="Arial"/>
          <w:sz w:val="18"/>
          <w:szCs w:val="18"/>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the occurrence of the following:</w:t>
      </w:r>
    </w:p>
    <w:p>
      <w:pPr>
        <w:spacing w:after="0" w:line="131" w:lineRule="exact"/>
        <w:rPr>
          <w:sz w:val="20"/>
          <w:szCs w:val="20"/>
          <w:color w:val="auto"/>
        </w:rPr>
      </w:pPr>
    </w:p>
    <w:p>
      <w:pPr>
        <w:ind w:left="960" w:right="20" w:hanging="532"/>
        <w:spacing w:after="0" w:line="25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the Borrower to the Administrative Agent to notify) each of the other parties hereto that at least five currently outstanding U.S. dollar-denominated syndicated credit facilities in the U.S. syndicated loan market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2" w:name="page23"/>
    <w:bookmarkEnd w:id="22"/>
    <w:p>
      <w:pPr>
        <w:ind w:left="960" w:right="800" w:hanging="53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joint election by the Administrative Agent and the Borrower to trigger a fallback from USD LIBOR and the provision by the Administrative Agent of written notice of such election to the Lenders.</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July 29, 2021.</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System</w:t>
      </w:r>
      <w:r>
        <w:rPr>
          <w:rFonts w:ascii="Arial" w:cs="Arial" w:eastAsia="Arial" w:hAnsi="Arial"/>
          <w:sz w:val="17"/>
          <w:szCs w:val="17"/>
          <w:color w:val="auto"/>
        </w:rPr>
        <w:t>” means any electronic system, including e-mail, e-fax, Intralinks</w:t>
      </w:r>
      <w:r>
        <w:rPr>
          <w:rFonts w:ascii="Arial" w:cs="Arial" w:eastAsia="Arial" w:hAnsi="Arial"/>
          <w:sz w:val="14"/>
          <w:szCs w:val="14"/>
          <w:color w:val="auto"/>
        </w:rPr>
        <w:t>®</w:t>
      </w:r>
      <w:r>
        <w:rPr>
          <w:rFonts w:ascii="Arial" w:cs="Arial" w:eastAsia="Arial" w:hAnsi="Arial"/>
          <w:sz w:val="17"/>
          <w:szCs w:val="17"/>
          <w:color w:val="auto"/>
        </w:rPr>
        <w:t>, ClearPar</w:t>
      </w:r>
      <w:r>
        <w:rPr>
          <w:rFonts w:ascii="Arial" w:cs="Arial" w:eastAsia="Arial" w:hAnsi="Arial"/>
          <w:sz w:val="14"/>
          <w:szCs w:val="14"/>
          <w:color w:val="auto"/>
        </w:rPr>
        <w:t>®</w:t>
      </w:r>
      <w:r>
        <w:rPr>
          <w:rFonts w:ascii="Arial" w:cs="Arial" w:eastAsia="Arial" w:hAnsi="Arial"/>
          <w:sz w:val="17"/>
          <w:szCs w:val="17"/>
          <w:color w:val="auto"/>
        </w:rPr>
        <w:t>, Debt Domain, Syndtrak and any other Internet or extranet-based site, whether such electronic system is owned, operated or hosted by the Administrative Agent and the Issuing Banks and any of its respective Related Parties or any other Person, providing for access to data protected by passcodes or other security system.</w:t>
      </w:r>
    </w:p>
    <w:p>
      <w:pPr>
        <w:spacing w:after="0" w:line="16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9.04(b)</w:t>
      </w:r>
      <w:r>
        <w:rPr>
          <w:rFonts w:ascii="Arial" w:cs="Arial" w:eastAsia="Arial" w:hAnsi="Arial"/>
          <w:sz w:val="18"/>
          <w:szCs w:val="18"/>
          <w:color w:val="auto"/>
        </w:rPr>
        <w:t xml:space="preserve"> (subject to such consents, if any, as may be required thereunder).</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laws, rules, regulations, codes, ordinances, orders, decrees, judgments, injunctions, notices or binding agreements issued, promulgated, or entered into by any Governmental Authority, relating in any way to the environment, the preservation or reclamation of natural resources, the management, Release or threatened Release of any Hazardous Material or relating to employee health and safety matters.</w:t>
      </w:r>
    </w:p>
    <w:p>
      <w:pPr>
        <w:spacing w:after="0" w:line="149"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 w:name="page24"/>
    <w:bookmarkEnd w:id="23"/>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Indebtedness convertible for, or exchangeable into, any of the foregoing.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 day notice period is waived); (b) the failure to make any “minimum required contribution” (as defined in Section 430(a) of the Code) with respect to any Plan, at the time and in the amount provided for in Section 430 of the Code;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(other than a standard termination to which Section 4041(b) of ERISA applies); (e) the receipt by the Borrower or any ERISA Affiliate from the PBGC or a plan administrator of any notice relating to an intention to terminate any Plan or Plans in a distress termination described in Section 4041(c) of ERISA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8.10(a)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Deficiency Assignmen</w:t>
      </w:r>
      <w:r>
        <w:rPr>
          <w:rFonts w:ascii="Arial" w:cs="Arial" w:eastAsia="Arial" w:hAnsi="Arial"/>
          <w:sz w:val="18"/>
          <w:szCs w:val="18"/>
          <w:color w:val="auto"/>
        </w:rPr>
        <w:t xml:space="preserve">t” has the meaning assigned to it in </w:t>
      </w:r>
      <w:r>
        <w:rPr>
          <w:rFonts w:ascii="Arial" w:cs="Arial" w:eastAsia="Arial" w:hAnsi="Arial"/>
          <w:sz w:val="18"/>
          <w:szCs w:val="18"/>
          <w:u w:val="single" w:color="auto"/>
          <w:color w:val="auto"/>
        </w:rPr>
        <w:t>Section 8.10(d)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Impacted Class</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8.10(d)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8.10(d)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Subrogation Rights</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8.10(d)</w:t>
      </w:r>
      <w:r>
        <w:rPr>
          <w:rFonts w:ascii="Arial" w:cs="Arial" w:eastAsia="Arial" w:hAnsi="Arial"/>
          <w:sz w:val="18"/>
          <w:szCs w:val="18"/>
          <w:color w:val="auto"/>
        </w:rPr>
        <w: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9.03(d)</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4" w:name="page25"/>
    <w:bookmarkEnd w:id="24"/>
    <w:p>
      <w:pPr>
        <w:ind w:left="4"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Guarantor, any Swap Obligation if, and to the extent that, all or a portion of the Guarantee of such Loan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7"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a resident of, being organized under the laws of, or having its principal office or, in the case of any Lender, its applicable lending office located in, the jurisdiction imposing such Taxes (or any political subdivision thereof) or (ii) that are Other Connection Taxes; (b) in the case of a Lender, U.S. federal withholding Taxes imposed on amounts payable to or for the account of such Lender with respect to an applicable interest in a Loan, Note, Letter of Credit, Commitment or other Loan Document pursuant to a law in effect on the date on which</w:t>
      </w:r>
    </w:p>
    <w:p>
      <w:pPr>
        <w:spacing w:after="0" w:line="4" w:lineRule="exact"/>
        <w:rPr>
          <w:sz w:val="20"/>
          <w:szCs w:val="20"/>
          <w:color w:val="auto"/>
        </w:rPr>
      </w:pPr>
    </w:p>
    <w:p>
      <w:pPr>
        <w:ind w:left="4" w:right="20" w:hanging="4"/>
        <w:spacing w:after="0" w:line="281" w:lineRule="auto"/>
        <w:tabs>
          <w:tab w:leader="none" w:pos="21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such Lender acquires such interest in the Loan, Note, Letter of Credit, Commitment or other Loan Document (other than pursuant to an assignment request by the Borrower under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amounts with respect to such Taxes were payable either to such Lender’s assignor immediately before such Lender acquired the applicable interest in a Loan, Note, Letter of Credit, Commitment or other Loan Document or to such Lender immediately before it changed its lending office;</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Taxes attributable to such Recipient’s failure to comply with </w:t>
      </w:r>
      <w:r>
        <w:rPr>
          <w:rFonts w:ascii="Arial" w:cs="Arial" w:eastAsia="Arial" w:hAnsi="Arial"/>
          <w:sz w:val="16"/>
          <w:szCs w:val="16"/>
          <w:u w:val="single" w:color="auto"/>
          <w:color w:val="auto"/>
        </w:rPr>
        <w:t>Section 2.17(f)</w:t>
      </w:r>
      <w:r>
        <w:rPr>
          <w:rFonts w:ascii="Arial" w:cs="Arial" w:eastAsia="Arial" w:hAnsi="Arial"/>
          <w:sz w:val="16"/>
          <w:szCs w:val="16"/>
          <w:color w:val="auto"/>
        </w:rPr>
        <w:t>; and (d) any U.S. federal withholding Taxes imposed under FATCA.</w:t>
      </w:r>
    </w:p>
    <w:p>
      <w:pPr>
        <w:spacing w:after="0" w:line="234"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means Loan and Security Agreement, by and between the Borrower and certain of its subsidiaries and Silicon Valley Bank, dated January 16, 2018, as amended by the Joinder and First Amendment to Loan Security Agreement, dated April 25, 2018; the Joinder and Second Amendment to Loan and Security Agreement, dated May 15, 2020; the Third Amendment to Loan and Security Agreement, dated June 2, 2020; and the Consent and Fourth Amendment to Loan and Security Agreement, dated December 9, 2020.</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Commitment</w:t>
      </w:r>
      <w:r>
        <w:rPr>
          <w:rFonts w:ascii="Arial" w:cs="Arial" w:eastAsia="Arial" w:hAnsi="Arial"/>
          <w:sz w:val="18"/>
          <w:szCs w:val="18"/>
          <w:color w:val="auto"/>
        </w:rPr>
        <w:t xml:space="preserve">” means the Commitments, the maturity of which shall have been extended pursuant to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Loans</w:t>
      </w:r>
      <w:r>
        <w:rPr>
          <w:rFonts w:ascii="Arial" w:cs="Arial" w:eastAsia="Arial" w:hAnsi="Arial"/>
          <w:sz w:val="18"/>
          <w:szCs w:val="18"/>
          <w:color w:val="auto"/>
        </w:rPr>
        <w:t>” means any Loans made pursuant to the Extended Commitments.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5" w:lineRule="exact"/>
        <w:rPr>
          <w:sz w:val="20"/>
          <w:szCs w:val="20"/>
          <w:color w:val="auto"/>
        </w:rPr>
      </w:pPr>
    </w:p>
    <w:p>
      <w:pPr>
        <w:jc w:val="both"/>
        <w:ind w:left="4"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Amendment</w:t>
      </w:r>
      <w:r>
        <w:rPr>
          <w:rFonts w:ascii="Arial" w:cs="Arial" w:eastAsia="Arial" w:hAnsi="Arial"/>
          <w:sz w:val="17"/>
          <w:szCs w:val="17"/>
          <w:color w:val="auto"/>
        </w:rPr>
        <w:t xml:space="preserve">” means an amendment to this Agreement (which may, at the option of the Administrative Agent and Borrower, be in the form of an amendment and restatement of this Agreement) among the Loan Parties, the applicable extending Lenders, the Administrative Agent and, to the extent required by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the Issuing Bank implementing an Extension in accordance with </w:t>
      </w:r>
      <w:r>
        <w:rPr>
          <w:rFonts w:ascii="Arial" w:cs="Arial" w:eastAsia="Arial" w:hAnsi="Arial"/>
          <w:sz w:val="17"/>
          <w:szCs w:val="17"/>
          <w:u w:val="single" w:color="auto"/>
          <w:color w:val="auto"/>
        </w:rPr>
        <w:t>Section 2.24</w:t>
      </w:r>
      <w:r>
        <w:rPr>
          <w:rFonts w:ascii="Arial" w:cs="Arial" w:eastAsia="Arial" w:hAnsi="Arial"/>
          <w:sz w:val="17"/>
          <w:szCs w:val="17"/>
          <w:color w:val="auto"/>
        </w:rPr>
        <w:t>.</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5"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25" w:name="page26"/>
    <w:bookmarkEnd w:id="2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any current or future regulations or official interpretations thereof, any agreement entered into pursuant to Section 1471(b)(1) of the Code, any intergovernmental agreements entered into in connection with the implementation of such sections of the Code and any fiscal or regulatory legislation, rules or official practices adopted pursuant to such intergovernmental agreement or pursuant to any treaty or convention among Governmental Authorities and implementing such Sections of the Code.</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FDIC</w:t>
      </w:r>
      <w:r>
        <w:rPr>
          <w:rFonts w:ascii="Arial" w:cs="Arial" w:eastAsia="Arial" w:hAnsi="Arial"/>
          <w:sz w:val="18"/>
          <w:szCs w:val="18"/>
          <w:color w:val="auto"/>
        </w:rPr>
        <w:t>” means the Federal Deposit Insurance Corporation or any Governmental Authority succeeding to any or all of the functions of the Federal Deposit Insurance Corporation.</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8" w:lineRule="exact"/>
        <w:rPr>
          <w:sz w:val="20"/>
          <w:szCs w:val="20"/>
          <w:color w:val="auto"/>
        </w:rPr>
      </w:pPr>
    </w:p>
    <w:p>
      <w:pPr>
        <w:ind w:right="6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means that certain Fee Letter, dated as of May 4, 2021, by and between the Borrower and Citi, as the Lead Arranger and the Administrative Agent, as the same may be amended, restated, amended and restated, supplemented or otherwise modified from time to time.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w:t>
      </w:r>
      <w:r>
        <w:rPr>
          <w:rFonts w:ascii="Arial" w:cs="Arial" w:eastAsia="Arial" w:hAnsi="Arial"/>
          <w:sz w:val="18"/>
          <w:szCs w:val="18"/>
          <w:color w:val="auto"/>
        </w:rPr>
        <w:t xml:space="preserve">” means the covenant set forth in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president, principal accounting officer, treasurer, controller or officer of equivalent duties of the Borrower.</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USD LIBOR.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in Section 7701(a)(30) of the Code.</w:t>
      </w:r>
    </w:p>
    <w:p>
      <w:pPr>
        <w:spacing w:after="0" w:line="22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Pension Plan</w:t>
      </w:r>
      <w:r>
        <w:rPr>
          <w:rFonts w:ascii="Arial" w:cs="Arial" w:eastAsia="Arial" w:hAnsi="Arial"/>
          <w:sz w:val="16"/>
          <w:szCs w:val="16"/>
          <w:color w:val="auto"/>
        </w:rPr>
        <w:t>” means any plan, fund (including any superannuation fund) or other similar program established or maintained outside the United States by the Borrower or any one or more of its Subsidiaries primarily for the benefit of employees of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of the Borrower that is not a Domestic Subsidiary.</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any Domestic Subsidiary that owns no material assets (whether held directly or through one or more entities disregarded for U.S. federal income tax purposes) other than capital stock (including any debt instrument treated as equity for U.S. federal income tax purposes) of one or more Foreign Subsidiaries that are CFCs and engages in no material activities other than the ownership of such capital stock.</w:t>
      </w:r>
    </w:p>
    <w:p>
      <w:pPr>
        <w:spacing w:after="0" w:line="18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FTC</w:t>
      </w:r>
      <w:r>
        <w:rPr>
          <w:rFonts w:ascii="Arial" w:cs="Arial" w:eastAsia="Arial" w:hAnsi="Arial"/>
          <w:sz w:val="18"/>
          <w:szCs w:val="18"/>
          <w:color w:val="auto"/>
        </w:rPr>
        <w:t>” means the Federal Trade Commission or any Governmental Authority succeeding to any or all of the functions of the Federal Trade Commission.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274" w:right="53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right="3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of any of the foregoing, whether state or local, and any agency, authority, instrumentality, regulatory or self-regulatory body, court, central bank or other entity exercising executive, legislative, judicial, taxing, regulatory or administrative powers or functions of or pertaining to government.</w:t>
      </w:r>
    </w:p>
    <w:p>
      <w:pPr>
        <w:spacing w:after="0" w:line="165"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 Guarantee shall not include endorsements for collection or deposit in the ordinary course of business.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6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means any Subsidiary of the Borrower that, as of the date of determination, does not have (a) (i) total assets in excess of 7.50% of the Borrower’s Consolidated Total Assets or (ii) revenues for the applicable Reference Period in excess of 7.50% of consolidated revenues of the Borrower for the applicable Reference Period (provided, that if, as of the last day of or for any such Reference Period, the total assets or revenues of all Subsidiaries that under clause (i) and (ii) above would constitute Immaterial Subsidiaries shall have exceeded 10.00% of Consolidated Total Assets or revenues, as the case may be, of the Borrower and its Subsidiaries for the applicable Reference Period in the aggregate, then one or more of such Subsidiaries shall for all purposes of the Loan Documents be deemed to no longer constitute Immaterial Subsidiaries in descending order based on the amounts (determined on a consolidated basis for such Subsidiary and its Subsidiaries) of their total assets or revenues, as the case may be, until such excess shall have been eliminated), (b) Equity Interests of any Subsidiary that is not an Immaterial Subsidiary and (c) material Intellectual Property; provided that (x) no Subsidiary shall constitute an Immaterial Subsidiary until, and for so long as, the Borrower shall have designated such Subsidiary’s status as such in writing to the Administrative Agent and (y) the Borrower shall designate as such in writing to the Administrative Agent any Subsidiary that no longer constitutes an Immaterial Subsidiary.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2.22(a)(i)</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27" w:name="page28"/>
    <w:bookmarkEnd w:id="27"/>
    <w:p>
      <w:pPr>
        <w:ind w:right="4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accounts payable, accrued interest or other liabilities to trade creditors (including funds payable, amounts due to sellers and any amounts relating to the processing of payments on the Borrower’s and its Subsidiaries’ payments platform and any intercompany accounts payable in connection therewith) incurred in the ordinary course of business, (ii) Deferred Revenue, (iii) deferred compensation and severance, pension, health and welfare retirement and equivalent benefits to current or former employees, directors or managers of such Person and its Subsidiaries, and (iv) any Deferred Acquisition Consideration),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any other Off-Balance Sheet Liability, (k) any net obligations of such Person with respect to any Swap Agreements and (l)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67"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Other Taxes.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Institution</w:t>
      </w:r>
      <w:r>
        <w:rPr>
          <w:rFonts w:ascii="Arial" w:cs="Arial" w:eastAsia="Arial" w:hAnsi="Arial"/>
          <w:sz w:val="16"/>
          <w:szCs w:val="16"/>
          <w:color w:val="auto"/>
        </w:rPr>
        <w:t xml:space="preserve">” means a (a) natural person, (b) a Defaulting Lender, (c) holding company, investment vehicle or trust for, or owned and operated for the primary benefit of, a natural person or relative(s)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$500.0 million and a significant part of its activities consist of making or purchasing commercial loans and similar extensions of credit in the ordinary course of its business or (d) a Loan Party or a Subsidiary or other Affiliate of a Loan Party.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(including any Swingline Loan), the last Business Day of each March, June, September and December and the Maturity Date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 w:name="page29"/>
    <w:bookmarkEnd w:id="28"/>
    <w:p>
      <w:pPr>
        <w:ind w:left="4" w:right="1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Eurodollar Borrowing, the period commencing on the date of such Borrowing and ending on the numerically corresponding day in the calendar month that is one, three or six months thereafter,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1" w:lineRule="exact"/>
        <w:rPr>
          <w:sz w:val="20"/>
          <w:szCs w:val="20"/>
          <w:color w:val="auto"/>
        </w:rPr>
      </w:pPr>
    </w:p>
    <w:p>
      <w:pPr>
        <w:ind w:left="4" w:right="120" w:hanging="4"/>
        <w:spacing w:after="0" w:line="295" w:lineRule="auto"/>
        <w:tabs>
          <w:tab w:leader="none" w:pos="26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may extend beyond the Maturity Date. For purposes hereof, the date of a Borrowing initially shall be the date on which such Borrowing is made and thereafter shall be the effective date of the most recent conversion or continuation of such Borrowing.</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Banks</w:t>
      </w:r>
      <w:r>
        <w:rPr>
          <w:rFonts w:ascii="Arial" w:cs="Arial" w:eastAsia="Arial" w:hAnsi="Arial"/>
          <w:sz w:val="18"/>
          <w:szCs w:val="18"/>
          <w:color w:val="auto"/>
        </w:rPr>
        <w:t>” means, individually and collectively as the context may require, (a) Citi, in its capacity as an issuer of Letters of Credit hereunder, and any successors in such capacity, and (b) and any other Lender from time to time designated by the Borrower as an Issuing Bank, with the consent of such Lender and the Administrative Agent and such Lender’s successors in such capacity. Any Issuing Bank may, in its discretion, arrange for one or more Letters of Credit to be issued by Affiliates of such Issuing Bank, in which case the term “Issuing Bank” shall include any such Affiliate with respect to Letters of Credit issued by such Affiliate.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5.09(a)</w:t>
      </w:r>
      <w:r>
        <w:rPr>
          <w:rFonts w:ascii="Arial" w:cs="Arial" w:eastAsia="Arial" w:hAnsi="Arial"/>
          <w:sz w:val="18"/>
          <w:szCs w:val="18"/>
          <w:color w:val="auto"/>
        </w:rPr>
        <w:t>.</w:t>
      </w:r>
    </w:p>
    <w:p>
      <w:pPr>
        <w:spacing w:after="0" w:line="225"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Debt</w:t>
      </w:r>
      <w:r>
        <w:rPr>
          <w:rFonts w:ascii="Arial" w:cs="Arial" w:eastAsia="Arial" w:hAnsi="Arial"/>
          <w:sz w:val="18"/>
          <w:szCs w:val="18"/>
          <w:color w:val="auto"/>
        </w:rPr>
        <w:t xml:space="preserve">” means (a) any Indebtedness of any Loan Party or any of its Subsidiaries that is secured on a junior lien basis, (b) any Subordinated Indebtedness, (c) any Indebtedness incurred or issued pursuant to </w:t>
      </w:r>
      <w:r>
        <w:rPr>
          <w:rFonts w:ascii="Arial" w:cs="Arial" w:eastAsia="Arial" w:hAnsi="Arial"/>
          <w:sz w:val="18"/>
          <w:szCs w:val="18"/>
          <w:u w:val="single" w:color="auto"/>
          <w:color w:val="auto"/>
        </w:rPr>
        <w:t>Section 6.01(s)</w:t>
      </w:r>
      <w:r>
        <w:rPr>
          <w:rFonts w:ascii="Arial" w:cs="Arial" w:eastAsia="Arial" w:hAnsi="Arial"/>
          <w:sz w:val="18"/>
          <w:szCs w:val="18"/>
          <w:color w:val="auto"/>
        </w:rPr>
        <w:t xml:space="preserve"> and/or (d) any Indebtedness which refinances any of the foregoing to the extent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2.06(j)</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any Issuing Bank pursuant to a Letter of Credit.</w:t>
      </w:r>
    </w:p>
    <w:p>
      <w:pPr>
        <w:spacing w:after="0" w:line="225"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xml:space="preserve">” means, at any time, the sum of (a) the aggregate undrawn amount of all outstanding Letters of Credit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aggregate amount of all LC Disbursements relating to Letters of Credit that have not yet been reimbursed by or on behalf of the Borrower at such time. The LC Exposure of any Lender at any time shall be its Applicable Percentage of the total LC Exposure at such time.</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means Citibank, N.A.</w:t>
      </w:r>
    </w:p>
    <w:p>
      <w:pPr>
        <w:spacing w:after="0" w:line="22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Persons listed on the Commitment Schedule and any other Person that shall have become a party hereto pursuant to an Assignment and Assumption, other than any such Person that ceases to be a party hereto pursuant to an Assignment and Assumption. Unless the context otherwise requires, the term “Lenders” includes the Issuing Banks and the Swingline Lenders.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9" w:name="page30"/>
    <w:bookmarkEnd w:id="29"/>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the standby and trade letters of credit issued pursuant to this Agreement, and the term “Letter of Credit” means any one of them or each of them singularly, as the context may require.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with respect to any Eurodollar Borrowing for any applicable Interest Period or for any ABR Borrowing,</w:t>
      </w:r>
    </w:p>
    <w:p>
      <w:pPr>
        <w:spacing w:after="0" w:line="117" w:lineRule="exact"/>
        <w:rPr>
          <w:sz w:val="20"/>
          <w:szCs w:val="20"/>
          <w:color w:val="auto"/>
        </w:rPr>
      </w:pPr>
    </w:p>
    <w:p>
      <w:pPr>
        <w:ind w:left="440" w:right="80" w:firstLine="419"/>
        <w:spacing w:after="0" w:line="286" w:lineRule="auto"/>
        <w:tabs>
          <w:tab w:leader="none" w:pos="12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offered rate that appears on the Reuters Screen LIBOR01 (or any successor thereto) for deposits in Dollars (for delivery on the first day of such Interest Period) with a term equivalent to such Interest Period (the “</w:t>
      </w:r>
      <w:r>
        <w:rPr>
          <w:rFonts w:ascii="Arial" w:cs="Arial" w:eastAsia="Arial" w:hAnsi="Arial"/>
          <w:sz w:val="17"/>
          <w:szCs w:val="17"/>
          <w:u w:val="single" w:color="auto"/>
          <w:color w:val="auto"/>
        </w:rPr>
        <w:t>LIBO Screen Rate</w:t>
      </w:r>
      <w:r>
        <w:rPr>
          <w:rFonts w:ascii="Arial" w:cs="Arial" w:eastAsia="Arial" w:hAnsi="Arial"/>
          <w:sz w:val="17"/>
          <w:szCs w:val="17"/>
          <w:color w:val="auto"/>
        </w:rPr>
        <w:t>”), determined as of approximately 11:00 a.m. (London time) two (2) Business Days prior to the first day of such Interest Period;</w:t>
      </w:r>
    </w:p>
    <w:p>
      <w:pPr>
        <w:spacing w:after="0" w:line="57" w:lineRule="exact"/>
        <w:rPr>
          <w:rFonts w:ascii="Arial" w:cs="Arial" w:eastAsia="Arial" w:hAnsi="Arial"/>
          <w:sz w:val="17"/>
          <w:szCs w:val="17"/>
          <w:color w:val="auto"/>
        </w:rPr>
      </w:pPr>
    </w:p>
    <w:p>
      <w:pPr>
        <w:ind w:left="440" w:right="60" w:firstLine="419"/>
        <w:spacing w:after="0" w:line="275" w:lineRule="auto"/>
        <w:tabs>
          <w:tab w:leader="none" w:pos="12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if the rate referenced in the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does not appear on such page or service or such page or service shall not be available,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rate reasonably determined by the Administrative Agent to be the offered rate on such other page or other service that displays an average ICE Benchmark Administration London Interbank Offered Rate for deposits in Dollars offered in the London interbank market (for delivery on the first day of such Interest Period) with a term equivalent to such Interest Period, determined as of approximately 11:00 a.m. (London time) two (2) Business Days prior to the first day of such Interest Period; or</w:t>
      </w:r>
    </w:p>
    <w:p>
      <w:pPr>
        <w:spacing w:after="0" w:line="68" w:lineRule="exact"/>
        <w:rPr>
          <w:rFonts w:ascii="Arial" w:cs="Arial" w:eastAsia="Arial" w:hAnsi="Arial"/>
          <w:sz w:val="17"/>
          <w:szCs w:val="17"/>
          <w:color w:val="auto"/>
        </w:rPr>
      </w:pPr>
    </w:p>
    <w:p>
      <w:pPr>
        <w:ind w:left="440" w:firstLine="419"/>
        <w:spacing w:after="0" w:line="275" w:lineRule="auto"/>
        <w:tabs>
          <w:tab w:leader="none" w:pos="12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rates referenced in the preceding clauses (a) and (b) are not available, then the LIBO Rate for any Eurodollar Loan denominated in Dollars for such Interest Period shall be (x) a comparable successor or alternative interbank rate for deposits in Dollars that is, at such time, broadly accepted by the syndicated loan market in lieu of the “LIBO Rate” and is reasonably acceptable to the Borrower and the Administrative Agent or (y) solely if no such broadly accepted comparable successor interbank rate exists at such time, a successor or alternative index rate as the Administrative Agent and the Borrower may determine with the consent of the Required Lenders.</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Notwithstanding the above, to the extent that “LIBO Rate” or “Adjusted LIBO Rate” is used in connection with an ABR Borrowing, such rate shall be determined as modified by the definition of “Alternate Base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Liquidity</w:t>
      </w:r>
      <w:r>
        <w:rPr>
          <w:rFonts w:ascii="Arial" w:cs="Arial" w:eastAsia="Arial" w:hAnsi="Arial"/>
          <w:sz w:val="16"/>
          <w:szCs w:val="16"/>
          <w:color w:val="auto"/>
        </w:rPr>
        <w:t xml:space="preserve">” means the sum of (a) all Unrestricted Cash and Cash Equivalents,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all unused Commitments that are available to be drawn.</w:t>
      </w:r>
    </w:p>
    <w:p>
      <w:pPr>
        <w:spacing w:after="0" w:line="24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collectively, this Agreement, the Notes, any Letter of Credit applications, the Collateral Documents, the Loan Guaranty, the Fee Letter and all other agreements, instruments, documents and certificates identified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executed and delivered by a Loan Party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and delivered to the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8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Guarantor</w:t>
      </w:r>
      <w:r>
        <w:rPr>
          <w:rFonts w:ascii="Arial" w:cs="Arial" w:eastAsia="Arial" w:hAnsi="Arial"/>
          <w:sz w:val="16"/>
          <w:szCs w:val="16"/>
          <w:color w:val="auto"/>
        </w:rPr>
        <w:t xml:space="preserve">” means (a) each of the Borrower’s wholly owned Material Domestic Subsidiaries; and (b) with respect to Secured Obligations owed by any other Loan Party or other Subsidiary,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any administrative requirements of the Administrative Agent, the Borrower may elect to add additional Domestic Subsidiaries as Loan Guarantors so long as each such added Loan Guarantor complies with </w:t>
      </w:r>
      <w:r>
        <w:rPr>
          <w:rFonts w:ascii="Arial" w:cs="Arial" w:eastAsia="Arial" w:hAnsi="Arial"/>
          <w:sz w:val="16"/>
          <w:szCs w:val="16"/>
          <w:u w:val="single" w:color="auto"/>
          <w:color w:val="auto"/>
        </w:rPr>
        <w:t>Section 5.09</w:t>
      </w:r>
      <w:r>
        <w:rPr>
          <w:rFonts w:ascii="Arial" w:cs="Arial" w:eastAsia="Arial" w:hAnsi="Arial"/>
          <w:sz w:val="16"/>
          <w:szCs w:val="16"/>
          <w:color w:val="auto"/>
        </w:rPr>
        <w:t xml:space="preserve"> of this Agreement as if it were a newly acquired wholly-owned Material Domestic Subsidiary at the time of such designation.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Guaranty</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each Loan Guarantor and any other Person who becomes a party to this Agreement pursuant to a Joinder Agreement and each of their successors and assigns, and the term “Loan Party” means any one of them or all of them individually, as the context may require.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Loans</w:t>
      </w:r>
      <w:r>
        <w:rPr>
          <w:rFonts w:ascii="Arial" w:cs="Arial" w:eastAsia="Arial" w:hAnsi="Arial"/>
          <w:sz w:val="16"/>
          <w:szCs w:val="16"/>
          <w:color w:val="auto"/>
        </w:rPr>
        <w:t>” means the loans and advances made by the Lenders pursuant to this Agreement, including Revolving Credit Loans and Swingline Loans.</w:t>
      </w:r>
    </w:p>
    <w:p>
      <w:pPr>
        <w:spacing w:after="0" w:line="248" w:lineRule="exact"/>
        <w:rPr>
          <w:sz w:val="20"/>
          <w:szCs w:val="20"/>
          <w:color w:val="auto"/>
        </w:rPr>
      </w:pPr>
    </w:p>
    <w:p>
      <w:pPr>
        <w:ind w:right="30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assets, contracts, agreements, liabilities (including contingent liabilities), operations, or condition (financial or otherwise) or prospects of the Borrower and its Subsidiaries, taken as a whole, (b) the ability of the Loan Parties to perform any of their material obligations under the Loan Documents, (c) any material portion of the Collateral, or the Administrative Agent’s Liens (on behalf of itself and the Lenders) on any material portion of the Collateral or the priority of such Liens (in each case subject to Permitted Liens), or (d) the rights of or benefits available to the Administrative Agent, the Issuing Banks or the Lenders under the Loan Documents.</w:t>
      </w:r>
    </w:p>
    <w:p>
      <w:pPr>
        <w:spacing w:after="0" w:line="16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Domestic Subsidiary</w:t>
      </w:r>
      <w:r>
        <w:rPr>
          <w:rFonts w:ascii="Arial" w:cs="Arial" w:eastAsia="Arial" w:hAnsi="Arial"/>
          <w:sz w:val="17"/>
          <w:szCs w:val="17"/>
          <w:color w:val="auto"/>
        </w:rPr>
        <w:t>” means any Domestic Subsidiary of the Borrower that is not (a) directly or indirectly owned by a Foreign Subsidiary that is a CFC, unless the inclusion of such Domestic Subsidiary as a Guarantor would not reasonably be expected by the Borrower in consultation with the Administrative Agent to result in material adverse tax consequences for the Borrower, (b) a Foreign Subsidiary Holding Company, unless the inclusion of such Domestic Subsidiary as a Guarantor would not reasonably be expected by the Borrower in consultation with the Administrative Agent to result in material adverse tax consequences for the Borrower or (c) an Immaterial Subsidiary.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Foreign Subsidiary</w:t>
      </w:r>
      <w:r>
        <w:rPr>
          <w:rFonts w:ascii="Arial" w:cs="Arial" w:eastAsia="Arial" w:hAnsi="Arial"/>
          <w:sz w:val="18"/>
          <w:szCs w:val="18"/>
          <w:color w:val="auto"/>
        </w:rPr>
        <w:t>” means any Foreign Subsidiary of the Borrower that is not an Immaterial Subsidiary.</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(other than the Loans, Letters of Credit and Intercompany Loans among the Loan Parties and their Subsidiaries), or any obligations under Swap Agreements, of any one or more of the Borrower and its Subsidiaries in an aggregate principal amount exceeding $10.0 million. For purposes of determining Material Indebtedness, the aggregate principal amount of “obligations” of the Borrower or any Subsidiary in respect of any Swap Agreement at any time shall be the Swap Termination Value.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1" w:name="page32"/>
    <w:bookmarkEnd w:id="31"/>
    <w:p>
      <w:pPr>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earliest to occur of (a) the Revolving Credit Termination Date, (b) any earlier date on which the Commitments are reduced to zero or otherwise terminated pursuant to the terms hereof and (c) the date that the Loans, if any, are declared due and payable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individual Lenders may elect to extend the Maturity Date applicable to their Loans and Commitments pursuant to the terms and conditions of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Borrower or any ERISA Affiliate is obligated to make contributions or has any liability.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and “</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have the meanings assigned to such terms in </w:t>
      </w:r>
      <w:r>
        <w:rPr>
          <w:rFonts w:ascii="Arial" w:cs="Arial" w:eastAsia="Arial" w:hAnsi="Arial"/>
          <w:sz w:val="18"/>
          <w:szCs w:val="18"/>
          <w:u w:val="single" w:color="auto"/>
          <w:color w:val="auto"/>
        </w:rPr>
        <w:t>Section 2.10(e)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on the Loans, all LC Exposure, all accrued and unpaid fees and all expenses, reimbursements, indemnities and other obligations,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in each case arising or incurred under this Agreement or any of the other Loan Documents or in respect of any of the Loans made or reimbursement or other obligations incurred or any of the Letters of Credit or other instruments at any time evidencing any thereof. For the avoidance of doubt, the “Obligations” of any Guarantor shall include the Guaranteed Obligations.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Off-Balance Sheet Liability</w:t>
      </w:r>
      <w:r>
        <w:rPr>
          <w:rFonts w:ascii="Arial" w:cs="Arial" w:eastAsia="Arial" w:hAnsi="Arial"/>
          <w:sz w:val="18"/>
          <w:szCs w:val="18"/>
          <w:color w:val="auto"/>
        </w:rPr>
        <w:t>” of a Person means (a) any repurchase obligation or liability of such Person with respect to accounts or notes receivable sold by such Person (other than any customary repurchase obligations resulting from a breach of representations and warranties, covenants, servicing obligations and indemnities under a securitization facility), or (b) any Indebtedness, liability or obligation under any so-called “synthetic lease” transaction entered into by such Person.</w:t>
      </w:r>
    </w:p>
    <w:p>
      <w:pPr>
        <w:spacing w:after="0" w:line="187" w:lineRule="exact"/>
        <w:rPr>
          <w:sz w:val="20"/>
          <w:szCs w:val="20"/>
          <w:color w:val="auto"/>
        </w:rPr>
      </w:pPr>
    </w:p>
    <w:p>
      <w:pPr>
        <w:ind w:right="2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Taxes (other than a connection solely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5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PA-DSS Requirements</w:t>
      </w:r>
      <w:r>
        <w:rPr>
          <w:rFonts w:ascii="Arial" w:cs="Arial" w:eastAsia="Arial" w:hAnsi="Arial"/>
          <w:sz w:val="18"/>
          <w:szCs w:val="18"/>
          <w:color w:val="auto"/>
        </w:rPr>
        <w:t>” has the meaning assigned to such term in the definition of “PCI Compliance Program.”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Brand Member</w:t>
      </w:r>
      <w:r>
        <w:rPr>
          <w:rFonts w:ascii="Arial" w:cs="Arial" w:eastAsia="Arial" w:hAnsi="Arial"/>
          <w:sz w:val="18"/>
          <w:szCs w:val="18"/>
          <w:color w:val="auto"/>
        </w:rPr>
        <w:t>” means American Express, Discover and MasterCard or Visa.</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in Full</w:t>
      </w:r>
      <w:r>
        <w:rPr>
          <w:rFonts w:ascii="Arial" w:cs="Arial" w:eastAsia="Arial" w:hAnsi="Arial"/>
          <w:sz w:val="17"/>
          <w:szCs w:val="17"/>
          <w:color w:val="auto"/>
        </w:rPr>
        <w:t>” means as of any date of determination, that: (a) the entire amount of principal of and interest due on the Loans, and all other amounts of fees, payments and other obligations due under this Agreement, the other Loan Documents and the Notes are paid in full in cash (other than contingent indemnification obligations and reimbursement obligations in respect of which no claim for payment has yet been asserted by the Person entitled thereto, and any Banking Services Obligations not then due and owing); (b) the commitments to lend under this Agreement have been terminated; (c) there are no outstanding Letters of Credit (other than Letters of Credit that have been cash collateralized in accordance with the requirements of this Agreement or other arrangements acceptable to the Issuing Bank); (d) there are no outstanding Swap Agreement Obligations (or arrangements with respect thereto have been implemented which are acceptable to the relevant counterparty); and (e) all other Obligations (other than contingent indemnification obligations and reimbursement obligations in respect of which no claim for payment has yet been asserted by the Person entitled thereto, and any Banking Services Obligations not then due and owing) have been paid in full in cash. “Paid in Full” shall have a correlative meaning.</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Recipient</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8.10(a)</w:t>
      </w:r>
      <w:r>
        <w:rPr>
          <w:rFonts w:ascii="Arial" w:cs="Arial" w:eastAsia="Arial" w:hAnsi="Arial"/>
          <w:sz w:val="18"/>
          <w:szCs w:val="18"/>
          <w:color w:val="auto"/>
        </w:rPr>
        <w:t>.</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jc w:val="both"/>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PCI Compliance Program</w:t>
      </w:r>
      <w:r>
        <w:rPr>
          <w:rFonts w:ascii="Arial" w:cs="Arial" w:eastAsia="Arial" w:hAnsi="Arial"/>
          <w:sz w:val="17"/>
          <w:szCs w:val="17"/>
          <w:color w:val="auto"/>
        </w:rPr>
        <w:t>” means the then current Payment Card Industry Data Security Standard (or any successor) requirements (“</w:t>
      </w:r>
      <w:r>
        <w:rPr>
          <w:rFonts w:ascii="Arial" w:cs="Arial" w:eastAsia="Arial" w:hAnsi="Arial"/>
          <w:sz w:val="17"/>
          <w:szCs w:val="17"/>
          <w:u w:val="single" w:color="auto"/>
          <w:color w:val="auto"/>
        </w:rPr>
        <w:t>PCI-DSS</w:t>
      </w:r>
      <w:r>
        <w:rPr>
          <w:rFonts w:ascii="Arial" w:cs="Arial" w:eastAsia="Arial" w:hAnsi="Arial"/>
          <w:sz w:val="17"/>
          <w:szCs w:val="17"/>
          <w:color w:val="auto"/>
        </w:rPr>
        <w:t xml:space="preserve"> </w:t>
      </w:r>
      <w:r>
        <w:rPr>
          <w:rFonts w:ascii="Arial" w:cs="Arial" w:eastAsia="Arial" w:hAnsi="Arial"/>
          <w:sz w:val="17"/>
          <w:szCs w:val="17"/>
          <w:u w:val="single" w:color="auto"/>
          <w:color w:val="auto"/>
        </w:rPr>
        <w:t>Requirements</w:t>
      </w:r>
      <w:r>
        <w:rPr>
          <w:rFonts w:ascii="Arial" w:cs="Arial" w:eastAsia="Arial" w:hAnsi="Arial"/>
          <w:sz w:val="17"/>
          <w:szCs w:val="17"/>
          <w:color w:val="auto"/>
        </w:rPr>
        <w:t>”) and/or Payment Application Data Security Standard (or any successor) requirements (“</w:t>
      </w:r>
      <w:r>
        <w:rPr>
          <w:rFonts w:ascii="Arial" w:cs="Arial" w:eastAsia="Arial" w:hAnsi="Arial"/>
          <w:sz w:val="17"/>
          <w:szCs w:val="17"/>
          <w:u w:val="single" w:color="auto"/>
          <w:color w:val="auto"/>
        </w:rPr>
        <w:t>PA-DSS Requirements</w:t>
      </w:r>
      <w:r>
        <w:rPr>
          <w:rFonts w:ascii="Arial" w:cs="Arial" w:eastAsia="Arial" w:hAnsi="Arial"/>
          <w:sz w:val="17"/>
          <w:szCs w:val="17"/>
          <w:color w:val="auto"/>
        </w:rPr>
        <w:t>”) for each of the Loan Parties’ and each of its Subsidiaries’ Payment Brand Members, as well as any mandate issued by any applicable Payment Brand Member to the extent that it implements PCI-DSS Requirements and/or PA-DSS Requirements.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PCI-DSS Requirements</w:t>
      </w:r>
      <w:r>
        <w:rPr>
          <w:rFonts w:ascii="Arial" w:cs="Arial" w:eastAsia="Arial" w:hAnsi="Arial"/>
          <w:sz w:val="18"/>
          <w:szCs w:val="18"/>
          <w:color w:val="auto"/>
        </w:rPr>
        <w:t>” has the meaning assigned to such term in the definition of “PCI Compliance Program.”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 Requirements</w:t>
      </w:r>
      <w:r>
        <w:rPr>
          <w:rFonts w:ascii="Arial" w:cs="Arial" w:eastAsia="Arial" w:hAnsi="Arial"/>
          <w:sz w:val="18"/>
          <w:szCs w:val="18"/>
          <w:color w:val="auto"/>
        </w:rPr>
        <w:t>” means PCI-DSS Requirements or PA-DSS Requirements, as applicable.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with respect to any Person, any permit, approval, clearance, authorization, license, registration, certificate, concession, grant, franchise, variance or permission from, and any other contractual obligations with, any Governmental Authority, in each case whether or not having the force of law and applicable to or binding upon such Person or any of its property or Products or to which such Person or any of its property or Products is subject, including all Registrations.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40" w:top="274" w:right="5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in which each of the following conditions is satisfied:</w:t>
      </w:r>
    </w:p>
    <w:p>
      <w:pPr>
        <w:spacing w:after="0" w:line="117" w:lineRule="exact"/>
        <w:rPr>
          <w:sz w:val="20"/>
          <w:szCs w:val="20"/>
          <w:color w:val="auto"/>
        </w:rPr>
      </w:pPr>
    </w:p>
    <w:p>
      <w:pPr>
        <w:ind w:left="720" w:hanging="384"/>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Person or business or assets which is the subject of such Acquisition is in a line of business permitted under </w:t>
      </w:r>
      <w:r>
        <w:rPr>
          <w:rFonts w:ascii="Arial" w:cs="Arial" w:eastAsia="Arial" w:hAnsi="Arial"/>
          <w:sz w:val="17"/>
          <w:szCs w:val="17"/>
          <w:u w:val="single" w:color="auto"/>
          <w:color w:val="auto"/>
        </w:rPr>
        <w:t>Section 6.03(b)</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00" w:right="20" w:firstLine="436"/>
        <w:spacing w:after="0" w:line="277" w:lineRule="auto"/>
        <w:tabs>
          <w:tab w:leader="none" w:pos="7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material governmental, corporate and third-party approvals and consents reasonably necessary in connection with such Acquisition shall have been obtained and be in full force and effect;</w:t>
      </w:r>
    </w:p>
    <w:p>
      <w:pPr>
        <w:spacing w:after="0" w:line="170" w:lineRule="exact"/>
        <w:rPr>
          <w:rFonts w:ascii="Arial" w:cs="Arial" w:eastAsia="Arial" w:hAnsi="Arial"/>
          <w:sz w:val="18"/>
          <w:szCs w:val="18"/>
          <w:color w:val="auto"/>
        </w:rPr>
      </w:pPr>
    </w:p>
    <w:p>
      <w:pPr>
        <w:jc w:val="both"/>
        <w:ind w:left="-100" w:right="200" w:firstLine="436"/>
        <w:spacing w:after="0" w:line="311"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if acquiring a Person, unless such Person is contemporaneously merged with and into the Borrower or a Subsidiary of the Borrower, such Person becomes a wholly-owned direct or indirect Subsidiary of the Borrower and, simultaneously with such Acquisition, a Loan Party to the extent required by </w:t>
      </w:r>
      <w:r>
        <w:rPr>
          <w:rFonts w:ascii="Arial" w:cs="Arial" w:eastAsia="Arial" w:hAnsi="Arial"/>
          <w:sz w:val="16"/>
          <w:szCs w:val="16"/>
          <w:u w:val="single" w:color="auto"/>
          <w:color w:val="auto"/>
        </w:rPr>
        <w:t>Section 5.09</w:t>
      </w:r>
      <w:r>
        <w:rPr>
          <w:rFonts w:ascii="Arial" w:cs="Arial" w:eastAsia="Arial" w:hAnsi="Arial"/>
          <w:sz w:val="16"/>
          <w:szCs w:val="16"/>
          <w:color w:val="auto"/>
        </w:rPr>
        <w:t xml:space="preserve">, with such Person’s Equity Interests being pledged as Collateral to the extent required by </w:t>
      </w:r>
      <w:r>
        <w:rPr>
          <w:rFonts w:ascii="Arial" w:cs="Arial" w:eastAsia="Arial" w:hAnsi="Arial"/>
          <w:sz w:val="16"/>
          <w:szCs w:val="16"/>
          <w:u w:val="single" w:color="auto"/>
          <w:color w:val="auto"/>
        </w:rPr>
        <w:t>Section 5.09</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00" w:firstLine="436"/>
        <w:spacing w:after="0" w:line="263" w:lineRule="auto"/>
        <w:tabs>
          <w:tab w:leader="none" w:pos="7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Acquisition shall be consummated in all material respects in accordance with the terms of the purchase or acquisition agreement executed in connection therewith and with all other material agreements, instruments and documents implementing such Acquisition and in compliance in all material respects with applicable law and regulatory approvals;</w:t>
      </w:r>
    </w:p>
    <w:p>
      <w:pPr>
        <w:spacing w:after="0" w:line="183" w:lineRule="exact"/>
        <w:rPr>
          <w:rFonts w:ascii="Arial" w:cs="Arial" w:eastAsia="Arial" w:hAnsi="Arial"/>
          <w:sz w:val="18"/>
          <w:szCs w:val="18"/>
          <w:color w:val="auto"/>
        </w:rPr>
      </w:pPr>
    </w:p>
    <w:p>
      <w:pPr>
        <w:ind w:left="-100" w:right="240" w:firstLine="436"/>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Acquisition shall, prior to the date of such Acquisition, have been approved by the board of directors (or similar governing body) of such Person to be acquired (and such approval shall not have been rescinded);</w:t>
      </w:r>
    </w:p>
    <w:p>
      <w:pPr>
        <w:spacing w:after="0" w:line="170" w:lineRule="exact"/>
        <w:rPr>
          <w:rFonts w:ascii="Arial" w:cs="Arial" w:eastAsia="Arial" w:hAnsi="Arial"/>
          <w:sz w:val="18"/>
          <w:szCs w:val="18"/>
          <w:color w:val="auto"/>
        </w:rPr>
      </w:pPr>
    </w:p>
    <w:p>
      <w:pPr>
        <w:ind w:left="700" w:hanging="36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therefrom;</w:t>
      </w:r>
    </w:p>
    <w:p>
      <w:pPr>
        <w:spacing w:after="0" w:line="225" w:lineRule="exact"/>
        <w:rPr>
          <w:rFonts w:ascii="Arial" w:cs="Arial" w:eastAsia="Arial" w:hAnsi="Arial"/>
          <w:sz w:val="18"/>
          <w:szCs w:val="18"/>
          <w:color w:val="auto"/>
        </w:rPr>
      </w:pPr>
    </w:p>
    <w:p>
      <w:pPr>
        <w:ind w:left="-100" w:firstLine="436"/>
        <w:spacing w:after="0" w:line="254" w:lineRule="auto"/>
        <w:tabs>
          <w:tab w:leader="none" w:pos="7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 after giving effect to such Acquisition (including the incurrence, assumption or acquisition of any Indebtedness in connection therewith) the Borrower shall be in pro forma compliance with an Adjusted Quick Ratio of not less than 1.50 to 1.00 for the most recently ended Reference Period for which financial statements have been (or were required to be) delivered to the Administrative Agent and the Borrower shall have delivered to the Administrative Agent reasonably detailed calculations demonstrating such compliance and either (ii)(A) both before and after giving effect to such Acquisition, the Liquidity of the Borrower and its Subsidiaries is greater than $125.0 million or (B) the aggregate consideration paid in connection with all such Acquisitions that do not satisfy sub-clause (ii)(A) (together with the aggregate amount of Investments described in </w:t>
      </w:r>
      <w:r>
        <w:rPr>
          <w:rFonts w:ascii="Arial" w:cs="Arial" w:eastAsia="Arial" w:hAnsi="Arial"/>
          <w:sz w:val="18"/>
          <w:szCs w:val="18"/>
          <w:u w:val="single" w:color="auto"/>
          <w:color w:val="auto"/>
        </w:rPr>
        <w:t>Section 6.04(l)(iii)(B)</w:t>
      </w:r>
      <w:r>
        <w:rPr>
          <w:rFonts w:ascii="Arial" w:cs="Arial" w:eastAsia="Arial" w:hAnsi="Arial"/>
          <w:sz w:val="18"/>
          <w:szCs w:val="18"/>
          <w:color w:val="auto"/>
        </w:rPr>
        <w:t>) does not exceed $20.0 million in any fiscal year;</w:t>
      </w:r>
    </w:p>
    <w:p>
      <w:pPr>
        <w:spacing w:after="0" w:line="194" w:lineRule="exact"/>
        <w:rPr>
          <w:rFonts w:ascii="Arial" w:cs="Arial" w:eastAsia="Arial" w:hAnsi="Arial"/>
          <w:sz w:val="18"/>
          <w:szCs w:val="18"/>
          <w:color w:val="auto"/>
        </w:rPr>
      </w:pPr>
    </w:p>
    <w:p>
      <w:pPr>
        <w:ind w:left="-100" w:right="120" w:firstLine="436"/>
        <w:spacing w:after="0" w:line="342" w:lineRule="auto"/>
        <w:tabs>
          <w:tab w:leader="none" w:pos="73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aggregate cash purchase price for all Permitted Acquisitions of any Persons which do not become Loan Guarantors (together with the aggregate amount of investments, loans or advances described in </w:t>
      </w:r>
      <w:r>
        <w:rPr>
          <w:rFonts w:ascii="Arial" w:cs="Arial" w:eastAsia="Arial" w:hAnsi="Arial"/>
          <w:sz w:val="16"/>
          <w:szCs w:val="16"/>
          <w:u w:val="single" w:color="auto"/>
          <w:color w:val="auto"/>
        </w:rPr>
        <w:t>Sections 6.04(c), (d)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(l)(iv)</w:t>
      </w:r>
      <w:r>
        <w:rPr>
          <w:rFonts w:ascii="Arial" w:cs="Arial" w:eastAsia="Arial" w:hAnsi="Arial"/>
          <w:sz w:val="16"/>
          <w:szCs w:val="16"/>
          <w:color w:val="auto"/>
        </w:rPr>
        <w:t>) shall not exceed $10.0 million in the aggregate; and</w:t>
      </w:r>
    </w:p>
    <w:p>
      <w:pPr>
        <w:spacing w:after="0" w:line="123" w:lineRule="exact"/>
        <w:rPr>
          <w:rFonts w:ascii="Arial" w:cs="Arial" w:eastAsia="Arial" w:hAnsi="Arial"/>
          <w:sz w:val="16"/>
          <w:szCs w:val="16"/>
          <w:color w:val="auto"/>
        </w:rPr>
      </w:pPr>
    </w:p>
    <w:p>
      <w:pPr>
        <w:ind w:left="-100" w:right="660" w:firstLine="436"/>
        <w:spacing w:after="0" w:line="277" w:lineRule="auto"/>
        <w:tabs>
          <w:tab w:leader="none" w:pos="6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Borrower shall have delivered a notice to the Administrative Agent and the Lenders setting forth the calculations demonstrating compliance with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of this definition.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left="-100" w:right="520" w:firstLine="436"/>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Liens imposed by law for taxes, fees, assessments or other governmental charges that are not yet delinquent or are being contested in compliance with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00"/>
          </w:cols>
          <w:pgMar w:left="540" w:top="274" w:right="559" w:bottom="1440" w:gutter="0" w:footer="0" w:header="0"/>
        </w:sectPr>
      </w:pPr>
    </w:p>
    <w:bookmarkStart w:id="34" w:name="page35"/>
    <w:bookmarkEnd w:id="34"/>
    <w:p>
      <w:pPr>
        <w:ind w:right="260" w:firstLine="436"/>
        <w:spacing w:after="0" w:line="342" w:lineRule="auto"/>
        <w:tabs>
          <w:tab w:leader="none" w:pos="830"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carriers’, warehousemen’s, mechanics’, materialmen’s, repairmen’s and other like Liens imposed by law, arising in the ordinary course of business and securing obligations that are not overdue by more than sixty (60) days or are being contested in compliance with </w:t>
      </w:r>
      <w:r>
        <w:rPr>
          <w:rFonts w:ascii="Arial" w:cs="Arial" w:eastAsia="Arial" w:hAnsi="Arial"/>
          <w:sz w:val="16"/>
          <w:szCs w:val="16"/>
          <w:u w:val="single" w:color="auto"/>
          <w:color w:val="auto"/>
        </w:rPr>
        <w:t>Section 5.04</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firstLine="43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170" w:lineRule="exact"/>
        <w:rPr>
          <w:rFonts w:ascii="Arial" w:cs="Arial" w:eastAsia="Arial" w:hAnsi="Arial"/>
          <w:sz w:val="18"/>
          <w:szCs w:val="18"/>
          <w:color w:val="auto"/>
        </w:rPr>
      </w:pPr>
    </w:p>
    <w:p>
      <w:pPr>
        <w:ind w:right="280" w:firstLine="436"/>
        <w:spacing w:after="0" w:line="277" w:lineRule="auto"/>
        <w:tabs>
          <w:tab w:leader="none" w:pos="8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judgment liens in respect of judgments that do not constitute an Event of Default under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436"/>
        <w:spacing w:after="0" w:line="286"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easements, covenants, conditions, zoning restrictions, rights-of-way, minor defects or other irregularities in title and/or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65" w:lineRule="exact"/>
        <w:rPr>
          <w:rFonts w:ascii="Arial" w:cs="Arial" w:eastAsia="Arial" w:hAnsi="Arial"/>
          <w:sz w:val="17"/>
          <w:szCs w:val="17"/>
          <w:color w:val="auto"/>
        </w:rPr>
      </w:pPr>
    </w:p>
    <w:p>
      <w:pPr>
        <w:ind w:left="820" w:hanging="384"/>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UCC financing statements filed (or similar filings under applicable law) solely as a precautionary measure in connection with operating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leases; and</w:t>
      </w:r>
    </w:p>
    <w:p>
      <w:pPr>
        <w:spacing w:after="0" w:line="210" w:lineRule="exact"/>
        <w:rPr>
          <w:rFonts w:ascii="Arial" w:cs="Arial" w:eastAsia="Arial" w:hAnsi="Arial"/>
          <w:sz w:val="17"/>
          <w:szCs w:val="17"/>
          <w:color w:val="auto"/>
        </w:rPr>
      </w:pPr>
    </w:p>
    <w:p>
      <w:pPr>
        <w:ind w:right="40" w:firstLine="436"/>
        <w:spacing w:after="0" w:line="342" w:lineRule="auto"/>
        <w:tabs>
          <w:tab w:leader="none" w:pos="83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Liens representing any interest or title of a licensor, lessor or sublicensor or sublessor, or a licensee, lessee or sublicensee or sublessee, in the property subject to any lease, license or sublicense or concession agreement, in each case to the extent permitted by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the term “Permitted Encumbrances” shall not include any Lien securing Indebtedness.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all Liens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shall mean (i) any information that identifies or can be used to identify, alone or in the aggregate, a natural person, or (ii) any information or data that is defined as “personal information” or “personal data” under Data Protection Laws.</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(within the meaning of Section 3(2) of ERISA) (other than a Multiemployer Plan or a Foreign Pension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Assets</w:t>
      </w:r>
      <w:r>
        <w:rPr>
          <w:rFonts w:ascii="Arial" w:cs="Arial" w:eastAsia="Arial" w:hAnsi="Arial"/>
          <w:sz w:val="18"/>
          <w:szCs w:val="18"/>
          <w:color w:val="auto"/>
        </w:rPr>
        <w:t>” shall mean “plan assets” of an “employee benefit plan” subject to Title I of ERISA or a “plan” subject to Section 4975 of the Code, as determined under 29 C.F.R. § 2510.3-101, as modified by Section 3(42) of ERISA.</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the rate of interest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publicly announced from time to time by Citibank, N.A. as its prime rate in effect at its principal offices in New York City. Each change in the Prime Rate shall be effective from and including the date such change is publicly announced as being effective.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35" w:name="page36"/>
    <w:bookmarkEnd w:id="3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means the occurrence of a “prohibited transaction” within the meaning of Section 4975(c) of the Code or Section 406 of ERISA for which there is no exemption under Section 4975(d).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5.01(d)</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“QFC”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“QFC Credit Support” has the meaning assigned to such term in Section 9.20.</w:t>
      </w:r>
    </w:p>
    <w:p>
      <w:pPr>
        <w:spacing w:after="0" w:line="225"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in respect of any Swap Obligation, each Loan Party that has total assets exceeding $10.0 million at the time the relevant Loan Guaranty or grant of the relevant security interest becomes or would become effective with respect to such Swap Obligation or such other person as constitutes an ECP and can cause another person to qualify as an ECP at such time by entering into a keepwell under Section 1a(18)(A) (v)(II) of the Commodity Exchange Act.</w:t>
      </w:r>
    </w:p>
    <w:p>
      <w:pPr>
        <w:spacing w:after="0" w:line="18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as applicable, (a) the Administrative Agent, (b) any Lender and (c) any Issuing Bank, or any combination thereof (as the context requires).</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Period</w:t>
      </w:r>
      <w:r>
        <w:rPr>
          <w:rFonts w:ascii="Arial" w:cs="Arial" w:eastAsia="Arial" w:hAnsi="Arial"/>
          <w:sz w:val="18"/>
          <w:szCs w:val="18"/>
          <w:color w:val="auto"/>
        </w:rPr>
        <w:t>” means the most recently ended period of four consecutive fiscal quarters for which financial statements have been (or were required to be) delivered to the Administrative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4.01(l)</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9.04(b)(iv)</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partners and advisors of such Person and such Person’s Affiliates.</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leaking, pumping, pouring, emitting, emptying, discharging, injecting, escaping, leaching, migrating, disposing or dumping of any substance into the environment.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Requested Increase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2.22(a)(i)</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(other than Defaulting Lenders) having Credit Exposure and unused Commitments representing more than 50% of the sum of the total Credit Exposure and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if at any time of determination there are two (but not more than two) Lenders party hereto that are not Affiliates or Approved Funds of one another, Required Lenders shall include such two Lenders who are not Affiliates or Approved Funds of one another.</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40" w:top="274" w:right="539" w:bottom="1440" w:gutter="0" w:footer="0" w:header="0"/>
        </w:sectPr>
      </w:pPr>
    </w:p>
    <w:bookmarkStart w:id="36" w:name="page37"/>
    <w:bookmarkEnd w:id="36"/>
    <w:p>
      <w:pPr>
        <w:ind w:left="4" w:right="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ERISA and Data Protection Laws), in each case applicable to or binding upon such Person or any of its property or to which such Person or any of its property is subject.</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any Financial Officer, the chief executive officer, any executive vice president, any senior vice president, any vice president or the chief operating officer of the Borrower and any other individual or similar official thereof responsible for the administration of the obligations of the Borrower in respect of this Agreement.</w:t>
      </w:r>
    </w:p>
    <w:p>
      <w:pPr>
        <w:spacing w:after="0" w:line="184"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Termination Date</w:t>
      </w:r>
      <w:r>
        <w:rPr>
          <w:rFonts w:ascii="Arial" w:cs="Arial" w:eastAsia="Arial" w:hAnsi="Arial"/>
          <w:sz w:val="18"/>
          <w:szCs w:val="18"/>
          <w:color w:val="auto"/>
        </w:rPr>
        <w:t>” means the third anniversary of the Effective Date.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the subject or target of any comprehensive Sanctions (which, as of the date of this Agreement, includes Crimea and the Crimea Region, Cuba, Iran, North Korea, Syria and Venezuela).</w:t>
      </w:r>
    </w:p>
    <w:p>
      <w:pPr>
        <w:spacing w:after="0" w:line="170"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xml:space="preserve">” means, at any time, (a) any Person listed in any Sanctions-related list of designated Persons maintained by the OFAC, the U.S. Department of State or by the United Nations Security Council, the European Union or any EU member state, (b) any Person operating, organized or resident in a Sanctioned Country or (c) any Person majority-owned or controlled by any such Person or Persons described in the foregoing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244" w:hanging="244"/>
        <w:spacing w:after="0"/>
        <w:tabs>
          <w:tab w:leader="none" w:pos="244" w:val="left"/>
        </w:tabs>
        <w:numPr>
          <w:ilvl w:val="0"/>
          <w:numId w:val="14"/>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1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Her Majesty’s Treasury of the United Kingdom.</w:t>
      </w:r>
    </w:p>
    <w:p>
      <w:pPr>
        <w:spacing w:after="0" w:line="184"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or all of the functions of the Securities and Exchange Commission.</w:t>
      </w:r>
    </w:p>
    <w:p>
      <w:pPr>
        <w:spacing w:after="0" w:line="170" w:lineRule="exact"/>
        <w:rPr>
          <w:sz w:val="20"/>
          <w:szCs w:val="20"/>
          <w:color w:val="auto"/>
        </w:rPr>
      </w:pPr>
    </w:p>
    <w:p>
      <w:pPr>
        <w:jc w:val="both"/>
        <w:ind w:left="4" w:right="1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means all Obligations, together with all (a) Banking Services Obligations, (b) Swap Agreement Obligations owing to any Person that, at the time of entering into such arrangement with a Loan Party or any Subsidiary, was the Administrative Agent, a Lender or an Affiliate thereof, in each case, with respect to such Swap Agreement Obligations, to the extent designated by the Borrower in</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37" w:name="page38"/>
    <w:bookmarkEnd w:id="3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written statement (including by way of email) to the Administrative Agent as constituting Secured Obligations (such Swap Agreement Obligations, “</w:t>
      </w:r>
      <w:r>
        <w:rPr>
          <w:rFonts w:ascii="Arial" w:cs="Arial" w:eastAsia="Arial" w:hAnsi="Arial"/>
          <w:sz w:val="18"/>
          <w:szCs w:val="18"/>
          <w:u w:val="single" w:color="auto"/>
          <w:color w:val="auto"/>
        </w:rPr>
        <w:t>Secured Swap Agreement Obligations</w:t>
      </w:r>
      <w:r>
        <w:rPr>
          <w:rFonts w:ascii="Arial" w:cs="Arial" w:eastAsia="Arial" w:hAnsi="Arial"/>
          <w:sz w:val="18"/>
          <w:szCs w:val="18"/>
          <w:color w:val="auto"/>
        </w:rPr>
        <w:t xml:space="preserve">”) and (c) Erroneous Payment Subrogation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8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Administrative Agent, each Lender, each Issuing Bank, each Swingline Lender and each other provider of Secured Obligations as permitted pursuant to the definition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Swap Agreement Obligations</w:t>
      </w:r>
      <w:r>
        <w:rPr>
          <w:rFonts w:ascii="Arial" w:cs="Arial" w:eastAsia="Arial" w:hAnsi="Arial"/>
          <w:sz w:val="18"/>
          <w:szCs w:val="18"/>
          <w:color w:val="auto"/>
        </w:rPr>
        <w:t>” has the meaning assigned to such term in the definition of “Secured Obligations”.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of the United States, as amended, and the rules and regulations of the Commission promulgated thereunder.</w:t>
      </w:r>
    </w:p>
    <w:p>
      <w:pPr>
        <w:spacing w:after="0" w:line="170"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means that certain Pledge and Security Agreement, dated as of the date hereof, among the Borrower, each Subsidiary of the Borrower party thereto from time to time, and the Administrative Agent, for the benefit of the Administrative Agent, the Lenders and the other Secured Parties, and any other pledge or security agreement entered into, after the date of this Agreement by any Loan Party (as required by this Agreement or any other Loan Document), as the same may be amended, restated, amended and restated, supplemented or otherwise modified from time to time.</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administrator of the secured overnight financing rate from time to time).</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Material Indebtedness</w:t>
      </w:r>
      <w:r>
        <w:rPr>
          <w:rFonts w:ascii="Arial" w:cs="Arial" w:eastAsia="Arial" w:hAnsi="Arial"/>
          <w:sz w:val="18"/>
          <w:szCs w:val="18"/>
          <w:color w:val="auto"/>
        </w:rPr>
        <w:t xml:space="preserve">” means Material Indebtedness of any Person that is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that has become due and payable as a result of such Person becoming a Subsidiary after the Effective Date or such acquisition of assets in connection with a Permitted Acquisition by the Borrower or any Subsidiary.</w:t>
      </w:r>
    </w:p>
    <w:p>
      <w:pPr>
        <w:spacing w:after="0" w:line="184"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Adjusted LIBO Rate, for eurodollar funding (currently referred to as “Eurodollar Liabilities” in Regulation D of the Board). Such reserve percentages shall include those imposed pursuant to such Regulation D of the Board. Eurodollar Loans shall be deemed to constitute eurodollar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7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of a Person means any Indebtedness of such Person the payment of which by its terms is at all times subordinated to payment of the Obligations on terms reasonably satisfactory to the Administrative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8" w:name="page39"/>
    <w:bookmarkEnd w:id="38"/>
    <w:p>
      <w:pPr>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direct or indirect subsidiary of the Borrower or a Loan Party,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9.20</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that no phantom stock or similar plan providing for payments only on account of services provided by current or former directors, officers, employees or consultants of the Borrower or the Subsidiaries shall be a Swap Agreement.</w:t>
      </w:r>
    </w:p>
    <w:p>
      <w:pPr>
        <w:spacing w:after="0" w:line="176"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 Obligations</w:t>
      </w:r>
      <w:r>
        <w:rPr>
          <w:rFonts w:ascii="Arial" w:cs="Arial" w:eastAsia="Arial" w:hAnsi="Arial"/>
          <w:sz w:val="18"/>
          <w:szCs w:val="18"/>
          <w:color w:val="auto"/>
        </w:rPr>
        <w:t>” means any and all obligations of the Loan Parties or any Subsidiary, whether absolute or contingent and howsoever and whensoever created, arising, evidenced or acquired (including all renewals, extensions and modifications thereof and substitutions therefor), under (a) any and all Swap Agreements permitted hereunder with a Person that, at the time of entering into such Swap Agreement, is the Administrative Agent, a Lender or an Affiliate of a Lender (and so long as such Person does not cease to be the Administrative Agent or a Lender or such Person’s Affiliate does not cease to be the Administrative Agent or a Lender), and (b) any and all cancellations, buy backs, reversals, terminations or assignments of any such Swap Agreement transaction.</w:t>
      </w:r>
    </w:p>
    <w:p>
      <w:pPr>
        <w:spacing w:after="0" w:line="192"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Obligation</w:t>
      </w:r>
      <w:r>
        <w:rPr>
          <w:rFonts w:ascii="Arial" w:cs="Arial" w:eastAsia="Arial" w:hAnsi="Arial"/>
          <w:sz w:val="16"/>
          <w:szCs w:val="16"/>
          <w:color w:val="auto"/>
        </w:rPr>
        <w:t>” means, with respect to any Loan Guarantor, any obligation to pay or perform under any agreement, contract or transaction that constitutes a “swap” within the meaning of section 1a(47) of the Commodity Exchange Act or any rules or regulations promulgated thereunder.</w:t>
      </w:r>
    </w:p>
    <w:p>
      <w:pPr>
        <w:spacing w:after="0" w:line="124"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the Lenders or any Affiliates of the Lenders).</w:t>
      </w:r>
    </w:p>
    <w:p>
      <w:pPr>
        <w:spacing w:after="0" w:line="161"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Commitment</w:t>
      </w:r>
      <w:r>
        <w:rPr>
          <w:rFonts w:ascii="Arial" w:cs="Arial" w:eastAsia="Arial" w:hAnsi="Arial"/>
          <w:sz w:val="16"/>
          <w:szCs w:val="16"/>
          <w:color w:val="auto"/>
        </w:rPr>
        <w:t xml:space="preserve">” with respect to Citi, $5.0 million or such lesser amount as agreed upon by the Borrower and Citi, and with respect to any other Lender that becomes a Swingline Lender, an amount to be agreed upon by the Borrower and such Lender, with the consent of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aggregate principal amount of all such Swingline Commitments shall not exceed $5.0 million.</w:t>
      </w:r>
    </w:p>
    <w:p>
      <w:pPr>
        <w:spacing w:after="0" w:line="149"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Swingline Lender at any time shall be the sum of (a) its Applicable Percentage of the total Swingline Exposure at such time other than with respect to any Swingline Loans made by such Swingline Lender in its capacity as the Swingline Lender and (b) the principal amount of all Swingline Loans made by such Swingline Lender in its capacity as the Swingline Lender outstanding at such time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amount of participations funded by the other Lenders in such Swingline Loans).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9" w:name="page40"/>
    <w:bookmarkEnd w:id="39"/>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Swingline Lenders</w:t>
      </w:r>
      <w:r>
        <w:rPr>
          <w:rFonts w:ascii="Arial" w:cs="Arial" w:eastAsia="Arial" w:hAnsi="Arial"/>
          <w:sz w:val="16"/>
          <w:szCs w:val="16"/>
          <w:color w:val="auto"/>
        </w:rPr>
        <w:t>” individually and collectively as the context may require, (a) Citi in its capacity as a lender of Swingline Loans hereunder and</w:t>
      </w:r>
    </w:p>
    <w:p>
      <w:pPr>
        <w:spacing w:after="0" w:line="46" w:lineRule="exact"/>
        <w:rPr>
          <w:sz w:val="20"/>
          <w:szCs w:val="20"/>
          <w:color w:val="auto"/>
        </w:rPr>
      </w:pPr>
    </w:p>
    <w:p>
      <w:pPr>
        <w:ind w:left="4" w:right="120" w:hanging="4"/>
        <w:spacing w:after="0" w:line="260"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and any other Lender from time to time designated by the Borrower as a Swingline Lender, with the consent of such Lender and the Administrative Agent and such Lender’s successors in such capacity.</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Request</w:t>
      </w:r>
      <w:r>
        <w:rPr>
          <w:rFonts w:ascii="Arial" w:cs="Arial" w:eastAsia="Arial" w:hAnsi="Arial"/>
          <w:sz w:val="18"/>
          <w:szCs w:val="18"/>
          <w:color w:val="auto"/>
        </w:rPr>
        <w:t xml:space="preserve">” means a request by the Borrower for a Swingline Loan in accordance with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ind w:left="4" w:right="9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the forward-looking term rate based on SOFR that has been selected or recommended by the Relevant Governmental Body.</w:t>
      </w:r>
    </w:p>
    <w:p>
      <w:pPr>
        <w:spacing w:after="0" w:line="170"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the borrowing of Loans and other credit extensions, the use of the proceeds thereof, the issuance of Letters of Credit hereunder and the Refinancing.</w:t>
      </w:r>
    </w:p>
    <w:p>
      <w:pPr>
        <w:spacing w:after="0" w:line="170"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0"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0"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Unliquidated Obligations</w:t>
      </w:r>
      <w:r>
        <w:rPr>
          <w:rFonts w:ascii="Arial" w:cs="Arial" w:eastAsia="Arial" w:hAnsi="Arial"/>
          <w:sz w:val="16"/>
          <w:szCs w:val="16"/>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w:t>
      </w:r>
    </w:p>
    <w:p>
      <w:pPr>
        <w:ind w:left="4" w:hanging="4"/>
        <w:spacing w:after="0" w:line="260" w:lineRule="auto"/>
        <w:tabs>
          <w:tab w:leader="none" w:pos="2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obligation (including any guarantee) that is contingent in nature at such time; or (iii) an obligation to provide collateral to secure any of the foregoing types of obligations.</w:t>
      </w:r>
    </w:p>
    <w:p>
      <w:pPr>
        <w:spacing w:after="0" w:line="18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 and Cash Equivalents</w:t>
      </w:r>
      <w:r>
        <w:rPr>
          <w:rFonts w:ascii="Arial" w:cs="Arial" w:eastAsia="Arial" w:hAnsi="Arial"/>
          <w:sz w:val="18"/>
          <w:szCs w:val="18"/>
          <w:color w:val="auto"/>
        </w:rPr>
        <w:t>” means, at any date, the cash and Cash Equivalents of the Borrower and its Subsidiaries that (a) do not appear (and are not required to appear) as “restricted” on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40" w:name="page41"/>
    <w:bookmarkEnd w:id="4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consolidated balance sheet of the Borrower and its Subsidiaries as of such day in accordance with GAAP and (b) are free and clear of all Liens (other than non-consensual liens, Liens permitted by Sections 6.02(f) and (i), and liens in favor of the Secured Parties pursuant to the Collateral Documents to secure the Secured Obligations (including the Control Agreements (as defined in the Security Agreement)), in each case, permitted under Section 6.02).</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2.17(f)(ii)(B)(3)</w:t>
      </w:r>
      <w:r>
        <w:rPr>
          <w:rFonts w:ascii="Arial" w:cs="Arial" w:eastAsia="Arial" w:hAnsi="Arial"/>
          <w:sz w:val="18"/>
          <w:szCs w:val="18"/>
          <w:color w:val="auto"/>
        </w:rPr>
        <w:t>.</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LIBOR</w:t>
      </w:r>
      <w:r>
        <w:rPr>
          <w:rFonts w:ascii="Arial" w:cs="Arial" w:eastAsia="Arial" w:hAnsi="Arial"/>
          <w:sz w:val="18"/>
          <w:szCs w:val="18"/>
          <w:color w:val="auto"/>
        </w:rPr>
        <w:t>” means the London interbank offered rate for U.S. dollars.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Borrower, any Loan Party, the Administrative Agent, and any other withholding agent as applicable.</w:t>
      </w:r>
    </w:p>
    <w:p>
      <w:pPr>
        <w:spacing w:after="0" w:line="225"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Type (</w:t>
      </w:r>
      <w:r>
        <w:rPr>
          <w:rFonts w:ascii="Arial" w:cs="Arial" w:eastAsia="Arial" w:hAnsi="Arial"/>
          <w:sz w:val="18"/>
          <w:szCs w:val="18"/>
          <w:i w:val="1"/>
          <w:iCs w:val="1"/>
          <w:color w:val="auto"/>
        </w:rPr>
        <w:t>e.g</w:t>
      </w:r>
      <w:r>
        <w:rPr>
          <w:rFonts w:ascii="Arial" w:cs="Arial" w:eastAsia="Arial" w:hAnsi="Arial"/>
          <w:sz w:val="18"/>
          <w:szCs w:val="18"/>
          <w:color w:val="auto"/>
        </w:rPr>
        <w:t>., a “Eurodollar Loan”).</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refinanced, replaced, or otherwise modified (subject to any restrictions on such amendments, restatements, amendment and restatement, supplements, refinancings, replacements, 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41" w:name="page42"/>
    <w:bookmarkEnd w:id="41"/>
    <w:p>
      <w:pPr>
        <w:ind w:left="4"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w:t>
      </w:r>
    </w:p>
    <w:p>
      <w:pPr>
        <w:spacing w:after="0" w:line="2" w:lineRule="exact"/>
        <w:rPr>
          <w:sz w:val="20"/>
          <w:szCs w:val="20"/>
          <w:color w:val="auto"/>
        </w:rPr>
      </w:pPr>
    </w:p>
    <w:p>
      <w:pPr>
        <w:ind w:left="4" w:right="100" w:hanging="4"/>
        <w:spacing w:after="0" w:line="295"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6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that, if after the Effective Date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provided, further, that all terms of an accounting or financial nature (including, without limitation, the definitions of Capital Lease Obligations and Indebtedness) shall be construed without giving effect to any election under Accounting Standards Codification 825-10-25 (previously referred to as Statement of Financial Accounting Standards 159, The Fair Value Option for Financial Assets and Financial Liabilities), or any successor thereto (including pursuant to the Accounting Standards Codification), to value any Indebtedness of the Loan Parties at “fair value”, as defined therein and</w:t>
      </w:r>
    </w:p>
    <w:p>
      <w:pPr>
        <w:spacing w:after="0" w:line="4" w:lineRule="exact"/>
        <w:rPr>
          <w:sz w:val="20"/>
          <w:szCs w:val="20"/>
          <w:color w:val="auto"/>
        </w:rPr>
      </w:pPr>
    </w:p>
    <w:p>
      <w:pPr>
        <w:ind w:left="4" w:right="40" w:hanging="4"/>
        <w:spacing w:after="0" w:line="251" w:lineRule="auto"/>
        <w:tabs>
          <w:tab w:leader="none" w:pos="2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any treatment of Indebtedness relating to convertible or equity-linked securities under Accounting Standards Codification 470-20 (or any other Accounting Standards Codification or Financial Accounting Standard having a similar result or effect) requiring the valuation of any such Indebtedness in a reduced or bifurcated manner as described therein. Notwithstanding any other provision contained herein, other than for purposes of </w:t>
      </w:r>
      <w:r>
        <w:rPr>
          <w:rFonts w:ascii="Arial" w:cs="Arial" w:eastAsia="Arial" w:hAnsi="Arial"/>
          <w:sz w:val="18"/>
          <w:szCs w:val="18"/>
          <w:u w:val="single" w:color="auto"/>
          <w:color w:val="auto"/>
        </w:rPr>
        <w:t>Sections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5.01(b)</w:t>
      </w:r>
      <w:r>
        <w:rPr>
          <w:rFonts w:ascii="Arial" w:cs="Arial" w:eastAsia="Arial" w:hAnsi="Arial"/>
          <w:sz w:val="18"/>
          <w:szCs w:val="18"/>
          <w:color w:val="auto"/>
        </w:rPr>
        <w:t>, all terms of an accounting or financial nature used herein shall be construed, and all computations of amounts and ratios referred to herein shall be made without giving effect to any change in accounting for leases resulting from the implementation of Financial Accounting Standards Board ASU No. 2016-02, Leases (Topic 842), to the extent any lease (or similar arrangement conveying the right to use) would be required to be treated as a capital lease where such lease (or similar arrangement) would not have been required to be so treated under GAAP as in effect on December 31, 2016.</w:t>
      </w:r>
    </w:p>
    <w:p>
      <w:pPr>
        <w:spacing w:after="0" w:line="198"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Status of Obligations</w:t>
      </w:r>
      <w:r>
        <w:rPr>
          <w:rFonts w:ascii="Arial" w:cs="Arial" w:eastAsia="Arial" w:hAnsi="Arial"/>
          <w:sz w:val="16"/>
          <w:szCs w:val="16"/>
          <w:color w:val="auto"/>
        </w:rPr>
        <w:t>. In the event that the Borrower or any other Loan Party shall at any time issue or have outstanding any Subordinated Indebtedness, the Borrower shall take or cause such other Loan Party to take all such actions as shall be reasonably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42" w:name="page43"/>
    <w:bookmarkEnd w:id="42"/>
    <w:p>
      <w:pPr>
        <w:ind w:left="4"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24" w:lineRule="exact"/>
        <w:rPr>
          <w:sz w:val="20"/>
          <w:szCs w:val="20"/>
          <w:color w:val="auto"/>
        </w:rPr>
      </w:pPr>
    </w:p>
    <w:p>
      <w:pPr>
        <w:ind w:left="4" w:right="320" w:firstLine="440"/>
        <w:spacing w:after="0" w:line="31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Financial Ratios</w:t>
      </w:r>
      <w:r>
        <w:rPr>
          <w:rFonts w:ascii="Arial" w:cs="Arial" w:eastAsia="Arial" w:hAnsi="Arial"/>
          <w:sz w:val="16"/>
          <w:szCs w:val="16"/>
          <w:color w:val="auto"/>
        </w:rPr>
        <w:t>. Any financial ratios required to be maintained by any Loan Party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9"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Division</w:t>
      </w:r>
      <w:r>
        <w:rPr>
          <w:rFonts w:ascii="Arial" w:cs="Arial" w:eastAsia="Arial" w:hAnsi="Arial"/>
          <w:sz w:val="16"/>
          <w:szCs w:val="16"/>
          <w:color w:val="auto"/>
        </w:rPr>
        <w:t>. Any reference in any Loan Document to a merger, consolidation, amalgamation, assignment, sale, disposition or transfer, or similar term, shall be deemed to include or apply to (as applicable) a Division or plan of division of or by a limited liability company, limited partnership or trust, or an allocation of assets to a series of a limited liability company, limited partnership or trust (or the unwinding of such a division or allocation), as if it were a merger, amalgamation, consolidation, assignment, sale or transfer, or similar term, as applicable, to, of or with a separate Person. Any Person that exists or that comes into existence after giving effect to a division of a limited liability company, limited partnership or trust shall constitute a separate Person for all purposes under the Loan Documents (including any Loan Party, Subsidiary, joint venture or any other like Person) and shall be deemed to have been organized on the first date of its existence by the holders of its equity interests at such time.</w:t>
      </w:r>
    </w:p>
    <w:p>
      <w:pPr>
        <w:spacing w:after="0" w:line="166" w:lineRule="exact"/>
        <w:rPr>
          <w:sz w:val="20"/>
          <w:szCs w:val="20"/>
          <w:color w:val="auto"/>
        </w:rPr>
      </w:pPr>
    </w:p>
    <w:p>
      <w:pPr>
        <w:ind w:left="4" w:right="120" w:firstLine="440"/>
        <w:spacing w:after="0" w:line="271"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Foreign Currency; Exchange Rate</w:t>
      </w:r>
      <w:r>
        <w:rPr>
          <w:rFonts w:ascii="Arial" w:cs="Arial" w:eastAsia="Arial" w:hAnsi="Arial"/>
          <w:sz w:val="17"/>
          <w:szCs w:val="17"/>
          <w:color w:val="auto"/>
        </w:rPr>
        <w:t xml:space="preserve">. For purposes of any determination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under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all amounts incurred, outstanding or proposed to be incurred or outstanding in a foreign currency shall be translated into Dollars at the currency exchange rates in effect on the date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Default shall arise as a result of any limitation set forth in Dollars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being exceeded solely as a result of changes in currency exchange rates from those rates applicable at the time or times Indebtedness, Liens, Investments or other transactions were initially consummated in reliance on the exceptions under such Sections. For purposes of any determination under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6.09</w:t>
      </w:r>
      <w:r>
        <w:rPr>
          <w:rFonts w:ascii="Arial" w:cs="Arial" w:eastAsia="Arial" w:hAnsi="Arial"/>
          <w:sz w:val="17"/>
          <w:szCs w:val="17"/>
          <w:color w:val="auto"/>
        </w:rPr>
        <w:t>, the amount of each investment, asset disposition or other applicable transaction denominated in a foreign currency shall be translated into Dollars at the currency exchange rate in effect on the date such investment, disposition or other transaction is consummated. Such currency exchange rates shall be determined in good faith by the Borrower.</w:t>
      </w:r>
    </w:p>
    <w:p>
      <w:pPr>
        <w:spacing w:after="0" w:line="17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Calculations</w:t>
      </w:r>
      <w:r>
        <w:rPr>
          <w:rFonts w:ascii="Arial" w:cs="Arial" w:eastAsia="Arial" w:hAnsi="Arial"/>
          <w:sz w:val="16"/>
          <w:szCs w:val="16"/>
          <w:color w:val="auto"/>
        </w:rPr>
        <w:t>.</w:t>
      </w:r>
    </w:p>
    <w:p>
      <w:pPr>
        <w:spacing w:after="0" w:line="225" w:lineRule="exact"/>
        <w:rPr>
          <w:sz w:val="20"/>
          <w:szCs w:val="20"/>
          <w:color w:val="auto"/>
        </w:rPr>
      </w:pPr>
    </w:p>
    <w:p>
      <w:pPr>
        <w:ind w:left="4" w:right="80" w:firstLine="436"/>
        <w:spacing w:after="0" w:line="259" w:lineRule="auto"/>
        <w:tabs>
          <w:tab w:leader="none" w:pos="824"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For purposes of determining the amount of any Investment outstanding for purposes of </w:t>
      </w:r>
      <w:r>
        <w:rPr>
          <w:rFonts w:ascii="Arial" w:cs="Arial" w:eastAsia="Arial" w:hAnsi="Arial"/>
          <w:sz w:val="18"/>
          <w:szCs w:val="18"/>
          <w:u w:val="single" w:color="auto"/>
          <w:color w:val="auto"/>
        </w:rPr>
        <w:t>Section 6.04</w:t>
      </w:r>
      <w:r>
        <w:rPr>
          <w:rFonts w:ascii="Arial" w:cs="Arial" w:eastAsia="Arial" w:hAnsi="Arial"/>
          <w:sz w:val="18"/>
          <w:szCs w:val="18"/>
          <w:color w:val="auto"/>
        </w:rPr>
        <w:t>, such amount shall be deemed to be the amount of such Investment when made, purchased or acquired (without adjustment for subsequent increases or decreases in the value of such Investment) less any actual cash amount realized by the applicable Loan Party or Subsidiary in respect of such Investment upon the sale, collection or return of capital (not to exceed the original amount invested).</w:t>
      </w:r>
    </w:p>
    <w:p>
      <w:pPr>
        <w:spacing w:after="0" w:line="186" w:lineRule="exact"/>
        <w:rPr>
          <w:rFonts w:ascii="Arial" w:cs="Arial" w:eastAsia="Arial" w:hAnsi="Arial"/>
          <w:sz w:val="18"/>
          <w:szCs w:val="18"/>
          <w:color w:val="auto"/>
        </w:rPr>
      </w:pPr>
    </w:p>
    <w:p>
      <w:pPr>
        <w:ind w:left="4" w:right="200" w:firstLine="436"/>
        <w:spacing w:after="0" w:line="291" w:lineRule="auto"/>
        <w:tabs>
          <w:tab w:leader="none" w:pos="834"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Notwithstanding anything to the contrary herein, for purposes of determining whether the incurrence of any Indebtedness is in compliance with any financial test set forth in this Agreement, such test shall be calculated (i) on a pro forma basis for the incurrence of such Indebtedness and</w:t>
      </w:r>
    </w:p>
    <w:p>
      <w:pPr>
        <w:ind w:left="4" w:right="120" w:hanging="4"/>
        <w:spacing w:after="0" w:line="255" w:lineRule="auto"/>
        <w:tabs>
          <w:tab w:leader="none" w:pos="2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any such Indebtedness constituting revolving Indebtedness or delayed draw Indebtedness, assuming that such Indebtedness is fully drawn; provided for clarity, in no way shall undrawn amounts under any revolving Indebtedness be included in the calculation of Consolidated Current Liabilities.</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4"/>
          </w:cols>
          <w:pgMar w:left="436" w:top="274" w:right="47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set forth herein, each Lender severally agrees to make Loans to the Borrower from time to time during the Availability Period in an aggregate principal amount that will not result in such Lender’s Credit Exposure exceeding such Lender’s Commitment. Within the foregoing limits and subject to the terms and conditions set forth herein, the Borrower may borrow, prepay and reborrow Loans.</w:t>
      </w:r>
    </w:p>
    <w:p>
      <w:pPr>
        <w:spacing w:after="0" w:line="18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225" w:lineRule="exact"/>
        <w:rPr>
          <w:sz w:val="20"/>
          <w:szCs w:val="20"/>
          <w:color w:val="auto"/>
        </w:rPr>
      </w:pPr>
    </w:p>
    <w:p>
      <w:pPr>
        <w:jc w:val="both"/>
        <w:ind w:right="220" w:firstLine="436"/>
        <w:spacing w:after="0" w:line="301" w:lineRule="auto"/>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Each Loan (other than a Swingline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no Lender shall be responsible for any other Lender’s failure to make Loans as required. Any Swingline Loan shall be made in accordance with the procedures set forth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below.</w:t>
      </w:r>
    </w:p>
    <w:p>
      <w:pPr>
        <w:spacing w:after="0" w:line="157" w:lineRule="exact"/>
        <w:rPr>
          <w:rFonts w:ascii="Arial" w:cs="Arial" w:eastAsia="Arial" w:hAnsi="Arial"/>
          <w:sz w:val="16"/>
          <w:szCs w:val="16"/>
          <w:color w:val="auto"/>
        </w:rPr>
      </w:pPr>
    </w:p>
    <w:p>
      <w:pPr>
        <w:ind w:firstLine="436"/>
        <w:spacing w:after="0" w:line="257" w:lineRule="auto"/>
        <w:tabs>
          <w:tab w:leader="none" w:pos="8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each Borrowing shall be comprised entirely of ABR Loans or Eurodollar Loans as the Borrower may request in accordance herewith. Each Swingline Loan shall be an ABR Loan. Each Lender at its option may make any Eurodollar Loan by causing any domestic or foreign branch or Affiliate of such Lender to make such Loan (and in the case of an Affiliate, the provisions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shall apply to such Affiliate to the same extent as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any exercise of such option shall not affect the obligation of the Borrower to repay such Loan in accordance with the terms of this Agreement.</w:t>
      </w:r>
    </w:p>
    <w:p>
      <w:pPr>
        <w:spacing w:after="0" w:line="187" w:lineRule="exact"/>
        <w:rPr>
          <w:rFonts w:ascii="Arial" w:cs="Arial" w:eastAsia="Arial" w:hAnsi="Arial"/>
          <w:sz w:val="18"/>
          <w:szCs w:val="18"/>
          <w:color w:val="auto"/>
        </w:rPr>
      </w:pPr>
    </w:p>
    <w:p>
      <w:pPr>
        <w:ind w:right="40" w:firstLine="436"/>
        <w:spacing w:after="0" w:line="254" w:lineRule="auto"/>
        <w:tabs>
          <w:tab w:leader="none" w:pos="8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Eurodollar Borrowing, such Borrowing shall be in an aggregate amount that is an integral multiple of $500,000 and not less than $1.0 million. At the time that each ABR Borrowing is made, such Borrowing shall be in an aggregate amount that is an integral multiple of $100,000 and not less than $1.0 million;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ABR Borrowing may be in an aggregate amount that is equal to the entire unused balance of the total Commitments or that is required to finance the reimbursement of an LC Disbursement as contemplated by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Each Swingline Loan shall be in an amount that is an integral multiple of $100,000 and not less than $1.0 million. Borrowings of more than one Type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that there shall not at any time be more than a total of eight (8) Eurodollar Borrowings outstanding.</w:t>
      </w:r>
    </w:p>
    <w:p>
      <w:pPr>
        <w:spacing w:after="0" w:line="194" w:lineRule="exact"/>
        <w:rPr>
          <w:rFonts w:ascii="Arial" w:cs="Arial" w:eastAsia="Arial" w:hAnsi="Arial"/>
          <w:sz w:val="18"/>
          <w:szCs w:val="18"/>
          <w:color w:val="auto"/>
        </w:rPr>
      </w:pPr>
    </w:p>
    <w:p>
      <w:pPr>
        <w:ind w:right="140" w:firstLine="436"/>
        <w:spacing w:after="0" w:line="277" w:lineRule="auto"/>
        <w:tabs>
          <w:tab w:leader="none" w:pos="8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ind w:right="60" w:firstLine="440"/>
        <w:spacing w:after="0" w:line="285"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xml:space="preserve">. To request a Borrowing, the Borrower shall notify the Administrative Agent of such request either in writing (delivered by hand, e-mail or fax) in substantially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and signed by the Borrower or by telephone (such request a “</w:t>
      </w:r>
      <w:r>
        <w:rPr>
          <w:rFonts w:ascii="Arial" w:cs="Arial" w:eastAsia="Arial" w:hAnsi="Arial"/>
          <w:sz w:val="16"/>
          <w:szCs w:val="16"/>
          <w:u w:val="single" w:color="auto"/>
          <w:color w:val="auto"/>
        </w:rPr>
        <w:t>Borrowing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Request</w:t>
      </w:r>
      <w:r>
        <w:rPr>
          <w:rFonts w:ascii="Arial" w:cs="Arial" w:eastAsia="Arial" w:hAnsi="Arial"/>
          <w:sz w:val="16"/>
          <w:szCs w:val="16"/>
          <w:color w:val="auto"/>
        </w:rPr>
        <w:t xml:space="preserve">”) (a) in the case of a Eurodollar Borrowing, not later than 11:00 a.m., New York City time, three (3) Business Days before the date of the proposed Borrowing or (b) in the case of an ABR Borrowing, not later than 12:00 p.m. (noon), New York City time, on the date of the proposed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notice of an ABR Borrowing to finance the reimbursement of an LC Disbursement as contemplated by</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may be given not later than 10:00 a.m., New York City time, on the date of the proposed Borrowing. Each such telephonic Borrowing Request shall be irrevocable and shall be confirmed promptly by hand delivery, fax or e-mail to the Administrative Agent of a written Borrowing Request in a form approved by the Administrative Agent and signed by the Borrower. Each such telephonic and written Borrowing Request shall specify the following information in compliance with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1" w:right="459" w:bottom="1440" w:gutter="0" w:footer="0" w:header="0"/>
        </w:sectPr>
      </w:pPr>
    </w:p>
    <w:bookmarkStart w:id="44" w:name="page45"/>
    <w:bookmarkEnd w:id="44"/>
    <w:p>
      <w:pPr>
        <w:ind w:left="1200" w:hanging="341"/>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amount of the requested Borrowing and a breakdown of the separate wires comprising such Borrowing;</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Eurodollar Borrowing; and</w:t>
      </w:r>
    </w:p>
    <w:p>
      <w:pPr>
        <w:spacing w:after="0" w:line="117" w:lineRule="exact"/>
        <w:rPr>
          <w:rFonts w:ascii="Arial" w:cs="Arial" w:eastAsia="Arial" w:hAnsi="Arial"/>
          <w:sz w:val="18"/>
          <w:szCs w:val="18"/>
          <w:color w:val="auto"/>
        </w:rPr>
      </w:pPr>
    </w:p>
    <w:p>
      <w:pPr>
        <w:ind w:left="440" w:right="120" w:firstLine="419"/>
        <w:spacing w:after="0" w:line="277"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the term “Interest Period.”</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w:t>
      </w:r>
      <w:r>
        <w:rPr>
          <w:rFonts w:ascii="Arial" w:cs="Arial" w:eastAsia="Arial" w:hAnsi="Arial"/>
          <w:sz w:val="18"/>
          <w:szCs w:val="18"/>
          <w:u w:val="single" w:color="auto"/>
          <w:color w:val="auto"/>
        </w:rPr>
        <w:t>Section 2.03</w:t>
      </w:r>
      <w:r>
        <w:rPr>
          <w:rFonts w:ascii="Arial" w:cs="Arial" w:eastAsia="Arial" w:hAnsi="Arial"/>
          <w:sz w:val="18"/>
          <w:szCs w:val="18"/>
          <w:color w:val="auto"/>
        </w:rPr>
        <w:t>, the Administrative Agent shall advise each Lender of the details thereof and of the amount of such Lender’s Loan to be made as part of the requested Borrowing.</w:t>
      </w:r>
    </w:p>
    <w:p>
      <w:pPr>
        <w:spacing w:after="0" w:line="18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225" w:lineRule="exact"/>
        <w:rPr>
          <w:sz w:val="20"/>
          <w:szCs w:val="20"/>
          <w:color w:val="auto"/>
        </w:rPr>
      </w:pPr>
    </w:p>
    <w:p>
      <w:pPr>
        <w:ind w:right="40" w:firstLine="436"/>
        <w:spacing w:after="0" w:line="255"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from time to time during the Availability Period, each Swingline Lender may, but shall have no obligation to, make Swingline Loans to the Borrower in an aggregate principal amount at any time outstanding that will not result in (i) the aggregate principal amount of outstanding Swingline Loans made by such Swingline Lender exceeding such Swingline Lender’s Swingline Commitment or (ii) such Swingline Lender’s Credit Exposure exceeding its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that a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92" w:lineRule="exact"/>
        <w:rPr>
          <w:rFonts w:ascii="Arial" w:cs="Arial" w:eastAsia="Arial" w:hAnsi="Arial"/>
          <w:sz w:val="18"/>
          <w:szCs w:val="18"/>
          <w:color w:val="auto"/>
        </w:rPr>
      </w:pPr>
    </w:p>
    <w:p>
      <w:pPr>
        <w:ind w:firstLine="436"/>
        <w:spacing w:after="0" w:line="270" w:lineRule="auto"/>
        <w:tabs>
          <w:tab w:leader="none" w:pos="827"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To request a Swingline Loan, the Borrower shall notify the Administrative Agent of such request either in writing (delivered by hand, e-mail or fax) in substantially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and signed by the Borrower or by telephone (such request a “</w:t>
      </w:r>
      <w:r>
        <w:rPr>
          <w:rFonts w:ascii="Arial" w:cs="Arial" w:eastAsia="Arial" w:hAnsi="Arial"/>
          <w:sz w:val="17"/>
          <w:szCs w:val="17"/>
          <w:u w:val="single" w:color="auto"/>
          <w:color w:val="auto"/>
        </w:rPr>
        <w:t>Swingline Request</w:t>
      </w:r>
      <w:r>
        <w:rPr>
          <w:rFonts w:ascii="Arial" w:cs="Arial" w:eastAsia="Arial" w:hAnsi="Arial"/>
          <w:sz w:val="17"/>
          <w:szCs w:val="17"/>
          <w:color w:val="auto"/>
        </w:rPr>
        <w:t xml:space="preserve">”), not later than 12:00 p.m. (noon), New York City time, on the day of a proposed Swingline Loan. Each such notice shall be irrevocable and shall specify the requested date (which shall be a Business Day) and amount of the requested Swingline Loan. The Administrative Agent will promptly advise each Swingline Lender of any such notice received from the Borrower. Each Swingline Lender shall make its ratable portion of the requested Swingline Loan (such ratable portion to be calculated based upon such Swingline Lender’s Commitment to the total Commitments of all of the Swingline Lenders) available to the Borrower by means of a credit to an account of the Borrower with the Administrative Agent designated for such purpose (or, in the case of a Swingline Loan made to finance the reimbursement of an LC Disbursement as provided in </w:t>
      </w:r>
      <w:r>
        <w:rPr>
          <w:rFonts w:ascii="Arial" w:cs="Arial" w:eastAsia="Arial" w:hAnsi="Arial"/>
          <w:sz w:val="17"/>
          <w:szCs w:val="17"/>
          <w:u w:val="single" w:color="auto"/>
          <w:color w:val="auto"/>
        </w:rPr>
        <w:t>Section 2.06(e)</w:t>
      </w:r>
      <w:r>
        <w:rPr>
          <w:rFonts w:ascii="Arial" w:cs="Arial" w:eastAsia="Arial" w:hAnsi="Arial"/>
          <w:sz w:val="17"/>
          <w:szCs w:val="17"/>
          <w:color w:val="auto"/>
        </w:rPr>
        <w:t>, by remittance to the Issuing Bank) by 3:00 p.m., New York City time, on the requested date of such Swingline Loan.</w:t>
      </w:r>
    </w:p>
    <w:p>
      <w:pPr>
        <w:spacing w:after="0" w:line="180" w:lineRule="exact"/>
        <w:rPr>
          <w:rFonts w:ascii="Arial" w:cs="Arial" w:eastAsia="Arial" w:hAnsi="Arial"/>
          <w:sz w:val="17"/>
          <w:szCs w:val="17"/>
          <w:color w:val="auto"/>
        </w:rPr>
      </w:pPr>
    </w:p>
    <w:p>
      <w:pPr>
        <w:ind w:right="20" w:firstLine="436"/>
        <w:spacing w:after="0" w:line="259" w:lineRule="auto"/>
        <w:tabs>
          <w:tab w:leader="none" w:pos="8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any Swingline Lender to make its ratable portion of a Swingline Loan shall not relieve any other Swingline Lender of its obligation hereunder to make its ratable portion of such Swingline Loan on the date of such Swingline Loan, but no Swingline Lender shall be responsible for the failure of any other Swingline Lender to make the ratable portion of a Swingline Loan to be made by such other Swingline Lender on the date of any Swingline Loan.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5" w:name="page46"/>
    <w:bookmarkEnd w:id="45"/>
    <w:p>
      <w:pPr>
        <w:ind w:left="-40" w:right="60" w:firstLine="436"/>
        <w:spacing w:after="0" w:line="267"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Loans. Each Lender hereby absolutely and unconditionally agrees, promptly upon receipt of such notice from the Administrative Agent (and in any event, if such notice is received by 12:00 p.m. (noon), New York City time, on a Business Day no later than 4:00 p.m. New York City time on such Business Day and, if received after 12:00 p.m. (noon), New York City time on a Business Day, no later than 12:00 p.m. (noon) New York City time on the immediately succeeding Business Day), to pay to the Administrative Agent, for the account of such Swingline Lenders, such Lender’s applicable percentage of 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shall apply, mutatis mutandis, to the payment obligations of the Lenders), and the Administrative Agent shall promptly pay to such Swingline Lenders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such Swingline Lenders.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such Swingline Lenders, as their interests may appear;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83" w:lineRule="exact"/>
        <w:rPr>
          <w:rFonts w:ascii="Arial" w:cs="Arial" w:eastAsia="Arial" w:hAnsi="Arial"/>
          <w:sz w:val="17"/>
          <w:szCs w:val="17"/>
          <w:color w:val="auto"/>
        </w:rPr>
      </w:pPr>
    </w:p>
    <w:p>
      <w:pPr>
        <w:ind w:left="-40" w:firstLine="436"/>
        <w:spacing w:after="0" w:line="289" w:lineRule="auto"/>
        <w:tabs>
          <w:tab w:leader="none" w:pos="77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Any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w:t>
      </w:r>
      <w:r>
        <w:rPr>
          <w:rFonts w:ascii="Arial" w:cs="Arial" w:eastAsia="Arial" w:hAnsi="Arial"/>
          <w:sz w:val="16"/>
          <w:szCs w:val="16"/>
          <w:u w:val="single" w:color="auto"/>
          <w:color w:val="auto"/>
        </w:rPr>
        <w:t>Section 2.13(a)</w:t>
      </w:r>
      <w:r>
        <w:rPr>
          <w:rFonts w:ascii="Arial" w:cs="Arial" w:eastAsia="Arial" w:hAnsi="Arial"/>
          <w:sz w:val="16"/>
          <w:szCs w:val="16"/>
          <w:color w:val="auto"/>
        </w:rPr>
        <w:t>.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66" w:lineRule="exact"/>
        <w:rPr>
          <w:rFonts w:ascii="Arial" w:cs="Arial" w:eastAsia="Arial" w:hAnsi="Arial"/>
          <w:sz w:val="16"/>
          <w:szCs w:val="16"/>
          <w:color w:val="auto"/>
        </w:rPr>
      </w:pPr>
    </w:p>
    <w:p>
      <w:pPr>
        <w:jc w:val="both"/>
        <w:ind w:left="-40" w:right="60" w:firstLine="436"/>
        <w:spacing w:after="0" w:line="26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Subject to the appointment and acceptance of a successor Swingline Lender, any Swingline Lender may resign as a Swingline Lender at any time upon thirty (30) days’ prior written notice to the Administrative Agent, the Borrower and the Lenders, in which case, such Swingline Lender shall be replaced in accordance with </w:t>
      </w:r>
      <w:r>
        <w:rPr>
          <w:rFonts w:ascii="Arial" w:cs="Arial" w:eastAsia="Arial" w:hAnsi="Arial"/>
          <w:sz w:val="18"/>
          <w:szCs w:val="18"/>
          <w:u w:val="single" w:color="auto"/>
          <w:color w:val="auto"/>
        </w:rPr>
        <w:t>Section 2.04(e)</w:t>
      </w:r>
      <w:r>
        <w:rPr>
          <w:rFonts w:ascii="Arial" w:cs="Arial" w:eastAsia="Arial" w:hAnsi="Arial"/>
          <w:sz w:val="18"/>
          <w:szCs w:val="18"/>
          <w:color w:val="auto"/>
        </w:rPr>
        <w:t xml:space="preserve"> above.</w:t>
      </w:r>
    </w:p>
    <w:p>
      <w:pPr>
        <w:spacing w:after="0" w:line="184" w:lineRule="exact"/>
        <w:rPr>
          <w:sz w:val="20"/>
          <w:szCs w:val="20"/>
          <w:color w:val="auto"/>
        </w:rPr>
      </w:pPr>
    </w:p>
    <w:p>
      <w:pPr>
        <w:ind w:left="400"/>
        <w:spacing w:after="0"/>
        <w:tabs>
          <w:tab w:leader="none" w:pos="16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[Reserved].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480" w:top="274" w:right="499" w:bottom="1440" w:gutter="0" w:footer="0" w:header="0"/>
        </w:sectPr>
      </w:pPr>
    </w:p>
    <w:bookmarkStart w:id="46" w:name="page47"/>
    <w:bookmarkEnd w:id="46"/>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2.06</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84"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the Borrower may request the issuance of (and the Issuing Bank shall issue) Letters of Credit denominated in Dollars, as the applicant thereof for the support of its or its Subsidiaries’ obligations in a form reasonably acceptable to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Borrower will be fully responsible for the reimbursement of LC Disbursements in accordance with the terms hereof, the payment of interest thereon and the payment of fees due under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in either such case, in violation of any such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regardless of the date enacted, adopted, issued or implemented</w:t>
      </w:r>
    </w:p>
    <w:p>
      <w:pPr>
        <w:spacing w:after="0" w:line="389" w:lineRule="exact"/>
        <w:rPr>
          <w:rFonts w:ascii="Arial" w:cs="Arial" w:eastAsia="Arial" w:hAnsi="Arial"/>
          <w:sz w:val="16"/>
          <w:szCs w:val="16"/>
          <w:color w:val="auto"/>
        </w:rPr>
      </w:pPr>
    </w:p>
    <w:p>
      <w:pPr>
        <w:ind w:right="20" w:firstLine="436"/>
        <w:spacing w:after="0" w:line="290" w:lineRule="auto"/>
        <w:tabs>
          <w:tab w:leader="none" w:pos="83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xml:space="preserve">. To request the issuance of a Letter of Credit (or the amendment, renewal or extension of an outstanding Letter of Credit), the Borrower shall hand deliver or fax (or transmit by electronic communication, if arrangements for doing so have been approved by the applicable Issuing Bank) to the applicable Issuing Bank and the Administrative Agent (reasonably in advance of, but in any event no less than three (3)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2.06</w:t>
      </w:r>
      <w:r>
        <w:rPr>
          <w:rFonts w:ascii="Arial" w:cs="Arial" w:eastAsia="Arial" w:hAnsi="Arial"/>
          <w:sz w:val="16"/>
          <w:szCs w:val="16"/>
          <w:color w:val="auto"/>
        </w:rPr>
        <w:t>) and whether such Letter of Credit shall contain automatic extension or renewal provisions, the amount of such Letter of Credit, the name and address of the beneficiary thereof and such other information as shall be necessary 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7" w:name="page48"/>
    <w:bookmarkEnd w:id="47"/>
    <w:p>
      <w:pPr>
        <w:ind w:right="2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$5.0 million and (ii) the Aggregate Credit Exposure shall not exceed the aggregate Commitments of all Lenders.</w:t>
      </w:r>
    </w:p>
    <w:p>
      <w:pPr>
        <w:spacing w:after="0" w:line="176" w:lineRule="exact"/>
        <w:rPr>
          <w:sz w:val="20"/>
          <w:szCs w:val="20"/>
          <w:color w:val="auto"/>
        </w:rPr>
      </w:pPr>
    </w:p>
    <w:p>
      <w:pPr>
        <w:ind w:firstLine="436"/>
        <w:spacing w:after="0" w:line="286" w:lineRule="auto"/>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renewal or extension thereof, including any automatic renewal provision, one year after such renewal or extension) and (ii) the date that is five (5) Business Days prior to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Borrower’s request, any such Letter of Credit which is issued in the final year prior to the Maturity Date may have an expiry date which is up to one year after the Maturity Date if, at least five (5) Business Days prior to the Maturity Date, the Borrower (A) deposits with the Administrative Agent cash collateral in an amount equal to 103% of the amount of the LC Exposure as of such date or (B) provides a backup standby letter of credit, in each case, reasonably satisfactory to the relevant Issuing Bank. Each Letter of Credit with automatic extension or renewal provisions shall, subject to the right of the respective Issuing Bank to terminate such automatic renewal in accordance with the terms of such Letter of Credit upon the occurrence of an Event of Default, be automatically renewed for a successive one-year period on each anniversary of the date of the issuance of such Letter of Credit, until cancelled by the Borrower by notice to the applicable Issuing Bank in accordance with the terms of such Letter of Credit agreed upon at the time such Letter of Credit is issued;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Letter of Credit shall expire at or prior to the close of business on the date that is five (5) Business Days prior to the Maturity Date if not earlier cancelled, unless otherwise agreed with the relevant Issuing Bank and subject to satisfactory arrangements with respect thereto as contemplated above.</w:t>
      </w:r>
    </w:p>
    <w:p>
      <w:pPr>
        <w:spacing w:after="0" w:line="173" w:lineRule="exact"/>
        <w:rPr>
          <w:rFonts w:ascii="Arial" w:cs="Arial" w:eastAsia="Arial" w:hAnsi="Arial"/>
          <w:sz w:val="16"/>
          <w:szCs w:val="16"/>
          <w:color w:val="auto"/>
        </w:rPr>
      </w:pPr>
    </w:p>
    <w:p>
      <w:pPr>
        <w:ind w:right="200" w:firstLine="436"/>
        <w:spacing w:after="0" w:line="288" w:lineRule="auto"/>
        <w:tabs>
          <w:tab w:leader="none" w:pos="83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such Issuing Bank, such Lender’s Applicable Percentage of each LC Disbursement made by such Issuing Bank and not reimbursed by the Borrower on the date due as provided in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2.06</w:t>
      </w:r>
      <w:r>
        <w:rPr>
          <w:rFonts w:ascii="Arial" w:cs="Arial" w:eastAsia="Arial" w:hAnsi="Arial"/>
          <w:sz w:val="16"/>
          <w:szCs w:val="16"/>
          <w:color w:val="auto"/>
        </w:rPr>
        <w:t>,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68" w:lineRule="exact"/>
        <w:rPr>
          <w:rFonts w:ascii="Arial" w:cs="Arial" w:eastAsia="Arial" w:hAnsi="Arial"/>
          <w:sz w:val="16"/>
          <w:szCs w:val="16"/>
          <w:color w:val="auto"/>
        </w:rPr>
      </w:pPr>
    </w:p>
    <w:p>
      <w:pPr>
        <w:ind w:right="120" w:firstLine="436"/>
        <w:spacing w:after="0" w:line="273"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 Issuing Bank shall make any LC Disbursement in respect of a Letter of Credit, the Borrower shall reimburse such LC Disbursement by paying to the Administrative Agent an amount (in the applicable currency) equal to such LC Disbursement not later than 12:00 p.m. (noon), New York City time, on the Business Day immediately following the day that the Borrower receives such notice, if such notice is not received prior to such time on the day of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subject to the conditions to borrowing set forth herein, request in accordance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2.04</w:t>
      </w:r>
      <w:r>
        <w:rPr>
          <w:rFonts w:ascii="Arial" w:cs="Arial" w:eastAsia="Arial" w:hAnsi="Arial"/>
          <w:sz w:val="17"/>
          <w:szCs w:val="17"/>
          <w:color w:val="auto"/>
        </w:rPr>
        <w:t xml:space="preserve"> that such payment be financed with an ABR Borrowing or Swingline Loan in an amount equal to such payment and, to the extent so financed, the Borrower’s obligation to make such payment shall be discharged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8" w:name="page49"/>
    <w:bookmarkEnd w:id="48"/>
    <w:p>
      <w:pPr>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replaced by the resulting ABR Borrowing or Swingline Loan.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with respect to Loans made by such Lender (and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or a Swingline Loan as contemplated above) shall not constitute a Loan and shall not relieve the Borrower of its obligation to reimburse such LC Disbursement.</w:t>
      </w:r>
    </w:p>
    <w:p>
      <w:pPr>
        <w:spacing w:after="0" w:line="192" w:lineRule="exact"/>
        <w:rPr>
          <w:sz w:val="20"/>
          <w:szCs w:val="20"/>
          <w:color w:val="auto"/>
        </w:rPr>
      </w:pPr>
    </w:p>
    <w:p>
      <w:pPr>
        <w:ind w:left="4" w:right="60" w:firstLine="436"/>
        <w:spacing w:after="0" w:line="287" w:lineRule="auto"/>
        <w:tabs>
          <w:tab w:leader="none" w:pos="804"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w:t>
      </w:r>
    </w:p>
    <w:p>
      <w:pPr>
        <w:spacing w:after="0" w:line="2" w:lineRule="exact"/>
        <w:rPr>
          <w:rFonts w:ascii="Arial" w:cs="Arial" w:eastAsia="Arial" w:hAnsi="Arial"/>
          <w:sz w:val="16"/>
          <w:szCs w:val="16"/>
          <w:color w:val="auto"/>
        </w:rPr>
      </w:pPr>
    </w:p>
    <w:p>
      <w:pPr>
        <w:ind w:left="4" w:hanging="4"/>
        <w:spacing w:after="0" w:line="266" w:lineRule="auto"/>
        <w:tabs>
          <w:tab w:leader="none" w:pos="2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9" w:lineRule="exact"/>
        <w:rPr>
          <w:rFonts w:ascii="Arial" w:cs="Arial" w:eastAsia="Arial" w:hAnsi="Arial"/>
          <w:sz w:val="17"/>
          <w:szCs w:val="17"/>
          <w:color w:val="auto"/>
        </w:rPr>
      </w:pPr>
    </w:p>
    <w:p>
      <w:pPr>
        <w:ind w:left="4" w:right="20" w:firstLine="436"/>
        <w:spacing w:after="0" w:line="263" w:lineRule="auto"/>
        <w:tabs>
          <w:tab w:leader="none" w:pos="83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The applicable Issuing Bank shall, promptly following its receipt thereof, examine all documents purporting to represent a demand for payment under a Letter of Credit. Such Issuing Bank shall promptly notify the Administrative Agent and the Borrower in writing 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9" w:name="page50"/>
    <w:bookmarkEnd w:id="49"/>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any failure to give or delay in giving such notice shall not relieve the Borrower of its obligation to reimburse such Issuing Bank and the Lenders with respect to any such LC Disbursement.</w:t>
      </w:r>
    </w:p>
    <w:p>
      <w:pPr>
        <w:spacing w:after="0" w:line="184" w:lineRule="exact"/>
        <w:rPr>
          <w:sz w:val="20"/>
          <w:szCs w:val="20"/>
          <w:color w:val="auto"/>
        </w:rPr>
      </w:pPr>
    </w:p>
    <w:p>
      <w:pPr>
        <w:ind w:right="140" w:firstLine="436"/>
        <w:spacing w:after="0" w:line="291" w:lineRule="auto"/>
        <w:tabs>
          <w:tab w:leader="none" w:pos="83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or finances such LC Disbursement, at the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then applicable to ABR Loans and such interest shall be payable on the date when such reimbursement is due;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or finance such LC Disbursement when due pursuant to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then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shall apply. Interest accrued pursuant to this paragraph shall be for the account of the applicable Issuing Bank, except that interest accrued on and after the date of payment by any Lender pursuant to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to reimburse such Issuing Bank shall be for the account of such Lender to the extent of such payment.</w:t>
      </w:r>
    </w:p>
    <w:p>
      <w:pPr>
        <w:spacing w:after="0" w:line="166" w:lineRule="exact"/>
        <w:rPr>
          <w:rFonts w:ascii="Arial" w:cs="Arial" w:eastAsia="Arial" w:hAnsi="Arial"/>
          <w:sz w:val="16"/>
          <w:szCs w:val="16"/>
          <w:color w:val="auto"/>
        </w:rPr>
      </w:pPr>
    </w:p>
    <w:p>
      <w:pPr>
        <w:ind w:firstLine="436"/>
        <w:spacing w:after="0" w:line="289" w:lineRule="auto"/>
        <w:tabs>
          <w:tab w:leader="none" w:pos="79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Replacement of an Issuing Bank</w:t>
      </w:r>
      <w:r>
        <w:rPr>
          <w:rFonts w:ascii="Arial" w:cs="Arial" w:eastAsia="Arial" w:hAnsi="Arial"/>
          <w:sz w:val="16"/>
          <w:szCs w:val="16"/>
          <w:color w:val="auto"/>
        </w:rPr>
        <w:t xml:space="preserve">.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Arial" w:cs="Arial" w:eastAsia="Arial" w:hAnsi="Arial"/>
          <w:sz w:val="16"/>
          <w:szCs w:val="16"/>
          <w:u w:val="single" w:color="auto"/>
          <w:color w:val="auto"/>
        </w:rPr>
        <w:t>Section 2.12(b)</w:t>
      </w:r>
      <w:r>
        <w:rPr>
          <w:rFonts w:ascii="Arial" w:cs="Arial" w:eastAsia="Arial" w:hAnsi="Arial"/>
          <w:sz w:val="16"/>
          <w:szCs w:val="16"/>
          <w:color w:val="auto"/>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66" w:lineRule="exact"/>
        <w:rPr>
          <w:rFonts w:ascii="Arial" w:cs="Arial" w:eastAsia="Arial" w:hAnsi="Arial"/>
          <w:sz w:val="16"/>
          <w:szCs w:val="16"/>
          <w:color w:val="auto"/>
        </w:rPr>
      </w:pPr>
    </w:p>
    <w:p>
      <w:pPr>
        <w:ind w:firstLine="436"/>
        <w:spacing w:after="0" w:line="285" w:lineRule="auto"/>
        <w:tabs>
          <w:tab w:leader="none" w:pos="79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Lenders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xml:space="preserve">”), an amount in cash equal to 103% of the amount of the LC Exposure as of such date plus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 hereby grants the Administrative Agent a security interest in the LC Collateral Account to secure the Obligations.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Banks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50" w:name="page51"/>
    <w:bookmarkEnd w:id="50"/>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If the Borrower is required to provide an amount of cash collateral hereunder as a result of the occurrence of an Event of Default, such amount (to the extent not applied as aforesaid) shall be returned to the Borrower within three (3) Business Days after all such Defaults have been cured or waived.</w:t>
      </w:r>
    </w:p>
    <w:p>
      <w:pPr>
        <w:spacing w:after="0" w:line="184" w:lineRule="exact"/>
        <w:rPr>
          <w:sz w:val="20"/>
          <w:szCs w:val="20"/>
          <w:color w:val="auto"/>
        </w:rPr>
      </w:pPr>
    </w:p>
    <w:p>
      <w:pPr>
        <w:ind w:firstLine="436"/>
        <w:spacing w:after="0" w:line="269" w:lineRule="auto"/>
        <w:tabs>
          <w:tab w:leader="none" w:pos="83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Issuing Bank Reports to the Administrative Agent</w:t>
      </w:r>
      <w:r>
        <w:rPr>
          <w:rFonts w:ascii="Arial" w:cs="Arial" w:eastAsia="Arial" w:hAnsi="Arial"/>
          <w:sz w:val="17"/>
          <w:szCs w:val="17"/>
          <w:color w:val="auto"/>
        </w:rPr>
        <w:t xml:space="preserve">. Unless otherwise agreed by the Administrative Agent, each Issuing Bank shall, in addition to its notification obligations set forth elsewhere in this </w:t>
      </w:r>
      <w:r>
        <w:rPr>
          <w:rFonts w:ascii="Arial" w:cs="Arial" w:eastAsia="Arial" w:hAnsi="Arial"/>
          <w:sz w:val="17"/>
          <w:szCs w:val="17"/>
          <w:u w:val="single" w:color="auto"/>
          <w:color w:val="auto"/>
        </w:rPr>
        <w:t>Section 2.06</w:t>
      </w:r>
      <w:r>
        <w:rPr>
          <w:rFonts w:ascii="Arial" w:cs="Arial" w:eastAsia="Arial" w:hAnsi="Arial"/>
          <w:sz w:val="17"/>
          <w:szCs w:val="17"/>
          <w:color w:val="auto"/>
        </w:rPr>
        <w:t>,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or finance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81" w:lineRule="exact"/>
        <w:rPr>
          <w:rFonts w:ascii="Arial" w:cs="Arial" w:eastAsia="Arial" w:hAnsi="Arial"/>
          <w:sz w:val="17"/>
          <w:szCs w:val="17"/>
          <w:color w:val="auto"/>
        </w:rPr>
      </w:pPr>
    </w:p>
    <w:p>
      <w:pPr>
        <w:ind w:right="140" w:firstLine="436"/>
        <w:spacing w:after="0" w:line="311" w:lineRule="auto"/>
        <w:tabs>
          <w:tab w:leader="none" w:pos="79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LC Exposure Determination</w:t>
      </w:r>
      <w:r>
        <w:rPr>
          <w:rFonts w:ascii="Arial" w:cs="Arial" w:eastAsia="Arial" w:hAnsi="Arial"/>
          <w:sz w:val="16"/>
          <w:szCs w:val="16"/>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4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225" w:lineRule="exact"/>
        <w:rPr>
          <w:sz w:val="20"/>
          <w:szCs w:val="20"/>
          <w:color w:val="auto"/>
        </w:rPr>
      </w:pPr>
    </w:p>
    <w:p>
      <w:pPr>
        <w:ind w:right="60" w:firstLine="436"/>
        <w:spacing w:after="0" w:line="25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Each Lender shall make each Loan to be made by it hereunder on the proposed date thereof by wire transfer of immediately available funds by 2:00 p.m. (noon), New York City time, to the account of the Administrative Agent most recently designated by it for such purpose by notice to the Lenders in an amount equal to such Lender’s Applicable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Swingline Loans shall be made as provided in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The Administrative Agent will make such Loans available to the Borrower by promptly crediting the amounts so received, in like funds, to an account of the Borrower maintained with the Administrative Agent and designated by the Borrower in the applicable Borrowing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ABR Loans made to finance the reimbursement of an LC Disbursement as provided in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shall be remitted by the Administrative Agent to the Issuing Banks.</w:t>
      </w:r>
    </w:p>
    <w:p>
      <w:pPr>
        <w:spacing w:after="0" w:line="194" w:lineRule="exact"/>
        <w:rPr>
          <w:rFonts w:ascii="Arial" w:cs="Arial" w:eastAsia="Arial" w:hAnsi="Arial"/>
          <w:sz w:val="18"/>
          <w:szCs w:val="18"/>
          <w:color w:val="auto"/>
        </w:rPr>
      </w:pPr>
    </w:p>
    <w:p>
      <w:pPr>
        <w:ind w:right="20" w:firstLine="436"/>
        <w:spacing w:after="0" w:line="253" w:lineRule="auto"/>
        <w:tabs>
          <w:tab w:leader="none" w:pos="8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1" w:name="page52"/>
    <w:bookmarkEnd w:id="51"/>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2.08</w:t>
      </w:r>
      <w:r>
        <w:rPr>
          <w:sz w:val="20"/>
          <w:szCs w:val="20"/>
          <w:color w:val="auto"/>
        </w:rPr>
        <w:tab/>
      </w:r>
      <w:r>
        <w:rPr>
          <w:rFonts w:ascii="Arial" w:cs="Arial" w:eastAsia="Arial" w:hAnsi="Arial"/>
          <w:sz w:val="16"/>
          <w:szCs w:val="16"/>
          <w:u w:val="single" w:color="auto"/>
          <w:color w:val="auto"/>
        </w:rPr>
        <w:t>Interest Elections</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73" w:lineRule="auto"/>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w:t>
      </w:r>
      <w:r>
        <w:rPr>
          <w:rFonts w:ascii="Arial" w:cs="Arial" w:eastAsia="Arial" w:hAnsi="Arial"/>
          <w:sz w:val="17"/>
          <w:szCs w:val="17"/>
          <w:u w:val="single" w:color="auto"/>
          <w:color w:val="auto"/>
        </w:rPr>
        <w:t>Section 2.08</w:t>
      </w:r>
      <w:r>
        <w:rPr>
          <w:rFonts w:ascii="Arial" w:cs="Arial" w:eastAsia="Arial" w:hAnsi="Arial"/>
          <w:sz w:val="17"/>
          <w:szCs w:val="17"/>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77" w:lineRule="exact"/>
        <w:rPr>
          <w:rFonts w:ascii="Arial" w:cs="Arial" w:eastAsia="Arial" w:hAnsi="Arial"/>
          <w:sz w:val="17"/>
          <w:szCs w:val="17"/>
          <w:color w:val="auto"/>
        </w:rPr>
      </w:pPr>
    </w:p>
    <w:p>
      <w:pPr>
        <w:ind w:right="60" w:firstLine="436"/>
        <w:spacing w:after="0" w:line="296" w:lineRule="auto"/>
        <w:tabs>
          <w:tab w:leader="none" w:pos="827"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To make an election pursuant to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the Borrower shall notify the Administrative Agent of such election either in writing (by hand delivery, fax or email) in substantially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and signed by the Borrower or by telephone by the time that a Borrowing Request would be required under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if the Borrower were requesting a Borrowing of the Type resulting from such election to be made on the effective date of such election. Each such telephonic Interest Election Request shall be irrevocable and shall be confirmed promptly by hand delivery, fax or e-mail to the Administrative Agent of a written Interest Election Request in substantially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and signed by the Borrower.</w:t>
      </w:r>
    </w:p>
    <w:p>
      <w:pPr>
        <w:spacing w:after="0" w:line="161" w:lineRule="exact"/>
        <w:rPr>
          <w:rFonts w:ascii="Arial" w:cs="Arial" w:eastAsia="Arial" w:hAnsi="Arial"/>
          <w:sz w:val="16"/>
          <w:szCs w:val="16"/>
          <w:color w:val="auto"/>
        </w:rPr>
      </w:pPr>
    </w:p>
    <w:p>
      <w:pPr>
        <w:ind w:left="820" w:hanging="38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91" w:lineRule="auto"/>
        <w:tabs>
          <w:tab w:leader="none" w:pos="1213"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6"/>
          <w:szCs w:val="16"/>
          <w:u w:val="single" w:color="auto"/>
          <w:color w:val="auto"/>
        </w:rPr>
        <w:t>clauses</w:t>
      </w:r>
    </w:p>
    <w:p>
      <w:pPr>
        <w:ind w:left="760" w:hanging="324"/>
        <w:spacing w:after="0"/>
        <w:tabs>
          <w:tab w:leader="none" w:pos="760" w:val="left"/>
        </w:tabs>
        <w:numPr>
          <w:ilvl w:val="0"/>
          <w:numId w:val="33"/>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below shall be specified for each resulting Borrowing);</w:t>
      </w:r>
    </w:p>
    <w:p>
      <w:pPr>
        <w:spacing w:after="0" w:line="102" w:lineRule="exact"/>
        <w:rPr>
          <w:rFonts w:ascii="Arial" w:cs="Arial" w:eastAsia="Arial" w:hAnsi="Arial"/>
          <w:sz w:val="18"/>
          <w:szCs w:val="18"/>
          <w:u w:val="single" w:color="auto"/>
          <w:color w:val="auto"/>
        </w:rPr>
      </w:pPr>
    </w:p>
    <w:p>
      <w:pPr>
        <w:ind w:left="1260" w:hanging="401"/>
        <w:spacing w:after="0"/>
        <w:tabs>
          <w:tab w:leader="none" w:pos="12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Eurodollar Borrowing; and</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303"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any such Interest Election Request requests a Eurodollar Borrowing but does not specify an Interest Period, then the Borrower shall be deemed to have selected an Interest Period of one month’s duration.</w:t>
      </w:r>
    </w:p>
    <w:p>
      <w:pPr>
        <w:spacing w:after="0" w:line="170" w:lineRule="exact"/>
        <w:rPr>
          <w:sz w:val="20"/>
          <w:szCs w:val="20"/>
          <w:color w:val="auto"/>
        </w:rPr>
      </w:pPr>
    </w:p>
    <w:p>
      <w:pPr>
        <w:ind w:right="180" w:firstLine="436"/>
        <w:spacing w:after="0" w:line="277" w:lineRule="auto"/>
        <w:tabs>
          <w:tab w:leader="none" w:pos="8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ind w:right="420" w:firstLine="436"/>
        <w:spacing w:after="0" w:line="277"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Borrower fails to deliver a timely Interest Election Request with respect to a Eurodollar Borrowing prior to the end of the Interest Period applicable thereto, then, unless such Borrowing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52" w:name="page53"/>
    <w:bookmarkEnd w:id="52"/>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88"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225"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Unless previously terminated or extended pursuant to the terms and conditions hereof, all Commitments shall terminate on the Maturity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820" w:hanging="384"/>
        <w:spacing w:after="0"/>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Borrower may at any time, without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premium or penalty, terminate the Commitments upon Payment in Full.</w:t>
      </w:r>
    </w:p>
    <w:p>
      <w:pPr>
        <w:spacing w:after="0" w:line="248" w:lineRule="exact"/>
        <w:rPr>
          <w:rFonts w:ascii="Arial" w:cs="Arial" w:eastAsia="Arial" w:hAnsi="Arial"/>
          <w:sz w:val="16"/>
          <w:szCs w:val="16"/>
          <w:color w:val="auto"/>
        </w:rPr>
      </w:pPr>
    </w:p>
    <w:p>
      <w:pPr>
        <w:ind w:right="20" w:firstLine="436"/>
        <w:spacing w:after="0" w:line="301" w:lineRule="auto"/>
        <w:tabs>
          <w:tab w:leader="none" w:pos="8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Borrower may from time to time, without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premium or penalty, reduce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shall be in an amount that is an integral multiple of $1.0 million and not less than $5.0 million (or if less, the aggregate amount of the outstanding Commitments), and (ii) the Borrower shall not reduce the Commitments if, after giving effect to any concurrent prepayment of the Loans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the Aggregate Credit Exposure would exceed the aggregate Commitments of all Lenders.</w:t>
      </w:r>
    </w:p>
    <w:p>
      <w:pPr>
        <w:spacing w:after="0" w:line="157" w:lineRule="exact"/>
        <w:rPr>
          <w:rFonts w:ascii="Arial" w:cs="Arial" w:eastAsia="Arial" w:hAnsi="Arial"/>
          <w:sz w:val="16"/>
          <w:szCs w:val="16"/>
          <w:color w:val="auto"/>
        </w:rPr>
      </w:pPr>
    </w:p>
    <w:p>
      <w:pPr>
        <w:ind w:right="200" w:firstLine="436"/>
        <w:spacing w:after="0" w:line="290" w:lineRule="auto"/>
        <w:tabs>
          <w:tab w:leader="none" w:pos="827"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of any election to terminate or reduce the Commitments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at least three (3) Business Days prior to the effective date of such termination or reduction (or such shorter period as the Administrative Agent may agree), specifying such election and the effective date thereof. Promptly following receipt of any notice, the Administrative Agent shall advise the Lenders of the contents thereof. Each notice delivered by the Borrower pursuant to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of termination of the Commitments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ind w:right="320" w:firstLine="436"/>
        <w:spacing w:after="0" w:line="275" w:lineRule="auto"/>
        <w:tabs>
          <w:tab w:leader="none" w:pos="817"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Borrower hereby unconditionally promises to pay (i) to the Administrative Agent for the account of each Lender the then unpaid principal amount of each Loan on the Maturity Date and (ii) to the Administrative Agent for the account of the Swingline Lenders the then unpaid principal amount of each Swingline Loan on the earlier of the Maturity Date and the date that is five (5) Business Days after such Swingline Loan is made; </w:t>
      </w:r>
      <w:r>
        <w:rPr>
          <w:rFonts w:ascii="Arial" w:cs="Arial" w:eastAsia="Arial" w:hAnsi="Arial"/>
          <w:sz w:val="17"/>
          <w:szCs w:val="17"/>
          <w:u w:val="single" w:color="auto"/>
          <w:color w:val="auto"/>
        </w:rPr>
        <w:t>provided</w:t>
      </w:r>
      <w:r>
        <w:rPr>
          <w:rFonts w:ascii="Arial" w:cs="Arial" w:eastAsia="Arial" w:hAnsi="Arial"/>
          <w:sz w:val="17"/>
          <w:szCs w:val="17"/>
          <w:color w:val="auto"/>
        </w:rPr>
        <w:t>, that on each date that a Borrowing is made, the Borrower shall repay all Swingline Loans then outstanding and the proceeds of any such Borrowing shall be applied by the Administrative Agent to repay any Swingline Loans then outstanding.</w:t>
      </w:r>
    </w:p>
    <w:p>
      <w:pPr>
        <w:spacing w:after="0" w:line="176" w:lineRule="exact"/>
        <w:rPr>
          <w:rFonts w:ascii="Arial" w:cs="Arial" w:eastAsia="Arial" w:hAnsi="Arial"/>
          <w:sz w:val="17"/>
          <w:szCs w:val="17"/>
          <w:color w:val="auto"/>
        </w:rPr>
      </w:pPr>
    </w:p>
    <w:p>
      <w:pPr>
        <w:ind w:firstLine="436"/>
        <w:spacing w:after="0" w:line="263" w:lineRule="auto"/>
        <w:tabs>
          <w:tab w:leader="none" w:pos="8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right="20" w:firstLine="436"/>
        <w:spacing w:after="0" w:line="277" w:lineRule="auto"/>
        <w:tabs>
          <w:tab w:leader="none" w:pos="8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Type thereof and the Interest Period applicable thereto, if any, (ii)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53" w:name="page54"/>
    <w:bookmarkEnd w:id="53"/>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0" w:lineRule="exact"/>
        <w:rPr>
          <w:sz w:val="20"/>
          <w:szCs w:val="20"/>
          <w:color w:val="auto"/>
        </w:rPr>
      </w:pPr>
    </w:p>
    <w:p>
      <w:pPr>
        <w:ind w:left="4" w:right="140" w:firstLine="436"/>
        <w:spacing w:after="0" w:line="257" w:lineRule="auto"/>
        <w:tabs>
          <w:tab w:leader="none" w:pos="8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the event of a conflict between the entries made in the accounts maintained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 the Register, the Register shall govern.</w:t>
      </w:r>
    </w:p>
    <w:p>
      <w:pPr>
        <w:spacing w:after="0" w:line="187" w:lineRule="exact"/>
        <w:rPr>
          <w:rFonts w:ascii="Arial" w:cs="Arial" w:eastAsia="Arial" w:hAnsi="Arial"/>
          <w:sz w:val="18"/>
          <w:szCs w:val="18"/>
          <w:color w:val="auto"/>
        </w:rPr>
      </w:pPr>
    </w:p>
    <w:p>
      <w:pPr>
        <w:ind w:left="4" w:firstLine="436"/>
        <w:spacing w:after="0" w:line="279" w:lineRule="auto"/>
        <w:tabs>
          <w:tab w:leader="none" w:pos="814"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Any Lender may request that Loans made by it be evidenced by a promissory note in substantially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completed as appropriate (each a “</w:t>
      </w:r>
      <w:r>
        <w:rPr>
          <w:rFonts w:ascii="Arial" w:cs="Arial" w:eastAsia="Arial" w:hAnsi="Arial"/>
          <w:sz w:val="17"/>
          <w:szCs w:val="17"/>
          <w:u w:val="single" w:color="auto"/>
          <w:color w:val="auto"/>
        </w:rPr>
        <w:t>Note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Notes</w:t>
      </w:r>
      <w:r>
        <w:rPr>
          <w:rFonts w:ascii="Arial" w:cs="Arial" w:eastAsia="Arial" w:hAnsi="Arial"/>
          <w:sz w:val="17"/>
          <w:szCs w:val="17"/>
          <w:color w:val="auto"/>
        </w:rPr>
        <w:t xml:space="preserve">”). In such event, the Borrower shall prepare, execute and deliver to such Lender a Note payable to such Lender and its registered assigns. Thereafter, the Loans evidenced by such Note and interest thereon shall at all times (including after assignment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be represented by one or more Notes in such form payable to such payee and its registered assigns.</w:t>
      </w:r>
    </w:p>
    <w:p>
      <w:pPr>
        <w:spacing w:after="0" w:line="171" w:lineRule="exact"/>
        <w:rPr>
          <w:sz w:val="20"/>
          <w:szCs w:val="20"/>
          <w:color w:val="auto"/>
        </w:rPr>
      </w:pPr>
    </w:p>
    <w:p>
      <w:pPr>
        <w:ind w:left="444"/>
        <w:spacing w:after="0"/>
        <w:tabs>
          <w:tab w:leader="none" w:pos="1704"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25" w:lineRule="exact"/>
        <w:rPr>
          <w:sz w:val="20"/>
          <w:szCs w:val="20"/>
          <w:color w:val="auto"/>
        </w:rPr>
      </w:pPr>
    </w:p>
    <w:p>
      <w:pPr>
        <w:ind w:left="4" w:right="340" w:firstLine="436"/>
        <w:spacing w:after="0" w:line="277" w:lineRule="auto"/>
        <w:tabs>
          <w:tab w:leader="none" w:pos="821"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The Borrower shall have the right at any time and from time to time, without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premium or penalty, to prepay any Borrowing in whole or in part, subject to prior notice in accordance with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firstLine="436"/>
        <w:spacing w:after="0" w:line="263" w:lineRule="auto"/>
        <w:tabs>
          <w:tab w:leader="none" w:pos="8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In the event and on such occasion that the Aggregate Credit Exposure exceeds the aggregate Commitments of all Lenders, the Borrower shall prepay the Loans (including any Swingline Loans) and/or cash collateralize the LC Exposure (in accordance with </w:t>
      </w:r>
      <w:r>
        <w:rPr>
          <w:rFonts w:ascii="Arial" w:cs="Arial" w:eastAsia="Arial" w:hAnsi="Arial"/>
          <w:sz w:val="18"/>
          <w:szCs w:val="18"/>
          <w:u w:val="single" w:color="auto"/>
          <w:color w:val="auto"/>
        </w:rPr>
        <w:t>Section 2.06(j))</w:t>
      </w:r>
      <w:r>
        <w:rPr>
          <w:rFonts w:ascii="Arial" w:cs="Arial" w:eastAsia="Arial" w:hAnsi="Arial"/>
          <w:sz w:val="18"/>
          <w:szCs w:val="18"/>
          <w:color w:val="auto"/>
        </w:rPr>
        <w:t xml:space="preserve"> in an aggregate amount equal to such excess.</w:t>
      </w:r>
    </w:p>
    <w:p>
      <w:pPr>
        <w:spacing w:after="0" w:line="183" w:lineRule="exact"/>
        <w:rPr>
          <w:rFonts w:ascii="Arial" w:cs="Arial" w:eastAsia="Arial" w:hAnsi="Arial"/>
          <w:sz w:val="18"/>
          <w:szCs w:val="18"/>
          <w:color w:val="auto"/>
        </w:rPr>
      </w:pPr>
    </w:p>
    <w:p>
      <w:pPr>
        <w:ind w:left="4" w:right="160" w:firstLine="436"/>
        <w:spacing w:after="0" w:line="291" w:lineRule="auto"/>
        <w:tabs>
          <w:tab w:leader="none" w:pos="821"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Borrower shall notify the Administrative Agent (and, in the case of prepayment of Swingline Loans, the Swingline Lenders) in writing of any prepayment hereunder (i) in the case of prepayment of a Eurodollar Borrowing, not later than 12:00 p.m. (noon), New York City time, three</w:t>
      </w:r>
    </w:p>
    <w:p>
      <w:pPr>
        <w:ind w:left="4" w:hanging="4"/>
        <w:spacing w:after="0" w:line="268" w:lineRule="auto"/>
        <w:tabs>
          <w:tab w:leader="none" w:pos="259"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Business Days before the date of prepayment, (ii) in the case of prepayment of an ABR Borrowing, not later than 12:00 p.m. (noon), New York City time, one (1) Business Day before the date of prepayment or (iii) in the case of prepayment of a Swingline Loan, not later than 12:00 p.m. (noon), New York City time, on the date of prepayment, in each case, or such shorter period as the Administrative Agent may agree.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Commitments as contemplated by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then such notice of prepayment may be revoked if such notice of termination is revoked in accordance with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Each prepayment of a Borrowing shall be applied ratably to the Loans included in the prepaid Borrowing. Prepayments shall be accompanied by accrued interest to the extent required by </w:t>
      </w:r>
      <w:r>
        <w:rPr>
          <w:rFonts w:ascii="Arial" w:cs="Arial" w:eastAsia="Arial" w:hAnsi="Arial"/>
          <w:sz w:val="17"/>
          <w:szCs w:val="17"/>
          <w:u w:val="single" w:color="auto"/>
          <w:color w:val="auto"/>
        </w:rPr>
        <w:t>Section 2.13</w:t>
      </w:r>
      <w:r>
        <w:rPr>
          <w:rFonts w:ascii="Arial" w:cs="Arial" w:eastAsia="Arial" w:hAnsi="Arial"/>
          <w:sz w:val="17"/>
          <w:szCs w:val="17"/>
          <w:color w:val="auto"/>
        </w:rPr>
        <w: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54" w:name="page55"/>
    <w:bookmarkEnd w:id="54"/>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right="180" w:firstLine="436"/>
        <w:spacing w:after="0" w:line="291" w:lineRule="auto"/>
        <w:tabs>
          <w:tab w:leader="none" w:pos="8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Borrower agrees to pay to the Administrative Agent for the account of each Lender (other than a Defaulting Lender, subject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a commitment fee, which shall accrue at the Commitment Fee Rate set forth in the definition of Applicable Rate on the average daily amount of the Available Commitment of such Lender during the period from and including the Effective Date to but excluding the date on which the Commitments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any Swingline Loan shall not be considered when calculating the amount of the Available Commitment. Accrued commitment fees shall be payable in arrears on the first Business Day of each January, April, July and October and on the date on which the Commitments terminate, commencing on the first such date to occur after the date hereof. All commitment fees shall be computed on the basis of a year of 360 days and shall be payable for the actual number of days elapsed.</w:t>
      </w:r>
    </w:p>
    <w:p>
      <w:pPr>
        <w:spacing w:after="0" w:line="166" w:lineRule="exact"/>
        <w:rPr>
          <w:rFonts w:ascii="Arial" w:cs="Arial" w:eastAsia="Arial" w:hAnsi="Arial"/>
          <w:sz w:val="16"/>
          <w:szCs w:val="16"/>
          <w:color w:val="auto"/>
        </w:rPr>
      </w:pPr>
    </w:p>
    <w:p>
      <w:pPr>
        <w:ind w:firstLine="436"/>
        <w:spacing w:after="0" w:line="286" w:lineRule="auto"/>
        <w:tabs>
          <w:tab w:leader="none" w:pos="827"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Borrower agrees to pay (i) to the Administrative Agent for the account of each Lender (other than a Defaulting Lender, subject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a participation fee with respect to its participations in Letters of Credit, which shall accrue at the same Applicable Rate used to determine the interest rate applicable to Eurodollar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a fronting fee, which shall accrue at the rate of 0.25%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on the average daily amount of each applicable Letter of Credit (excluding any portion thereof attributable to unreimbursed LC Disbursements) during the period from and including the Effective Date to but excluding the later of the date of termination of the Commitments and the date on which there ceases to be any LC Exposure, as well as the applicable Issuing Bank’s standard fees with respect to the issuance, amendment, renewal or extension of any Letter of Credit or processing of drawings thereunder. Participation fees and fronting fees accrued through and including the last day of each calendar quarter shall be payable on the first Business Day of each of each January, April, July and October following such last day,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w:t>
      </w:r>
    </w:p>
    <w:p>
      <w:pPr>
        <w:spacing w:after="0" w:line="170" w:lineRule="exact"/>
        <w:rPr>
          <w:rFonts w:ascii="Arial" w:cs="Arial" w:eastAsia="Arial" w:hAnsi="Arial"/>
          <w:sz w:val="16"/>
          <w:szCs w:val="16"/>
          <w:color w:val="auto"/>
        </w:rPr>
      </w:pPr>
    </w:p>
    <w:p>
      <w:pPr>
        <w:ind w:firstLine="436"/>
        <w:spacing w:after="0" w:line="277" w:lineRule="auto"/>
        <w:tabs>
          <w:tab w:leader="none" w:pos="8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and to any Lender, fees payable in the amounts and at the times separately agreed upon between the Borrower and the Administrative Agent or such Lender.</w:t>
      </w:r>
    </w:p>
    <w:p>
      <w:pPr>
        <w:spacing w:after="0" w:line="170" w:lineRule="exact"/>
        <w:rPr>
          <w:rFonts w:ascii="Arial" w:cs="Arial" w:eastAsia="Arial" w:hAnsi="Arial"/>
          <w:sz w:val="18"/>
          <w:szCs w:val="18"/>
          <w:color w:val="auto"/>
        </w:rPr>
      </w:pPr>
    </w:p>
    <w:p>
      <w:pPr>
        <w:ind w:firstLine="436"/>
        <w:spacing w:after="0" w:line="263"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right="700" w:firstLine="436"/>
        <w:spacing w:after="0" w:line="277" w:lineRule="auto"/>
        <w:tabs>
          <w:tab w:leader="none" w:pos="8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Loans comprising each ABR Borrowing (including each Swingline Loan) shall bear interest at the Alternate Base Rate plus the Applicable Rate.</w:t>
      </w:r>
    </w:p>
    <w:p>
      <w:pPr>
        <w:spacing w:after="0" w:line="170" w:lineRule="exact"/>
        <w:rPr>
          <w:rFonts w:ascii="Arial" w:cs="Arial" w:eastAsia="Arial" w:hAnsi="Arial"/>
          <w:sz w:val="18"/>
          <w:szCs w:val="18"/>
          <w:color w:val="auto"/>
        </w:rPr>
      </w:pPr>
    </w:p>
    <w:p>
      <w:pPr>
        <w:ind w:right="380" w:firstLine="436"/>
        <w:spacing w:after="0" w:line="277" w:lineRule="auto"/>
        <w:tabs>
          <w:tab w:leader="none" w:pos="8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Loans comprising each Eurodollar Borrowing shall bear interest at the Adjusted LIBO Rate for the Interest Period in effect for such Borrowing plus the Applicable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5" w:name="page56"/>
    <w:bookmarkEnd w:id="55"/>
    <w:p>
      <w:pPr>
        <w:ind w:right="420" w:firstLine="436"/>
        <w:spacing w:after="0" w:line="257"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upon the occurrence of an Event of Default pursuant to either </w:t>
      </w:r>
      <w:r>
        <w:rPr>
          <w:rFonts w:ascii="Arial" w:cs="Arial" w:eastAsia="Arial" w:hAnsi="Arial"/>
          <w:sz w:val="18"/>
          <w:szCs w:val="18"/>
          <w:u w:val="single" w:color="auto"/>
          <w:color w:val="auto"/>
        </w:rPr>
        <w:t>Article VII(a)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any unpaid principal, interest on any Loan, any fee or other amount payable by the Borrower hereunder shall automatically bear interest, after as well as before judgment,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(i) in the case of overdue principal of any Loan, 2.00% plus the rate otherwise applicable to such Loan as provided in the preceding paragraphs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(ii) in the case of any other amount, 2.00% plus the rate applicable to ABR Loans as provided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20" w:firstLine="436"/>
        <w:spacing w:after="0" w:line="255"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Accrued interest on each Loan (for ABR Loans, accrued through the last day of the prior calendar quarter) shall be payable in arrears on each Interest Payment Date for such Loan and upon termination of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92" w:lineRule="exact"/>
        <w:rPr>
          <w:rFonts w:ascii="Arial" w:cs="Arial" w:eastAsia="Arial" w:hAnsi="Arial"/>
          <w:sz w:val="18"/>
          <w:szCs w:val="18"/>
          <w:color w:val="auto"/>
        </w:rPr>
      </w:pPr>
    </w:p>
    <w:p>
      <w:pPr>
        <w:ind w:right="140" w:firstLine="436"/>
        <w:spacing w:after="0" w:line="279" w:lineRule="auto"/>
        <w:tabs>
          <w:tab w:leader="none" w:pos="81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71"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u w:val="single" w:color="auto"/>
          <w:color w:val="auto"/>
        </w:rPr>
        <w:t>SECTION 2.14</w:t>
      </w:r>
      <w:r>
        <w:rPr>
          <w:sz w:val="20"/>
          <w:szCs w:val="20"/>
          <w:color w:val="auto"/>
        </w:rPr>
        <w:tab/>
      </w:r>
      <w:r>
        <w:rPr>
          <w:rFonts w:ascii="Arial" w:cs="Arial" w:eastAsia="Arial" w:hAnsi="Arial"/>
          <w:sz w:val="16"/>
          <w:szCs w:val="16"/>
          <w:u w:val="single" w:color="auto"/>
          <w:color w:val="auto"/>
        </w:rPr>
        <w:t>Alternate Rate of Interest; Illegality</w:t>
      </w:r>
      <w:r>
        <w:rPr>
          <w:rFonts w:ascii="Arial" w:cs="Arial" w:eastAsia="Arial" w:hAnsi="Arial"/>
          <w:sz w:val="16"/>
          <w:szCs w:val="16"/>
          <w:color w:val="auto"/>
        </w:rPr>
        <w:t>.</w:t>
      </w:r>
    </w:p>
    <w:p>
      <w:pPr>
        <w:spacing w:after="0" w:line="225" w:lineRule="exact"/>
        <w:rPr>
          <w:sz w:val="20"/>
          <w:szCs w:val="20"/>
          <w:color w:val="auto"/>
        </w:rPr>
      </w:pPr>
    </w:p>
    <w:p>
      <w:pPr>
        <w:ind w:right="40" w:firstLine="436"/>
        <w:spacing w:after="0" w:line="263"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and clause (b)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if prior to the commencement of any Interest Period for a Eurodollar Borrowing the Administrative Agent determines (which determination shall be conclusive absent manifest error), or the Required Lenders notify the Administrative Agent (with a copy to the Borrower) that the Required Lenders have determined that:</w:t>
      </w:r>
    </w:p>
    <w:p>
      <w:pPr>
        <w:spacing w:after="0" w:line="75" w:lineRule="exact"/>
        <w:rPr>
          <w:rFonts w:ascii="Arial" w:cs="Arial" w:eastAsia="Arial" w:hAnsi="Arial"/>
          <w:sz w:val="18"/>
          <w:szCs w:val="18"/>
          <w:color w:val="auto"/>
        </w:rPr>
      </w:pPr>
    </w:p>
    <w:p>
      <w:pPr>
        <w:ind w:left="440" w:right="220" w:firstLine="419"/>
        <w:spacing w:after="0" w:line="263" w:lineRule="auto"/>
        <w:tabs>
          <w:tab w:leader="none" w:pos="121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LIBO Rate or Adjusted LIBO Rate, as applicable, for any requested Interest Period, including, without limitation, because the LIBO Rate is not available or published on a current basis and such circumstances are unlikely to be temporary; or</w:t>
      </w:r>
    </w:p>
    <w:p>
      <w:pPr>
        <w:spacing w:after="0" w:line="75" w:lineRule="exact"/>
        <w:rPr>
          <w:rFonts w:ascii="Arial" w:cs="Arial" w:eastAsia="Arial" w:hAnsi="Arial"/>
          <w:sz w:val="18"/>
          <w:szCs w:val="18"/>
          <w:color w:val="auto"/>
        </w:rPr>
      </w:pPr>
    </w:p>
    <w:p>
      <w:pPr>
        <w:ind w:left="440" w:right="80" w:firstLine="419"/>
        <w:spacing w:after="0" w:line="308" w:lineRule="auto"/>
        <w:tabs>
          <w:tab w:leader="none" w:pos="1263"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4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then the Administrative Agent shall give notice thereof to the Borrower and the Lenders through Electronic Systems as provided in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as promptly as practicable thereafter and, until the Administrative Agent notifies the Borrower and the Lenders that the circumstances giving rise to such notice no longer exist, the obligation of the Lenders to make or maintain Eurodollar Loans shall be suspended (to the extent of the affected Eurodollar Loans or Interest Periods). Upon receipt of such notice, the Borrower may revoke any pending request for a Eurodollar Borrowing of, conversion to or continuation of Eurodollar Loans (to the extent of the affected Eurodollar Loans or Interest Periods) or, failing that, will be deemed to have converted such request into a request for an ABR Borrowing in the amount specified therein.</w:t>
      </w:r>
    </w:p>
    <w:p>
      <w:pPr>
        <w:spacing w:after="0" w:line="178" w:lineRule="exact"/>
        <w:rPr>
          <w:sz w:val="20"/>
          <w:szCs w:val="20"/>
          <w:color w:val="auto"/>
        </w:rPr>
      </w:pPr>
    </w:p>
    <w:p>
      <w:pPr>
        <w:ind w:firstLine="436"/>
        <w:spacing w:after="0" w:line="277" w:lineRule="auto"/>
        <w:tabs>
          <w:tab w:leader="none" w:pos="8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after the date hereof, the adoption of any applicable law, or any change in any applicable law (whether adopted before or after the Effective Date), or any change in interpretation or administration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56" w:name="page57"/>
    <w:bookmarkEnd w:id="5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thereof by any Governmental Authority, central bank or comparable agency charged with the interpretation or administration thereof, or compliance by any Lender with any directive (whether or not having the force of law) of any such authority, central bank or comparable agency, shall make it unlawful or impossible for any Lender to make, maintain or fund its portion of Eurodollar Loans, such Lender shall so notify the Administrative Agent, and the Administrative Agent shall forthwith give notice thereof to the other Lenders and the Borrower. Before giving any notice to the Administrative Agent pursuant to this </w:t>
      </w:r>
      <w:r>
        <w:rPr>
          <w:rFonts w:ascii="Arial" w:cs="Arial" w:eastAsia="Arial" w:hAnsi="Arial"/>
          <w:sz w:val="17"/>
          <w:szCs w:val="17"/>
          <w:u w:val="single" w:color="auto"/>
          <w:color w:val="auto"/>
        </w:rPr>
        <w:t>Section 2.14(b)</w:t>
      </w:r>
      <w:r>
        <w:rPr>
          <w:rFonts w:ascii="Arial" w:cs="Arial" w:eastAsia="Arial" w:hAnsi="Arial"/>
          <w:sz w:val="17"/>
          <w:szCs w:val="17"/>
          <w:color w:val="auto"/>
        </w:rPr>
        <w:t xml:space="preserve">, such Lender shall designate a different lending office if such designation will avoid the need for giving such notice and will not, in the sole reasonable judgment of such Lender, be otherwise materially disadvantageous to such Lender. Upon receipt of such notice, notwithstanding anything contained in </w:t>
      </w:r>
      <w:r>
        <w:rPr>
          <w:rFonts w:ascii="Arial" w:cs="Arial" w:eastAsia="Arial" w:hAnsi="Arial"/>
          <w:sz w:val="17"/>
          <w:szCs w:val="17"/>
          <w:u w:val="single" w:color="auto"/>
          <w:color w:val="auto"/>
        </w:rPr>
        <w:t>Article II</w:t>
      </w:r>
      <w:r>
        <w:rPr>
          <w:rFonts w:ascii="Arial" w:cs="Arial" w:eastAsia="Arial" w:hAnsi="Arial"/>
          <w:sz w:val="17"/>
          <w:szCs w:val="17"/>
          <w:color w:val="auto"/>
        </w:rPr>
        <w:t>, the Borrower shall repay in full the then outstanding principal amount of such Lender’s portion of each affected Eurodollar Loan, together with accrued interest thereon, on either (i) the last day of the then current Interest Period applicable to such affected Eurodollar Loans if such Lender may lawfully continue to maintain and fund its portion of such Eurodollar Loan to such day or (ii) immediately if such Lender may not lawfully continue to fund and maintain its portion of such affected Eurodollar Loans to such day. Concurrently with repaying such portion of each affected Eurodollar Loan, the Borrower may borrow an ABR Loan from such Lender, whether or not it would have been entitled to effect such borrowing and such Lender shall make such Loan, if so requested, in an amount such that the outstanding principal amount of the affected Loan made by such Lender shall equal the outstanding principal amount of such Loan immediately prior to such repayment. The obligation of such Lender to make Eurodollar Loans is suspended only until such time as it is once more possible and legal for such Lender to fund and maintain Eurodollar Loans.</w:t>
      </w:r>
    </w:p>
    <w:p>
      <w:pPr>
        <w:spacing w:after="0" w:line="18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820" w:hanging="384"/>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7" w:lineRule="exact"/>
        <w:rPr>
          <w:rFonts w:ascii="Arial" w:cs="Arial" w:eastAsia="Arial" w:hAnsi="Arial"/>
          <w:sz w:val="18"/>
          <w:szCs w:val="18"/>
          <w:color w:val="auto"/>
        </w:rPr>
      </w:pPr>
    </w:p>
    <w:p>
      <w:pPr>
        <w:ind w:left="440" w:firstLine="419"/>
        <w:spacing w:after="0" w:line="263" w:lineRule="auto"/>
        <w:tabs>
          <w:tab w:leader="none" w:pos="1213" w:val="left"/>
        </w:tabs>
        <w:numPr>
          <w:ilvl w:val="1"/>
          <w:numId w:val="45"/>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75" w:lineRule="exact"/>
        <w:rPr>
          <w:rFonts w:ascii="Arial" w:cs="Arial" w:eastAsia="Arial" w:hAnsi="Arial"/>
          <w:sz w:val="18"/>
          <w:szCs w:val="18"/>
          <w:color w:val="auto"/>
        </w:rPr>
      </w:pPr>
    </w:p>
    <w:p>
      <w:pPr>
        <w:ind w:left="440" w:right="660" w:firstLine="419"/>
        <w:spacing w:after="0" w:line="277" w:lineRule="auto"/>
        <w:tabs>
          <w:tab w:leader="none" w:pos="1263" w:val="left"/>
        </w:tabs>
        <w:numPr>
          <w:ilvl w:val="1"/>
          <w:numId w:val="45"/>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cost or expense affecting this Agreement or Eurodollar Loans made by such Lender or any Letter of Credit or participation therein; or</w:t>
      </w:r>
    </w:p>
    <w:p>
      <w:pPr>
        <w:spacing w:after="0" w:line="62" w:lineRule="exact"/>
        <w:rPr>
          <w:rFonts w:ascii="Arial" w:cs="Arial" w:eastAsia="Arial" w:hAnsi="Arial"/>
          <w:sz w:val="18"/>
          <w:szCs w:val="18"/>
          <w:color w:val="auto"/>
        </w:rPr>
      </w:pPr>
    </w:p>
    <w:p>
      <w:pPr>
        <w:ind w:left="440" w:right="40" w:firstLine="419"/>
        <w:spacing w:after="0" w:line="263" w:lineRule="auto"/>
        <w:tabs>
          <w:tab w:leader="none" w:pos="1313"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Excluded Taxes and (C) Connection Income Taxes) on its loans, loan principal, letters of credit, commitments, or other obligations, or its deposits, reserves, other liabilities or capital attributable thereto;</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 into or maintaining any Eurodollar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such additional amount or amounts as will compensate such Lender or such Issuing Bank, as the case may be, for such additional costs incurred or reduction suffered.</w:t>
      </w:r>
    </w:p>
    <w:p>
      <w:pPr>
        <w:spacing w:after="0" w:line="192" w:lineRule="exact"/>
        <w:rPr>
          <w:sz w:val="20"/>
          <w:szCs w:val="20"/>
          <w:color w:val="auto"/>
        </w:rPr>
      </w:pPr>
    </w:p>
    <w:p>
      <w:pPr>
        <w:ind w:right="380" w:firstLine="436"/>
        <w:spacing w:after="0" w:line="277" w:lineRule="auto"/>
        <w:tabs>
          <w:tab w:leader="none" w:pos="8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any Lender or any Issuing Bank determines that any Change in Law regarding capital or liquidity requirements has or would have the effect of reducing the rate of return on such Lender’s or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57" w:name="page58"/>
    <w:bookmarkEnd w:id="57"/>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or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95" w:lineRule="exact"/>
        <w:rPr>
          <w:sz w:val="20"/>
          <w:szCs w:val="20"/>
          <w:color w:val="auto"/>
        </w:rPr>
      </w:pPr>
    </w:p>
    <w:p>
      <w:pPr>
        <w:ind w:firstLine="436"/>
        <w:spacing w:after="0" w:line="259" w:lineRule="auto"/>
        <w:tabs>
          <w:tab w:leader="none" w:pos="8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 certificate of a Lender or the applicable Issuing Bank setting forth the amount or amounts necessary to compensate such Lender or such Issuing Bank or its holding company, as the case may be, as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be delivered to the Borrower and shall be conclusive absent manifest error. The Borrower shall pay such Lender or such Issuing Bank, as the case may be, the amount shown as due on any such certificate within ten (10) days after receipt thereof.</w:t>
      </w:r>
    </w:p>
    <w:p>
      <w:pPr>
        <w:spacing w:after="0" w:line="186" w:lineRule="exact"/>
        <w:rPr>
          <w:rFonts w:ascii="Arial" w:cs="Arial" w:eastAsia="Arial" w:hAnsi="Arial"/>
          <w:sz w:val="18"/>
          <w:szCs w:val="18"/>
          <w:color w:val="auto"/>
        </w:rPr>
      </w:pPr>
    </w:p>
    <w:p>
      <w:pPr>
        <w:ind w:left="820" w:hanging="384"/>
        <w:spacing w:after="0"/>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any Issuing Bank to demand compensation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not constitute a waiver of such Lender’s or such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an Issuing Bank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9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w:t>
      </w:r>
      <w:r>
        <w:rPr>
          <w:rFonts w:ascii="Arial" w:cs="Arial" w:eastAsia="Arial" w:hAnsi="Arial"/>
          <w:sz w:val="16"/>
          <w:szCs w:val="16"/>
          <w:u w:val="single" w:color="auto"/>
          <w:color w:val="auto"/>
        </w:rPr>
        <w:t>Section 2.09(d)</w:t>
      </w:r>
      <w:r>
        <w:rPr>
          <w:rFonts w:ascii="Arial" w:cs="Arial" w:eastAsia="Arial" w:hAnsi="Arial"/>
          <w:sz w:val="16"/>
          <w:szCs w:val="16"/>
          <w:color w:val="auto"/>
        </w:rPr>
        <w:t xml:space="preserve"> and is revoked in accordance therewith), or (d) the assignment of any Eurodollar Loan other than on the last day of the Interest Period applicable thereto as a result of a request by the Borrower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then, in any such event, the Borrower shall compensate each Lender for the loss, cost and expense attributable to such event (which shall not include any loss of margin or Applicable Rate). In the case of a Eurodollar Loan, such loss, cost or expense to any Lender shall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(as reasonably determined by such Lender) which accrued on such principal amount for such period at the interest rate which such Lender bid, at the commencement of such period, for Dollar deposits of a comparable amount and period from other banks in the eurodollar market. A certificate of any Lender setting forth, in reasonable detail, any amount or amounts that such Lender is entitled to receive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shall be delivered to the Borrower and shall be conclusive absent manifest error. The Borrower shall pay such Lender the amount shown as due on any such certificate within ten (10) days after receipt thereof.</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8" w:name="page59"/>
    <w:bookmarkEnd w:id="58"/>
    <w:p>
      <w:pPr>
        <w:ind w:left="420"/>
        <w:spacing w:after="0"/>
        <w:tabs>
          <w:tab w:leader="none" w:pos="170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2.17</w:t>
      </w:r>
      <w:r>
        <w:rPr>
          <w:sz w:val="20"/>
          <w:szCs w:val="20"/>
          <w:color w:val="auto"/>
        </w:rPr>
        <w:tab/>
      </w:r>
      <w:r>
        <w:rPr>
          <w:rFonts w:ascii="Arial" w:cs="Arial" w:eastAsia="Arial" w:hAnsi="Arial"/>
          <w:sz w:val="16"/>
          <w:szCs w:val="16"/>
          <w:u w:val="single" w:color="auto"/>
          <w:color w:val="auto"/>
        </w:rPr>
        <w:t>Withholding of Taxes; Gross-Up</w:t>
      </w:r>
      <w:r>
        <w:rPr>
          <w:rFonts w:ascii="Arial" w:cs="Arial" w:eastAsia="Arial" w:hAnsi="Arial"/>
          <w:sz w:val="16"/>
          <w:szCs w:val="16"/>
          <w:color w:val="auto"/>
        </w:rPr>
        <w:t>.</w:t>
      </w:r>
    </w:p>
    <w:p>
      <w:pPr>
        <w:spacing w:after="0" w:line="225" w:lineRule="exact"/>
        <w:rPr>
          <w:sz w:val="20"/>
          <w:szCs w:val="20"/>
          <w:color w:val="auto"/>
        </w:rPr>
      </w:pPr>
    </w:p>
    <w:p>
      <w:pPr>
        <w:ind w:left="-20" w:right="20" w:firstLine="436"/>
        <w:spacing w:after="0" w:line="254"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any Loan Party under any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such Loan Party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the applicable Recipient receives an amount equal to the sum it would have received had no such deduction or withholding been made.</w:t>
      </w:r>
    </w:p>
    <w:p>
      <w:pPr>
        <w:spacing w:after="0" w:line="191" w:lineRule="exact"/>
        <w:rPr>
          <w:rFonts w:ascii="Arial" w:cs="Arial" w:eastAsia="Arial" w:hAnsi="Arial"/>
          <w:sz w:val="18"/>
          <w:szCs w:val="18"/>
          <w:color w:val="auto"/>
        </w:rPr>
      </w:pPr>
    </w:p>
    <w:p>
      <w:pPr>
        <w:ind w:left="-20" w:right="180" w:firstLine="436"/>
        <w:spacing w:after="0" w:line="277" w:lineRule="auto"/>
        <w:tabs>
          <w:tab w:leader="none" w:pos="81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The Loan Parties shall timely pay to the relevant Governmental Authority in accordance with applicable law, or at the option of the Administrative Agent timely reimburse it for, Other Taxes.</w:t>
      </w:r>
    </w:p>
    <w:p>
      <w:pPr>
        <w:spacing w:after="0" w:line="170" w:lineRule="exact"/>
        <w:rPr>
          <w:rFonts w:ascii="Arial" w:cs="Arial" w:eastAsia="Arial" w:hAnsi="Arial"/>
          <w:sz w:val="18"/>
          <w:szCs w:val="18"/>
          <w:color w:val="auto"/>
        </w:rPr>
      </w:pPr>
    </w:p>
    <w:p>
      <w:pPr>
        <w:ind w:left="-20" w:right="300" w:firstLine="436"/>
        <w:spacing w:after="0" w:line="259"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Evidence of Payment</w:t>
      </w:r>
      <w:r>
        <w:rPr>
          <w:rFonts w:ascii="Arial" w:cs="Arial" w:eastAsia="Arial" w:hAnsi="Arial"/>
          <w:sz w:val="18"/>
          <w:szCs w:val="18"/>
          <w:color w:val="auto"/>
        </w:rPr>
        <w:t xml:space="preserve">. As soon as practicable after any payment of Taxes by any Loan Party to a Governmental Authority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left="-20" w:right="100" w:firstLine="436"/>
        <w:spacing w:after="0" w:line="293" w:lineRule="auto"/>
        <w:tabs>
          <w:tab w:leader="none" w:pos="81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Indemnification by the Loan Parties</w:t>
      </w:r>
      <w:r>
        <w:rPr>
          <w:rFonts w:ascii="Arial" w:cs="Arial" w:eastAsia="Arial" w:hAnsi="Arial"/>
          <w:sz w:val="16"/>
          <w:szCs w:val="16"/>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64" w:lineRule="exact"/>
        <w:rPr>
          <w:rFonts w:ascii="Arial" w:cs="Arial" w:eastAsia="Arial" w:hAnsi="Arial"/>
          <w:sz w:val="16"/>
          <w:szCs w:val="16"/>
          <w:color w:val="auto"/>
        </w:rPr>
      </w:pPr>
    </w:p>
    <w:p>
      <w:pPr>
        <w:ind w:left="-20" w:firstLine="436"/>
        <w:spacing w:after="0" w:line="269" w:lineRule="auto"/>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7"/>
          <w:szCs w:val="17"/>
          <w:u w:val="single" w:color="auto"/>
          <w:color w:val="auto"/>
        </w:rPr>
        <w:t>Section 9.04(c)</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Arial" w:cs="Arial" w:eastAsia="Arial" w:hAnsi="Arial"/>
          <w:sz w:val="17"/>
          <w:szCs w:val="17"/>
          <w:u w:val="single" w:color="auto"/>
          <w:color w:val="auto"/>
        </w:rPr>
        <w:t>clause (e)</w:t>
      </w:r>
      <w:r>
        <w:rPr>
          <w:rFonts w:ascii="Arial" w:cs="Arial" w:eastAsia="Arial" w:hAnsi="Arial"/>
          <w:sz w:val="17"/>
          <w:szCs w:val="17"/>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60" w:top="274" w:right="459" w:bottom="1440" w:gutter="0" w:footer="0" w:header="0"/>
        </w:sectPr>
      </w:pPr>
    </w:p>
    <w:bookmarkStart w:id="59" w:name="page60"/>
    <w:bookmarkEnd w:id="59"/>
    <w:p>
      <w:pPr>
        <w:ind w:left="364" w:hanging="364"/>
        <w:spacing w:after="0"/>
        <w:tabs>
          <w:tab w:leader="none" w:pos="36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 of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19"/>
        <w:spacing w:after="0" w:line="269" w:lineRule="auto"/>
        <w:tabs>
          <w:tab w:leader="none" w:pos="766"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the Borrower and the Administrative Agent, at the time or times prescribed by applicable law and at the time or times reasonably requested by the Borrower or the Administrative Agent, such properly completed and executed documentation prescribed by applicable law or as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2.17(f)(ii)(A)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3" w:lineRule="exact"/>
        <w:rPr>
          <w:rFonts w:ascii="Arial" w:cs="Arial" w:eastAsia="Arial" w:hAnsi="Arial"/>
          <w:sz w:val="17"/>
          <w:szCs w:val="17"/>
          <w:color w:val="auto"/>
        </w:rPr>
      </w:pPr>
    </w:p>
    <w:p>
      <w:pPr>
        <w:ind w:left="824" w:hanging="401"/>
        <w:spacing w:after="0"/>
        <w:tabs>
          <w:tab w:leader="none" w:pos="8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544" w:right="40" w:firstLine="408"/>
        <w:spacing w:after="0" w:line="259" w:lineRule="auto"/>
        <w:tabs>
          <w:tab w:leader="none" w:pos="1374"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544" w:right="140" w:firstLine="408"/>
        <w:spacing w:after="0" w:line="259" w:lineRule="auto"/>
        <w:tabs>
          <w:tab w:leader="none" w:pos="1364"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ind w:left="984" w:right="20" w:firstLine="391"/>
        <w:spacing w:after="0" w:line="255" w:lineRule="auto"/>
        <w:tabs>
          <w:tab w:leader="none" w:pos="1757" w:val="left"/>
        </w:tabs>
        <w:numPr>
          <w:ilvl w:val="3"/>
          <w:numId w:val="4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84" w:lineRule="exact"/>
        <w:rPr>
          <w:rFonts w:ascii="Arial" w:cs="Arial" w:eastAsia="Arial" w:hAnsi="Arial"/>
          <w:sz w:val="18"/>
          <w:szCs w:val="18"/>
          <w:color w:val="auto"/>
        </w:rPr>
      </w:pPr>
    </w:p>
    <w:p>
      <w:pPr>
        <w:ind w:left="984" w:right="400" w:firstLine="391"/>
        <w:spacing w:after="0" w:line="277" w:lineRule="auto"/>
        <w:tabs>
          <w:tab w:leader="none" w:pos="1757" w:val="left"/>
        </w:tabs>
        <w:numPr>
          <w:ilvl w:val="3"/>
          <w:numId w:val="49"/>
        </w:numPr>
        <w:rPr>
          <w:rFonts w:ascii="Arial" w:cs="Arial" w:eastAsia="Arial" w:hAnsi="Arial"/>
          <w:sz w:val="18"/>
          <w:szCs w:val="18"/>
          <w:color w:val="auto"/>
        </w:rPr>
      </w:pPr>
      <w:r>
        <w:rPr>
          <w:rFonts w:ascii="Arial" w:cs="Arial" w:eastAsia="Arial" w:hAnsi="Arial"/>
          <w:sz w:val="18"/>
          <w:szCs w:val="18"/>
          <w:color w:val="auto"/>
        </w:rPr>
        <w:t>in the case of a Foreign Lender claiming that its extension of credit will generate U.S. effectively connected income, executed originals of IRS Form W-8ECI;</w:t>
      </w:r>
    </w:p>
    <w:p>
      <w:pPr>
        <w:spacing w:after="0" w:line="62" w:lineRule="exact"/>
        <w:rPr>
          <w:rFonts w:ascii="Arial" w:cs="Arial" w:eastAsia="Arial" w:hAnsi="Arial"/>
          <w:sz w:val="18"/>
          <w:szCs w:val="18"/>
          <w:color w:val="auto"/>
        </w:rPr>
      </w:pPr>
    </w:p>
    <w:p>
      <w:pPr>
        <w:ind w:left="984" w:right="200" w:firstLine="391"/>
        <w:spacing w:after="0" w:line="277" w:lineRule="auto"/>
        <w:tabs>
          <w:tab w:leader="none" w:pos="1757" w:val="left"/>
        </w:tabs>
        <w:numPr>
          <w:ilvl w:val="3"/>
          <w:numId w:val="4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w:t>
      </w:r>
    </w:p>
    <w:p>
      <w:pPr>
        <w:spacing w:after="0" w:line="10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44"/>
          </w:cols>
          <w:pgMar w:left="876" w:top="274" w:right="479" w:bottom="1440" w:gutter="0" w:footer="0" w:header="0"/>
        </w:sectPr>
      </w:pPr>
    </w:p>
    <w:bookmarkStart w:id="60" w:name="page61"/>
    <w:bookmarkEnd w:id="60"/>
    <w:p>
      <w:pPr>
        <w:ind w:left="1420"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substantially in the form of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to the effect that such Foreign Lender is not a “bank” within the meaning of Section 881(c) (3)(A) of the Code, a “10 percent shareholder” of the Borrower within the meaning of Section 871(h)(3)(B) of the Code, or a “controlled foreign corporation” related to the Borrower described in Section 881(c)(3)(C) of the Code (a “</w:t>
      </w:r>
      <w:r>
        <w:rPr>
          <w:rFonts w:ascii="Arial" w:cs="Arial" w:eastAsia="Arial" w:hAnsi="Arial"/>
          <w:sz w:val="17"/>
          <w:szCs w:val="17"/>
          <w:u w:val="single" w:color="auto"/>
          <w:color w:val="auto"/>
        </w:rPr>
        <w:t>U.S. Tax Compliance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and (y) executed originals of IRS Form W-8BEN or W-8BEN-E, as applicable; or</w:t>
      </w:r>
    </w:p>
    <w:p>
      <w:pPr>
        <w:spacing w:after="0" w:line="63" w:lineRule="exact"/>
        <w:rPr>
          <w:sz w:val="20"/>
          <w:szCs w:val="20"/>
          <w:color w:val="auto"/>
        </w:rPr>
      </w:pPr>
    </w:p>
    <w:p>
      <w:pPr>
        <w:ind w:left="1420" w:right="20" w:firstLine="391"/>
        <w:spacing w:after="0" w:line="255" w:lineRule="auto"/>
        <w:tabs>
          <w:tab w:leader="none" w:pos="2193"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originals of IRS Form W-8IMY, accompanied by IRS Form W-8ECI, W-8BEN or W-8BEN-E, as applicable, a U.S. Tax Compliance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E-2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E-3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E-4</w:t>
      </w:r>
      <w:r>
        <w:rPr>
          <w:rFonts w:ascii="Arial" w:cs="Arial" w:eastAsia="Arial" w:hAnsi="Arial"/>
          <w:sz w:val="18"/>
          <w:szCs w:val="18"/>
          <w:color w:val="auto"/>
        </w:rPr>
        <w:t xml:space="preserve"> on behalf of each such direct and indirect partner;</w:t>
      </w:r>
    </w:p>
    <w:p>
      <w:pPr>
        <w:spacing w:after="0" w:line="84" w:lineRule="exact"/>
        <w:rPr>
          <w:rFonts w:ascii="Arial" w:cs="Arial" w:eastAsia="Arial" w:hAnsi="Arial"/>
          <w:sz w:val="18"/>
          <w:szCs w:val="18"/>
          <w:color w:val="auto"/>
        </w:rPr>
      </w:pPr>
    </w:p>
    <w:p>
      <w:pPr>
        <w:ind w:left="980" w:right="160" w:firstLine="408"/>
        <w:spacing w:after="0" w:line="293" w:lineRule="auto"/>
        <w:tabs>
          <w:tab w:leader="none" w:pos="180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56" w:lineRule="exact"/>
        <w:rPr>
          <w:rFonts w:ascii="Arial" w:cs="Arial" w:eastAsia="Arial" w:hAnsi="Arial"/>
          <w:sz w:val="16"/>
          <w:szCs w:val="16"/>
          <w:color w:val="auto"/>
        </w:rPr>
      </w:pPr>
    </w:p>
    <w:p>
      <w:pPr>
        <w:ind w:left="980" w:firstLine="408"/>
        <w:spacing w:after="0" w:line="270" w:lineRule="auto"/>
        <w:tabs>
          <w:tab w:leader="none" w:pos="181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7"/>
          <w:szCs w:val="17"/>
          <w:u w:val="single" w:color="auto"/>
          <w:color w:val="auto"/>
        </w:rPr>
        <w:t>clause (D)</w:t>
      </w:r>
      <w:r>
        <w:rPr>
          <w:rFonts w:ascii="Arial" w:cs="Arial" w:eastAsia="Arial" w:hAnsi="Arial"/>
          <w:sz w:val="17"/>
          <w:szCs w:val="17"/>
          <w:color w:val="auto"/>
        </w:rPr>
        <w:t>, “FATCA” shall include any amendments made to FATCA after the date of this Agreement.</w:t>
      </w:r>
    </w:p>
    <w:p>
      <w:pPr>
        <w:spacing w:after="0" w:line="18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0" w:lineRule="exact"/>
        <w:rPr>
          <w:sz w:val="20"/>
          <w:szCs w:val="20"/>
          <w:color w:val="auto"/>
        </w:rPr>
      </w:pPr>
    </w:p>
    <w:p>
      <w:pPr>
        <w:ind w:firstLine="436"/>
        <w:spacing w:after="0" w:line="286" w:lineRule="auto"/>
        <w:tabs>
          <w:tab w:leader="none" w:pos="83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(including by the payment of additional amounts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it shall pay to the indemnifying party an amount equal to such refund (but only to the extent of indemnity payments made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61" w:name="page62"/>
    <w:bookmarkEnd w:id="61"/>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in no event will the indemnified party be required to pay any amount to an indemnifying party pursuant to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Tax had never been paid. This </w:t>
      </w:r>
      <w:r>
        <w:rPr>
          <w:rFonts w:ascii="Arial" w:cs="Arial" w:eastAsia="Arial" w:hAnsi="Arial"/>
          <w:sz w:val="16"/>
          <w:szCs w:val="16"/>
          <w:u w:val="single" w:color="auto"/>
          <w:color w:val="auto"/>
        </w:rPr>
        <w:t>clause</w:t>
      </w:r>
    </w:p>
    <w:p>
      <w:pPr>
        <w:spacing w:after="0" w:line="1" w:lineRule="exact"/>
        <w:rPr>
          <w:sz w:val="20"/>
          <w:szCs w:val="20"/>
          <w:color w:val="auto"/>
        </w:rPr>
      </w:pPr>
    </w:p>
    <w:p>
      <w:pPr>
        <w:ind w:left="4" w:right="100" w:hanging="4"/>
        <w:spacing w:after="0" w:line="260" w:lineRule="auto"/>
        <w:tabs>
          <w:tab w:leader="none" w:pos="259" w:val="left"/>
        </w:tabs>
        <w:numPr>
          <w:ilvl w:val="0"/>
          <w:numId w:val="53"/>
        </w:numPr>
        <w:rPr>
          <w:rFonts w:ascii="Arial" w:cs="Arial" w:eastAsia="Arial" w:hAnsi="Arial"/>
          <w:sz w:val="18"/>
          <w:szCs w:val="18"/>
          <w:u w:val="single" w:color="auto"/>
          <w:color w:val="auto"/>
        </w:rPr>
      </w:pPr>
      <w:r>
        <w:rPr>
          <w:rFonts w:ascii="Arial" w:cs="Arial" w:eastAsia="Arial" w:hAnsi="Arial"/>
          <w:sz w:val="18"/>
          <w:szCs w:val="18"/>
          <w:color w:val="auto"/>
        </w:rPr>
        <w:t>shall not be construed to require any indemnified party to make available its Tax returns (or any other information relating to its Taxes that it deems confidential) to the indemnifying party or any other Person.</w:t>
      </w:r>
    </w:p>
    <w:p>
      <w:pPr>
        <w:spacing w:after="0" w:line="185" w:lineRule="exact"/>
        <w:rPr>
          <w:rFonts w:ascii="Arial" w:cs="Arial" w:eastAsia="Arial" w:hAnsi="Arial"/>
          <w:sz w:val="18"/>
          <w:szCs w:val="18"/>
          <w:u w:val="single" w:color="auto"/>
          <w:color w:val="auto"/>
        </w:rPr>
      </w:pPr>
    </w:p>
    <w:p>
      <w:pPr>
        <w:ind w:left="4" w:right="260" w:firstLine="436"/>
        <w:spacing w:after="0" w:line="263" w:lineRule="auto"/>
        <w:tabs>
          <w:tab w:leader="none" w:pos="83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3" w:lineRule="exact"/>
        <w:rPr>
          <w:rFonts w:ascii="Arial" w:cs="Arial" w:eastAsia="Arial" w:hAnsi="Arial"/>
          <w:sz w:val="18"/>
          <w:szCs w:val="18"/>
          <w:color w:val="auto"/>
        </w:rPr>
      </w:pPr>
    </w:p>
    <w:p>
      <w:pPr>
        <w:ind w:left="784" w:hanging="344"/>
        <w:spacing w:after="0"/>
        <w:tabs>
          <w:tab w:leader="none" w:pos="784"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2.17</w:t>
      </w:r>
      <w:r>
        <w:rPr>
          <w:rFonts w:ascii="Arial" w:cs="Arial" w:eastAsia="Arial" w:hAnsi="Arial"/>
          <w:sz w:val="17"/>
          <w:szCs w:val="17"/>
          <w:color w:val="auto"/>
        </w:rPr>
        <w:t>, the term “Lender” includes any Issuing Bank and the term “applicable law” includes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FATCA.</w:t>
      </w:r>
    </w:p>
    <w:p>
      <w:pPr>
        <w:spacing w:after="0" w:line="211"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u w:val="single" w:color="auto"/>
          <w:color w:val="auto"/>
        </w:rPr>
        <w:t>SECTION 2.18</w:t>
      </w:r>
      <w:r>
        <w:rPr>
          <w:sz w:val="20"/>
          <w:szCs w:val="20"/>
          <w:color w:val="auto"/>
        </w:rPr>
        <w:tab/>
      </w:r>
      <w:r>
        <w:rPr>
          <w:rFonts w:ascii="Arial" w:cs="Arial" w:eastAsia="Arial" w:hAnsi="Arial"/>
          <w:sz w:val="16"/>
          <w:szCs w:val="16"/>
          <w:u w:val="single" w:color="auto"/>
          <w:color w:val="auto"/>
        </w:rPr>
        <w:t>Payments Generally; Allocation of Proceeds; Sharing of Setoffs</w:t>
      </w:r>
      <w:r>
        <w:rPr>
          <w:rFonts w:ascii="Arial" w:cs="Arial" w:eastAsia="Arial" w:hAnsi="Arial"/>
          <w:sz w:val="16"/>
          <w:szCs w:val="16"/>
          <w:color w:val="auto"/>
        </w:rPr>
        <w:t>.</w:t>
      </w:r>
    </w:p>
    <w:p>
      <w:pPr>
        <w:spacing w:after="0" w:line="225" w:lineRule="exact"/>
        <w:rPr>
          <w:sz w:val="20"/>
          <w:szCs w:val="20"/>
          <w:color w:val="auto"/>
        </w:rPr>
      </w:pPr>
    </w:p>
    <w:p>
      <w:pPr>
        <w:ind w:left="4" w:firstLine="436"/>
        <w:spacing w:after="0" w:line="288" w:lineRule="auto"/>
        <w:tabs>
          <w:tab w:leader="none" w:pos="821"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Borrower shall make each payment required to be made by it hereunder (whether of principal, interest, fees or reimbursement of LC Disbursements, or of amounts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one or more accounts as it may designate to the Borrower in writing from time to time, except payments to be made directly to an Issuing Bank or Swingline Lender as expressly provided herein and except that payments pursuant to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68" w:lineRule="exact"/>
        <w:rPr>
          <w:rFonts w:ascii="Arial" w:cs="Arial" w:eastAsia="Arial" w:hAnsi="Arial"/>
          <w:sz w:val="16"/>
          <w:szCs w:val="16"/>
          <w:color w:val="auto"/>
        </w:rPr>
      </w:pPr>
    </w:p>
    <w:p>
      <w:pPr>
        <w:ind w:left="4" w:right="20" w:firstLine="436"/>
        <w:spacing w:after="0" w:line="290" w:lineRule="auto"/>
        <w:tabs>
          <w:tab w:leader="none" w:pos="824"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Any proceeds of Collateral and all other payments, proceeds or recoveries with respect to the Obligations received by the Administrative Agent (i) not constituting a specific payment of principal, interest, fees or other sum payable under the Loan Documents (which shall be applied as specified by the Borrower), or (ii) after an Event of Default has occurred and is continuing, shall be applied ratably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 any fees, indemnities, or expense reimbursements including amounts then due to the Administrative Agent and the Issuing Banks from the Borrower (other than in connection with Banking Services Obligations or Swap Agreement Obligations),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 any fees or expense reimbursements then due to the Lenders from the Borrower (other than in connection with Banking Services Obligations or Swap Agreement Obligations),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 interest then due and payable on the Loans ratably,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prepay principal on the Loans and unreimbursed LC Disbursements, </w:t>
      </w:r>
      <w:r>
        <w:rPr>
          <w:rFonts w:ascii="Arial" w:cs="Arial" w:eastAsia="Arial" w:hAnsi="Arial"/>
          <w:sz w:val="16"/>
          <w:szCs w:val="16"/>
          <w:u w:val="single" w:color="auto"/>
          <w:color w:val="auto"/>
        </w:rPr>
        <w:t>fifth</w:t>
      </w:r>
      <w:r>
        <w:rPr>
          <w:rFonts w:ascii="Arial" w:cs="Arial" w:eastAsia="Arial" w:hAnsi="Arial"/>
          <w:sz w:val="16"/>
          <w:szCs w:val="16"/>
          <w:color w:val="auto"/>
        </w:rPr>
        <w:t>, to pay an amount to the Administrative Agent equal to one hundred three percent (103%) of the aggregate undrawn face amount of all outstanding</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4"/>
          </w:cols>
          <w:pgMar w:left="436" w:top="274" w:right="479" w:bottom="1440" w:gutter="0" w:footer="0" w:header="0"/>
        </w:sectPr>
      </w:pPr>
    </w:p>
    <w:bookmarkStart w:id="62" w:name="page63"/>
    <w:bookmarkEnd w:id="62"/>
    <w:p>
      <w:pPr>
        <w:ind w:left="4"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Letters of Credit, to be held as cash collateral for such Obligations,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with respect to Banking Services Obligations and Secured Swap Agreement Obligations and </w:t>
      </w:r>
      <w:r>
        <w:rPr>
          <w:rFonts w:ascii="Arial" w:cs="Arial" w:eastAsia="Arial" w:hAnsi="Arial"/>
          <w:sz w:val="16"/>
          <w:szCs w:val="16"/>
          <w:u w:val="single" w:color="auto"/>
          <w:color w:val="auto"/>
        </w:rPr>
        <w:t>seventh</w:t>
      </w:r>
      <w:r>
        <w:rPr>
          <w:rFonts w:ascii="Arial" w:cs="Arial" w:eastAsia="Arial" w:hAnsi="Arial"/>
          <w:sz w:val="16"/>
          <w:szCs w:val="16"/>
          <w:color w:val="auto"/>
        </w:rPr>
        <w:t>,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Eurodollar Loan, except</w:t>
      </w:r>
    </w:p>
    <w:p>
      <w:pPr>
        <w:spacing w:after="0" w:line="2" w:lineRule="exact"/>
        <w:rPr>
          <w:sz w:val="20"/>
          <w:szCs w:val="20"/>
          <w:color w:val="auto"/>
        </w:rPr>
      </w:pPr>
    </w:p>
    <w:p>
      <w:pPr>
        <w:jc w:val="both"/>
        <w:ind w:left="4" w:right="400" w:hanging="4"/>
        <w:spacing w:after="0" w:line="253"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on the expiration date of the Interest Period applicable to any such Eurodollar Loan or (b) in the event, and only to the extent, that there are no outstanding ABR Loans and, in any such event, the Borrower shall pay the break funding payment required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 The Administrative Agent and the Lenders shall have the continuing and exclusive right to apply and reverse and reapply any and all such proceeds and payments to any portion of the Secured Obligations.</w:t>
      </w:r>
    </w:p>
    <w:p>
      <w:pPr>
        <w:spacing w:after="0" w:line="193"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Notwithstanding the foregoing, Obligations arising under Banking Services Obligations or Swap Agreement Obligations shall be excluded from the application described above and paid in </w:t>
      </w:r>
      <w:r>
        <w:rPr>
          <w:rFonts w:ascii="Arial" w:cs="Arial" w:eastAsia="Arial" w:hAnsi="Arial"/>
          <w:sz w:val="18"/>
          <w:szCs w:val="18"/>
          <w:u w:val="single" w:color="auto"/>
          <w:color w:val="auto"/>
        </w:rPr>
        <w:t>clause sixth</w:t>
      </w:r>
      <w:r>
        <w:rPr>
          <w:rFonts w:ascii="Arial" w:cs="Arial" w:eastAsia="Arial" w:hAnsi="Arial"/>
          <w:sz w:val="18"/>
          <w:szCs w:val="18"/>
          <w:color w:val="auto"/>
        </w:rPr>
        <w:t xml:space="preserve"> if the Administrative Agent has not received written notice thereof in accordance with the definition of Secured Obligations, together with such supporting documentation as the Administrative Agent may have reasonably requested from the applicable provider of such Banking Services or Swap Agreements.</w:t>
      </w:r>
    </w:p>
    <w:p>
      <w:pPr>
        <w:spacing w:after="0" w:line="187" w:lineRule="exact"/>
        <w:rPr>
          <w:sz w:val="20"/>
          <w:szCs w:val="20"/>
          <w:color w:val="auto"/>
        </w:rPr>
      </w:pPr>
    </w:p>
    <w:p>
      <w:pPr>
        <w:ind w:left="4" w:right="60" w:firstLine="436"/>
        <w:spacing w:after="0" w:line="257" w:lineRule="auto"/>
        <w:tabs>
          <w:tab w:leader="none" w:pos="814"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At the election of the Borrower but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all payments of principal, interest, LC Disbursements, fees, premiums, reimbursable expenses (including all reimbursement for fees, costs and expenses pursuant to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and other sums payable under the Loan Documents, may be paid from the proceeds of Borrowings made hereunder whether made following a request by the Borrower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a deemed request as provided in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may be deducted from any deposit account of the Borrower maintained with the Administrative Agent.</w:t>
      </w:r>
    </w:p>
    <w:p>
      <w:pPr>
        <w:spacing w:after="0" w:line="187" w:lineRule="exact"/>
        <w:rPr>
          <w:rFonts w:ascii="Arial" w:cs="Arial" w:eastAsia="Arial" w:hAnsi="Arial"/>
          <w:sz w:val="18"/>
          <w:szCs w:val="18"/>
          <w:color w:val="auto"/>
        </w:rPr>
      </w:pPr>
    </w:p>
    <w:p>
      <w:pPr>
        <w:ind w:left="4" w:firstLine="436"/>
        <w:spacing w:after="0" w:line="268" w:lineRule="auto"/>
        <w:tabs>
          <w:tab w:leader="none" w:pos="834"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(y) any payment obtained by a Lender as consideration for the assignment of or sale of a participation in any of its Loans or participations in LC Disbursements to any assignee or participant, other than to the Borrower or any Subsidiary (as to which the provisions of this paragraph shall apply) or (z) the implementation of any Extension Offer accepted by the Required Lenders.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1" w:lineRule="exact"/>
        <w:rPr>
          <w:rFonts w:ascii="Arial" w:cs="Arial" w:eastAsia="Arial" w:hAnsi="Arial"/>
          <w:sz w:val="17"/>
          <w:szCs w:val="17"/>
          <w:color w:val="auto"/>
        </w:rPr>
      </w:pPr>
    </w:p>
    <w:p>
      <w:pPr>
        <w:ind w:left="4" w:right="160" w:firstLine="436"/>
        <w:spacing w:after="0" w:line="263" w:lineRule="auto"/>
        <w:tabs>
          <w:tab w:leader="none" w:pos="8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63" w:name="page64"/>
    <w:bookmarkEnd w:id="6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2" w:lineRule="exact"/>
        <w:rPr>
          <w:sz w:val="20"/>
          <w:szCs w:val="20"/>
          <w:color w:val="auto"/>
        </w:rPr>
      </w:pPr>
    </w:p>
    <w:p>
      <w:pPr>
        <w:ind w:right="40" w:firstLine="436"/>
        <w:spacing w:after="0" w:line="275" w:lineRule="auto"/>
        <w:tabs>
          <w:tab w:leader="none" w:pos="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 (i) and (ii) above shall be made in such order as may be determined by the Administrative Agent in its discretion.</w:t>
      </w:r>
    </w:p>
    <w:p>
      <w:pPr>
        <w:spacing w:after="0" w:line="176" w:lineRule="exact"/>
        <w:rPr>
          <w:rFonts w:ascii="Arial" w:cs="Arial" w:eastAsia="Arial" w:hAnsi="Arial"/>
          <w:sz w:val="17"/>
          <w:szCs w:val="17"/>
          <w:color w:val="auto"/>
        </w:rPr>
      </w:pPr>
    </w:p>
    <w:p>
      <w:pPr>
        <w:ind w:firstLine="436"/>
        <w:spacing w:after="0" w:line="254" w:lineRule="auto"/>
        <w:tabs>
          <w:tab w:leader="none" w:pos="8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Administrative Agent may from time to time provide the Borrower with billing statements or invoices with respect to any of the Secured Obligations (the “</w:t>
      </w:r>
      <w:r>
        <w:rPr>
          <w:rFonts w:ascii="Arial" w:cs="Arial" w:eastAsia="Arial" w:hAnsi="Arial"/>
          <w:sz w:val="18"/>
          <w:szCs w:val="18"/>
          <w:u w:val="single" w:color="auto"/>
          <w:color w:val="auto"/>
        </w:rPr>
        <w:t>Billing Statements</w:t>
      </w:r>
      <w:r>
        <w:rPr>
          <w:rFonts w:ascii="Arial" w:cs="Arial" w:eastAsia="Arial" w:hAnsi="Arial"/>
          <w:sz w:val="18"/>
          <w:szCs w:val="18"/>
          <w:color w:val="auto"/>
        </w:rPr>
        <w:t xml:space="preserve">”). The Administrative Agent is under no duty or obligation to provide Billing Statements, which, if provided, will be solely for the Borrower’s convenience. The Billing Statements may contain estimates of the amounts owed during the relevant billing period, whether of principal, interest, fees or other Secured Obligations. If the Borrower pays the full amount indicated on a Billing Statement on or before the due date indicated on such Billing Statement, the Borrower shall not be in default; </w:t>
      </w:r>
      <w:r>
        <w:rPr>
          <w:rFonts w:ascii="Arial" w:cs="Arial" w:eastAsia="Arial" w:hAnsi="Arial"/>
          <w:sz w:val="18"/>
          <w:szCs w:val="18"/>
          <w:u w:val="single" w:color="auto"/>
          <w:color w:val="auto"/>
        </w:rPr>
        <w:t>provided</w:t>
      </w:r>
      <w:r>
        <w:rPr>
          <w:rFonts w:ascii="Arial" w:cs="Arial" w:eastAsia="Arial" w:hAnsi="Arial"/>
          <w:sz w:val="18"/>
          <w:szCs w:val="18"/>
          <w:color w:val="auto"/>
        </w:rPr>
        <w:t>, that acceptance by the Administrative Agent, on behalf of the Lenders, of any payment that is less than the payment due at that time shall not constitute a waiver of the Administrative Agent’s or the Lenders’ right to receive payment in full at another time.</w:t>
      </w:r>
    </w:p>
    <w:p>
      <w:pPr>
        <w:spacing w:after="0" w:line="1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25" w:lineRule="exact"/>
        <w:rPr>
          <w:sz w:val="20"/>
          <w:szCs w:val="20"/>
          <w:color w:val="auto"/>
        </w:rPr>
      </w:pPr>
    </w:p>
    <w:p>
      <w:pPr>
        <w:ind w:right="180" w:firstLine="436"/>
        <w:spacing w:after="0" w:line="291" w:lineRule="auto"/>
        <w:tabs>
          <w:tab w:leader="none" w:pos="8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if the Borrower or the Loan Guarantors are required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The Borrower hereby agrees to pay all reasonable and documented out-of-pocket costs and expenses incurred by any Lender in connection with any such designation or assignment.</w:t>
      </w:r>
    </w:p>
    <w:p>
      <w:pPr>
        <w:spacing w:after="0" w:line="166" w:lineRule="exact"/>
        <w:rPr>
          <w:rFonts w:ascii="Arial" w:cs="Arial" w:eastAsia="Arial" w:hAnsi="Arial"/>
          <w:sz w:val="16"/>
          <w:szCs w:val="16"/>
          <w:color w:val="auto"/>
        </w:rPr>
      </w:pPr>
    </w:p>
    <w:p>
      <w:pPr>
        <w:ind w:right="20" w:firstLine="436"/>
        <w:spacing w:after="0" w:line="254" w:lineRule="auto"/>
        <w:tabs>
          <w:tab w:leader="none" w:pos="8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If (i) any Lender requests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(ii) any Lender fails to consent to a requested amendment, waiver or modification to any Loan Document in which Required Lenders have already consented to such amendment, waiver or modification but the consent of each Lender (or each Lender directly affected thereby, as applicable) is required with respect thereto, (iii) the Borrower or the Loan Guarantors are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(iv)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and obligations under this Agreement and other Loan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4" w:name="page65"/>
    <w:bookmarkEnd w:id="64"/>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Borrower shall have received the prior written consent of the Administrative Agent (and if a Commitment is being assigned, the Issuing Banks and Swingline Lenders), which consent shall not unreasonably be withheld, conditioned or delayed, (B)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(C) in the case of any such assignment resulting from a claim for compensation under</w:t>
      </w:r>
    </w:p>
    <w:p>
      <w:pPr>
        <w:spacing w:after="0" w:line="4" w:lineRule="exact"/>
        <w:rPr>
          <w:sz w:val="20"/>
          <w:szCs w:val="20"/>
          <w:color w:val="auto"/>
        </w:rPr>
      </w:pPr>
    </w:p>
    <w:p>
      <w:pPr>
        <w:spacing w:after="0" w:line="292" w:lineRule="auto"/>
        <w:rPr>
          <w:sz w:val="20"/>
          <w:szCs w:val="20"/>
          <w:color w:val="auto"/>
        </w:rPr>
      </w:pP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Sections 2.17</w:t>
      </w:r>
      <w:r>
        <w:rPr>
          <w:rFonts w:ascii="Arial" w:cs="Arial" w:eastAsia="Arial" w:hAnsi="Arial"/>
          <w:sz w:val="16"/>
          <w:szCs w:val="16"/>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Notwithstanding anything herein to the contrary, each party hereto agrees that any assignment pursuant to the terms of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may be effected pursuant to an Assignment and Assumption executed by the Borrower, the Administrative Agent and the assignee and that the Lender making such assignment need not be a party thereto.</w:t>
      </w:r>
    </w:p>
    <w:p>
      <w:pPr>
        <w:spacing w:after="0" w:line="162"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820" w:hanging="384"/>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fees shall cease to accrue on the unfunded portion of the Commitment of such Defaulting Lender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436"/>
        <w:spacing w:after="0" w:line="255" w:lineRule="auto"/>
        <w:tabs>
          <w:tab w:leader="none" w:pos="8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such Defaulting Lender shall not have the right to vote on any issue on which voting is required (other than to the extent expressly provided in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and the Commitment and Credit Exposure of such Defaulting Lender shall not be included in determining whether all Lenders or the Required Lenders have taken or may take any action hereunder (including any consent to any amendment, waiver or other modification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under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otherwise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apply to the vote of a Defaulting Lender in the case of an amendment, waiver or other modification requiring the consent of such Lender or each Lender directly affected thereby;</w:t>
      </w:r>
    </w:p>
    <w:p>
      <w:pPr>
        <w:spacing w:after="0" w:line="192" w:lineRule="exact"/>
        <w:rPr>
          <w:rFonts w:ascii="Arial" w:cs="Arial" w:eastAsia="Arial" w:hAnsi="Arial"/>
          <w:sz w:val="18"/>
          <w:szCs w:val="18"/>
          <w:color w:val="auto"/>
        </w:rPr>
      </w:pPr>
    </w:p>
    <w:p>
      <w:pPr>
        <w:ind w:left="820" w:hanging="384"/>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117" w:lineRule="exact"/>
        <w:rPr>
          <w:rFonts w:ascii="Arial" w:cs="Arial" w:eastAsia="Arial" w:hAnsi="Arial"/>
          <w:sz w:val="18"/>
          <w:szCs w:val="18"/>
          <w:color w:val="auto"/>
        </w:rPr>
      </w:pPr>
    </w:p>
    <w:p>
      <w:pPr>
        <w:ind w:left="440" w:right="120" w:firstLine="419"/>
        <w:spacing w:after="0" w:line="301" w:lineRule="auto"/>
        <w:tabs>
          <w:tab w:leader="none" w:pos="1213"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all or any part of such Swingline Exposure and/or such LC Exposure of such Defaulting Lender (other than the portion of such Swingline Exposure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such term) shall be reallocated among the non-Defaulting Lenders in accordance with their respective Applicable Percentages but only to the extent that the sum of all non-Defaulting Lenders’ Credit Exposures plus such Defaulting Lender’s Swingline Exposure and/or LC Exposure does not exceed the total of all non-Defaulting Lenders’ Commitments; and</w:t>
      </w:r>
    </w:p>
    <w:p>
      <w:pPr>
        <w:spacing w:after="0" w:line="49" w:lineRule="exact"/>
        <w:rPr>
          <w:rFonts w:ascii="Arial" w:cs="Arial" w:eastAsia="Arial" w:hAnsi="Arial"/>
          <w:sz w:val="16"/>
          <w:szCs w:val="16"/>
          <w:color w:val="auto"/>
        </w:rPr>
      </w:pPr>
    </w:p>
    <w:p>
      <w:pPr>
        <w:ind w:left="440" w:right="200" w:firstLine="419"/>
        <w:spacing w:after="0" w:line="257" w:lineRule="auto"/>
        <w:tabs>
          <w:tab w:leader="none" w:pos="1263"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cannot, or can only partially, be effected, the Borrower shall within one (1) Business Day following notice by the Administrative Agent (x) first, prepay such Swingline Exposure and (y) second, cash collateralize for the benefit of the Issuing Banks only the Borrower’s obligations corresponding to such Defaulting Lender’s LC Exposure (after giving effect to any partial reallocation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accordance with the procedures set forth in </w:t>
      </w:r>
      <w:r>
        <w:rPr>
          <w:rFonts w:ascii="Arial" w:cs="Arial" w:eastAsia="Arial" w:hAnsi="Arial"/>
          <w:sz w:val="18"/>
          <w:szCs w:val="18"/>
          <w:u w:val="single" w:color="auto"/>
          <w:color w:val="auto"/>
        </w:rPr>
        <w:t>Section 2.06(j)</w:t>
      </w:r>
      <w:r>
        <w:rPr>
          <w:rFonts w:ascii="Arial" w:cs="Arial" w:eastAsia="Arial" w:hAnsi="Arial"/>
          <w:sz w:val="18"/>
          <w:szCs w:val="18"/>
          <w:color w:val="auto"/>
        </w:rPr>
        <w:t xml:space="preserve"> for so long as such LC Exposure is outstanding;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5" w:name="page66"/>
    <w:bookmarkEnd w:id="65"/>
    <w:p>
      <w:pPr>
        <w:ind w:left="440" w:right="40" w:firstLine="419"/>
        <w:spacing w:after="0" w:line="263" w:lineRule="auto"/>
        <w:tabs>
          <w:tab w:leader="none" w:pos="1313" w:val="left"/>
        </w:tabs>
        <w:numPr>
          <w:ilvl w:val="1"/>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Borrower cash collateralizes any portion of such Defaulting Lender’s LC Exposure pursuant to this </w:t>
      </w:r>
      <w:r>
        <w:rPr>
          <w:rFonts w:ascii="Arial" w:cs="Arial" w:eastAsia="Arial" w:hAnsi="Arial"/>
          <w:sz w:val="18"/>
          <w:szCs w:val="18"/>
          <w:u w:val="single" w:color="auto"/>
          <w:color w:val="auto"/>
        </w:rPr>
        <w:t>Section 2.20(c)</w:t>
      </w:r>
      <w:r>
        <w:rPr>
          <w:rFonts w:ascii="Arial" w:cs="Arial" w:eastAsia="Arial" w:hAnsi="Arial"/>
          <w:sz w:val="18"/>
          <w:szCs w:val="18"/>
          <w:color w:val="auto"/>
        </w:rPr>
        <w:t xml:space="preserve">, the Borrower shall not be required to pay any fees to such Defaulting Lender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with respect to such Defaulting Lender’s LC Exposure during the period such Defaulting Lender’s LC Exposure is cash collateralized;</w:t>
      </w:r>
    </w:p>
    <w:p>
      <w:pPr>
        <w:spacing w:after="0" w:line="75" w:lineRule="exact"/>
        <w:rPr>
          <w:rFonts w:ascii="Arial" w:cs="Arial" w:eastAsia="Arial" w:hAnsi="Arial"/>
          <w:sz w:val="18"/>
          <w:szCs w:val="18"/>
          <w:color w:val="auto"/>
        </w:rPr>
      </w:pPr>
    </w:p>
    <w:p>
      <w:pPr>
        <w:ind w:left="440" w:right="320" w:firstLine="419"/>
        <w:spacing w:after="0" w:line="342" w:lineRule="auto"/>
        <w:tabs>
          <w:tab w:leader="none" w:pos="1303"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if the LC Exposure of the non-Defaulting Lenders is reallocated pursuant to </w:t>
      </w:r>
      <w:r>
        <w:rPr>
          <w:rFonts w:ascii="Arial" w:cs="Arial" w:eastAsia="Arial" w:hAnsi="Arial"/>
          <w:sz w:val="16"/>
          <w:szCs w:val="16"/>
          <w:u w:val="single" w:color="auto"/>
          <w:color w:val="auto"/>
        </w:rPr>
        <w:t>Section 2.20(c)</w:t>
      </w:r>
      <w:r>
        <w:rPr>
          <w:rFonts w:ascii="Arial" w:cs="Arial" w:eastAsia="Arial" w:hAnsi="Arial"/>
          <w:sz w:val="16"/>
          <w:szCs w:val="16"/>
          <w:color w:val="auto"/>
        </w:rPr>
        <w:t xml:space="preserve">, then the fees payable to the Lenders pursuant to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shall be adjusted in accordance with such non-Defaulting Lenders’ Applicable Percentages; or</w:t>
      </w:r>
    </w:p>
    <w:p>
      <w:pPr>
        <w:spacing w:after="0" w:line="15" w:lineRule="exact"/>
        <w:rPr>
          <w:rFonts w:ascii="Arial" w:cs="Arial" w:eastAsia="Arial" w:hAnsi="Arial"/>
          <w:sz w:val="16"/>
          <w:szCs w:val="16"/>
          <w:color w:val="auto"/>
        </w:rPr>
      </w:pPr>
    </w:p>
    <w:p>
      <w:pPr>
        <w:ind w:left="440" w:right="40" w:firstLine="419"/>
        <w:spacing w:after="0" w:line="275" w:lineRule="auto"/>
        <w:tabs>
          <w:tab w:leader="none" w:pos="1253"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if all or any portion of such Defaulting Lender’s LC Exposure is neither cash collateralized nor reallocated pursuant to </w:t>
      </w:r>
      <w:r>
        <w:rPr>
          <w:rFonts w:ascii="Arial" w:cs="Arial" w:eastAsia="Arial" w:hAnsi="Arial"/>
          <w:sz w:val="17"/>
          <w:szCs w:val="17"/>
          <w:u w:val="single" w:color="auto"/>
          <w:color w:val="auto"/>
        </w:rPr>
        <w:t>Section 2.20(c)</w:t>
      </w:r>
      <w:r>
        <w:rPr>
          <w:rFonts w:ascii="Arial" w:cs="Arial" w:eastAsia="Arial" w:hAnsi="Arial"/>
          <w:sz w:val="17"/>
          <w:szCs w:val="17"/>
          <w:color w:val="auto"/>
        </w:rPr>
        <w:t xml:space="preserve">,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w:t>
      </w:r>
      <w:r>
        <w:rPr>
          <w:rFonts w:ascii="Arial" w:cs="Arial" w:eastAsia="Arial" w:hAnsi="Arial"/>
          <w:sz w:val="17"/>
          <w:szCs w:val="17"/>
          <w:u w:val="single" w:color="auto"/>
          <w:color w:val="auto"/>
        </w:rPr>
        <w:t>Section 2.12(b)</w:t>
      </w:r>
      <w:r>
        <w:rPr>
          <w:rFonts w:ascii="Arial" w:cs="Arial" w:eastAsia="Arial" w:hAnsi="Arial"/>
          <w:sz w:val="17"/>
          <w:szCs w:val="17"/>
          <w:color w:val="auto"/>
        </w:rPr>
        <w:t xml:space="preserve"> with respect to such Defaulting Lender’s LC Exposure shall be payable to the Issuing Banks until such LC Exposure is cash collateralized and/or reallocated;</w:t>
      </w:r>
    </w:p>
    <w:p>
      <w:pPr>
        <w:spacing w:after="0" w:line="176" w:lineRule="exact"/>
        <w:rPr>
          <w:rFonts w:ascii="Arial" w:cs="Arial" w:eastAsia="Arial" w:hAnsi="Arial"/>
          <w:sz w:val="17"/>
          <w:szCs w:val="17"/>
          <w:color w:val="auto"/>
        </w:rPr>
      </w:pPr>
    </w:p>
    <w:p>
      <w:pPr>
        <w:ind w:right="80" w:firstLine="436"/>
        <w:spacing w:after="0" w:line="255" w:lineRule="auto"/>
        <w:tabs>
          <w:tab w:leader="none" w:pos="8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so long as such Lender is a Defaulting Lender, no Swingline Lender shall be required to fund any Swingline Loan and no Issuing Bank shall be required to issue or increase any Letter of Credit, unless it is reasonably satisfied that the related exposure and the Defaulting Lender’s then outstanding LC Exposure will be 100% covered by the Commitments of the non-Defaulting Lenders and/or cash collateral will be provided by the Borrower in accordance with </w:t>
      </w:r>
      <w:r>
        <w:rPr>
          <w:rFonts w:ascii="Arial" w:cs="Arial" w:eastAsia="Arial" w:hAnsi="Arial"/>
          <w:sz w:val="18"/>
          <w:szCs w:val="18"/>
          <w:u w:val="single" w:color="auto"/>
          <w:color w:val="auto"/>
        </w:rPr>
        <w:t>Section 2.20(c)</w:t>
      </w:r>
      <w:r>
        <w:rPr>
          <w:rFonts w:ascii="Arial" w:cs="Arial" w:eastAsia="Arial" w:hAnsi="Arial"/>
          <w:sz w:val="18"/>
          <w:szCs w:val="18"/>
          <w:color w:val="auto"/>
        </w:rPr>
        <w:t xml:space="preserve">, and Swingline Exposure related to any such newly made Swingline Loan or LC Exposure related to any such newly issued or increased Letter of Credit shall be allocated among non-Defaulting Lenders in a manner consistent with </w:t>
      </w:r>
      <w:r>
        <w:rPr>
          <w:rFonts w:ascii="Arial" w:cs="Arial" w:eastAsia="Arial" w:hAnsi="Arial"/>
          <w:sz w:val="18"/>
          <w:szCs w:val="18"/>
          <w:u w:val="single" w:color="auto"/>
          <w:color w:val="auto"/>
        </w:rPr>
        <w:t>Section 2.20(c)(i)</w:t>
      </w:r>
      <w:r>
        <w:rPr>
          <w:rFonts w:ascii="Arial" w:cs="Arial" w:eastAsia="Arial" w:hAnsi="Arial"/>
          <w:sz w:val="18"/>
          <w:szCs w:val="18"/>
          <w:color w:val="auto"/>
        </w:rPr>
        <w:t xml:space="preserve"> (and such Defaulting Lender shall not participate therein);</w:t>
      </w:r>
    </w:p>
    <w:p>
      <w:pPr>
        <w:spacing w:after="0" w:line="192" w:lineRule="exact"/>
        <w:rPr>
          <w:rFonts w:ascii="Arial" w:cs="Arial" w:eastAsia="Arial" w:hAnsi="Arial"/>
          <w:sz w:val="18"/>
          <w:szCs w:val="18"/>
          <w:color w:val="auto"/>
        </w:rPr>
      </w:pPr>
    </w:p>
    <w:p>
      <w:pPr>
        <w:ind w:firstLine="436"/>
        <w:spacing w:after="0" w:line="255"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(i) a Bankruptcy Event with respect to a Parent of any Lender shall occur following the date hereof and for so long as such event shall continue or (ii) any Swingline Lender or Issuing Bank has a good faith belief that any Lender has defaulted in fulfilling its obligations under one or more other agreements in which such Lender commits to extend credit, no Swingline Lender shall be required to fund any Swingline Loan and no such Issuing Bank shall be required to issue or increase any Letter of Credit unless such Swingline Lender or Issuing Bank shall have entered into arrangements with the Borrower or such Lender, reasonably satisfactory to such Swingline Lender or Issuing Bank, as the case may be, to defease any risk to it in respect of such Lender hereunder; and</w:t>
      </w:r>
    </w:p>
    <w:p>
      <w:pPr>
        <w:spacing w:after="0" w:line="192" w:lineRule="exact"/>
        <w:rPr>
          <w:rFonts w:ascii="Arial" w:cs="Arial" w:eastAsia="Arial" w:hAnsi="Arial"/>
          <w:sz w:val="18"/>
          <w:szCs w:val="18"/>
          <w:color w:val="auto"/>
        </w:rPr>
      </w:pPr>
    </w:p>
    <w:p>
      <w:pPr>
        <w:ind w:right="60" w:firstLine="436"/>
        <w:spacing w:after="0" w:line="25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and on the date that each of the Administrative Agent, the Borrower, each Swingline Lender and each Issuing Bank agrees that a Defaulting Lender has adequately remedied all matters that caused such Lender to be a Defaulting Lender, then the LC Exposure of the other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Nothing contained herein shall be deemed to be a release of any claims of the Administrative Agent or the Borrower against any Defaulting Lender for its breach of any of its obligations under this Agreement.</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Returned Payments</w:t>
      </w:r>
      <w:r>
        <w:rPr>
          <w:rFonts w:ascii="Arial" w:cs="Arial" w:eastAsia="Arial" w:hAnsi="Arial"/>
          <w:sz w:val="18"/>
          <w:szCs w:val="18"/>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66" w:name="page67"/>
    <w:bookmarkEnd w:id="66"/>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shall be and remain effective notwithstanding any contrary action which may have been taken by the Administrative Agent or any Lender in reliance upon such payment or application of proceeds. The provisions of this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shall survive the termination of this Agreement.</w:t>
      </w:r>
    </w:p>
    <w:p>
      <w:pPr>
        <w:spacing w:after="0" w:line="17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6"/>
          <w:szCs w:val="16"/>
          <w:u w:val="single" w:color="auto"/>
          <w:color w:val="auto"/>
        </w:rPr>
        <w:t>Increase of Commitments</w:t>
      </w:r>
      <w:r>
        <w:rPr>
          <w:rFonts w:ascii="Arial" w:cs="Arial" w:eastAsia="Arial" w:hAnsi="Arial"/>
          <w:sz w:val="16"/>
          <w:szCs w:val="16"/>
          <w:color w:val="auto"/>
        </w:rPr>
        <w:t>.</w:t>
      </w:r>
    </w:p>
    <w:p>
      <w:pPr>
        <w:spacing w:after="0" w:line="225" w:lineRule="exact"/>
        <w:rPr>
          <w:sz w:val="20"/>
          <w:szCs w:val="20"/>
          <w:color w:val="auto"/>
        </w:rPr>
      </w:pPr>
    </w:p>
    <w:p>
      <w:pPr>
        <w:ind w:right="160" w:firstLine="436"/>
        <w:spacing w:after="0" w:line="277" w:lineRule="auto"/>
        <w:tabs>
          <w:tab w:leader="none" w:pos="8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Borrower shall have the right at any time after the Effective Date to request that the aggregate Commitments hereunder be increased (a “</w:t>
      </w:r>
      <w:r>
        <w:rPr>
          <w:rFonts w:ascii="Arial" w:cs="Arial" w:eastAsia="Arial" w:hAnsi="Arial"/>
          <w:sz w:val="18"/>
          <w:szCs w:val="18"/>
          <w:u w:val="single" w:color="auto"/>
          <w:color w:val="auto"/>
        </w:rPr>
        <w:t>Commitment Increase</w:t>
      </w:r>
      <w:r>
        <w:rPr>
          <w:rFonts w:ascii="Arial" w:cs="Arial" w:eastAsia="Arial" w:hAnsi="Arial"/>
          <w:sz w:val="18"/>
          <w:szCs w:val="18"/>
          <w:color w:val="auto"/>
        </w:rPr>
        <w:t>”) in accordance with the following provisions and subject to the following conditions:</w:t>
      </w:r>
    </w:p>
    <w:p>
      <w:pPr>
        <w:spacing w:after="0" w:line="62" w:lineRule="exact"/>
        <w:rPr>
          <w:rFonts w:ascii="Arial" w:cs="Arial" w:eastAsia="Arial" w:hAnsi="Arial"/>
          <w:sz w:val="18"/>
          <w:szCs w:val="18"/>
          <w:color w:val="auto"/>
        </w:rPr>
      </w:pPr>
    </w:p>
    <w:p>
      <w:pPr>
        <w:ind w:left="440" w:right="20" w:firstLine="419"/>
        <w:spacing w:after="0" w:line="254" w:lineRule="auto"/>
        <w:tabs>
          <w:tab w:leader="none" w:pos="1209"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Borrower shall give the Administrative Agent, which shall promptly deliver a copy thereof to each of the Lenders, at least ten Business Days’ prior written notice (a “</w:t>
      </w:r>
      <w:r>
        <w:rPr>
          <w:rFonts w:ascii="Arial" w:cs="Arial" w:eastAsia="Arial" w:hAnsi="Arial"/>
          <w:sz w:val="18"/>
          <w:szCs w:val="18"/>
          <w:u w:val="single" w:color="auto"/>
          <w:color w:val="auto"/>
        </w:rPr>
        <w:t>Notice of Increase</w:t>
      </w:r>
      <w:r>
        <w:rPr>
          <w:rFonts w:ascii="Arial" w:cs="Arial" w:eastAsia="Arial" w:hAnsi="Arial"/>
          <w:sz w:val="18"/>
          <w:szCs w:val="18"/>
          <w:color w:val="auto"/>
        </w:rPr>
        <w:t>”) of any such requested increase specifying the aggregate amount by which the Commitments are to be increased, which shall be at least $5.0 million, the requested date of increase (the “</w:t>
      </w:r>
      <w:r>
        <w:rPr>
          <w:rFonts w:ascii="Arial" w:cs="Arial" w:eastAsia="Arial" w:hAnsi="Arial"/>
          <w:sz w:val="18"/>
          <w:szCs w:val="18"/>
          <w:u w:val="single" w:color="auto"/>
          <w:color w:val="auto"/>
        </w:rPr>
        <w:t>Requested Increase Date</w:t>
      </w:r>
      <w:r>
        <w:rPr>
          <w:rFonts w:ascii="Arial" w:cs="Arial" w:eastAsia="Arial" w:hAnsi="Arial"/>
          <w:sz w:val="18"/>
          <w:szCs w:val="18"/>
          <w:color w:val="auto"/>
        </w:rPr>
        <w:t>”) and the date by which the Lenders wishing to participate in the Commitment Increase must commit to an increase in the amount of their respective Commitments (the “</w:t>
      </w:r>
      <w:r>
        <w:rPr>
          <w:rFonts w:ascii="Arial" w:cs="Arial" w:eastAsia="Arial" w:hAnsi="Arial"/>
          <w:sz w:val="18"/>
          <w:szCs w:val="18"/>
          <w:u w:val="single" w:color="auto"/>
          <w:color w:val="auto"/>
        </w:rPr>
        <w:t>Commitment Date</w:t>
      </w:r>
      <w:r>
        <w:rPr>
          <w:rFonts w:ascii="Arial" w:cs="Arial" w:eastAsia="Arial" w:hAnsi="Arial"/>
          <w:sz w:val="18"/>
          <w:szCs w:val="18"/>
          <w:color w:val="auto"/>
        </w:rPr>
        <w:t>”). Each Lender that is willing in its sole discretion to participate in such requested Commitment Increase (each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shall give written notice to the Administrative Agent on or prior to the Commitment Date of the amount by which it is willing to increase its Commitment.</w:t>
      </w:r>
    </w:p>
    <w:p>
      <w:pPr>
        <w:spacing w:after="0" w:line="86" w:lineRule="exact"/>
        <w:rPr>
          <w:rFonts w:ascii="Arial" w:cs="Arial" w:eastAsia="Arial" w:hAnsi="Arial"/>
          <w:sz w:val="18"/>
          <w:szCs w:val="18"/>
          <w:color w:val="auto"/>
        </w:rPr>
      </w:pPr>
    </w:p>
    <w:p>
      <w:pPr>
        <w:ind w:left="440" w:firstLine="419"/>
        <w:spacing w:after="0" w:line="273" w:lineRule="auto"/>
        <w:tabs>
          <w:tab w:leader="none" w:pos="1263"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Promptly following each Commitment Date, the Administrative Agent shall notify the Borrower as to the amount, if any, by which the Lenders are willing to participate in the requested Commitment Increase. In addition, the Borrower may extend offers to one or more Eligible Assignees, each of which must be reasonably satisfactory to the Administrative Agent, (such consent not to be unreasonably withheld) to participate in any portion of the requested Commitment Increase;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Commitment of each such Eligible Assignee shall be in an amount of not less than $1.0 million or an integral multiple of $1.0 million in excess thereof. Any such Eligible Assignee that agrees to acquire a Commitment pursuant hereto is herein called an “</w:t>
      </w:r>
      <w:r>
        <w:rPr>
          <w:rFonts w:ascii="Arial" w:cs="Arial" w:eastAsia="Arial" w:hAnsi="Arial"/>
          <w:sz w:val="17"/>
          <w:szCs w:val="17"/>
          <w:u w:val="single" w:color="auto"/>
          <w:color w:val="auto"/>
        </w:rPr>
        <w:t>Additional Lender</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40" w:right="20" w:firstLine="419"/>
        <w:spacing w:after="0" w:line="291" w:lineRule="auto"/>
        <w:tabs>
          <w:tab w:leader="none" w:pos="1313"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Effective on the Requested Increase Date, subject to the terms and conditions hereof, (x) the </w:t>
      </w:r>
      <w:r>
        <w:rPr>
          <w:rFonts w:ascii="Arial" w:cs="Arial" w:eastAsia="Arial" w:hAnsi="Arial"/>
          <w:sz w:val="16"/>
          <w:szCs w:val="16"/>
          <w:u w:val="single" w:color="auto"/>
          <w:color w:val="auto"/>
        </w:rPr>
        <w:t>Commitment Schedule</w:t>
      </w:r>
      <w:r>
        <w:rPr>
          <w:rFonts w:ascii="Arial" w:cs="Arial" w:eastAsia="Arial" w:hAnsi="Arial"/>
          <w:sz w:val="16"/>
          <w:szCs w:val="16"/>
          <w:color w:val="auto"/>
        </w:rPr>
        <w:t xml:space="preserve"> shall be deemed to be amended to reflect the increases contemplated hereby, (y) the Commitment of each Increasing Lender shall be increased by an amount determined by the Administrative Agent and the Borrower (but in no event greater than the amount by which such Lender is willing to increase its Commitment), and (z) each Additional Lender shall enter into an agreement in form and substance reasonably satisfactory to the Borrower and the Administrative Agent pursuant to which it shall undertake, as of such Requested Increase Date, a new Commitment in an amount determined by the Administrative Agent and the Borrower (but in no event greater than the amount by which such Lender is willing to participate in the requested Commitment Increase), and such Additional Lender shall thereupon be deemed to be a Lender for all purposes of this Agreement.</w:t>
      </w:r>
    </w:p>
    <w:p>
      <w:pPr>
        <w:spacing w:after="0" w:line="58" w:lineRule="exact"/>
        <w:rPr>
          <w:rFonts w:ascii="Arial" w:cs="Arial" w:eastAsia="Arial" w:hAnsi="Arial"/>
          <w:sz w:val="16"/>
          <w:szCs w:val="16"/>
          <w:color w:val="auto"/>
        </w:rPr>
      </w:pPr>
    </w:p>
    <w:p>
      <w:pPr>
        <w:jc w:val="both"/>
        <w:ind w:left="440" w:right="360" w:firstLine="419"/>
        <w:spacing w:after="0" w:line="286" w:lineRule="auto"/>
        <w:tabs>
          <w:tab w:leader="none" w:pos="1303"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on the Requested Increase Date there are any Loans outstanding hereunder, the Borrower shall borrow from all or certain of the Lenders and/or prepay Loans of all or certain of the Lenders such that, after giving effect thereto, the Loans (including the Types and Interest Periods thereof) and such participations shall be held by the Lenders (including for such purposes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7" w:name="page68"/>
    <w:bookmarkEnd w:id="67"/>
    <w:p>
      <w:pPr>
        <w:ind w:lef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Increasing Lenders and the Additional Lenders) ratably in accordance with their respective Commitments. On and after each Increase Date, the ratable share of each Lender’s participation in Letters of Credit and Loans from draws under Letters of Credit shall be calculated after giving effect to each such Commitment Increase.</w:t>
      </w:r>
    </w:p>
    <w:p>
      <w:pPr>
        <w:spacing w:after="0" w:line="184" w:lineRule="exact"/>
        <w:rPr>
          <w:sz w:val="20"/>
          <w:szCs w:val="20"/>
          <w:color w:val="auto"/>
        </w:rPr>
      </w:pPr>
    </w:p>
    <w:p>
      <w:pPr>
        <w:ind w:right="680" w:firstLine="436"/>
        <w:spacing w:after="0" w:line="277"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to the contrary notwithstanding, no increase in the aggregate Commitments hereunder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shall be effective unless:</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as of the date of the relevant Notice of Increase and on the relevant Requested Increase Date and after giving effect to such increase,</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no Default or Event of Default shall have occurred and be continuing and (y) the condition set forth in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shall be satisfied;</w:t>
      </w:r>
    </w:p>
    <w:p>
      <w:pPr>
        <w:spacing w:after="0" w:line="114" w:lineRule="exact"/>
        <w:rPr>
          <w:rFonts w:ascii="Arial" w:cs="Arial" w:eastAsia="Arial" w:hAnsi="Arial"/>
          <w:sz w:val="17"/>
          <w:szCs w:val="17"/>
          <w:color w:val="auto"/>
        </w:rPr>
      </w:pPr>
    </w:p>
    <w:p>
      <w:pPr>
        <w:ind w:left="440" w:right="120" w:firstLine="419"/>
        <w:spacing w:after="0" w:line="296" w:lineRule="auto"/>
        <w:tabs>
          <w:tab w:leader="none" w:pos="1263"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the extent reasonably requested by the Administrative Agent, receipt by the Administrative Agent of (A) customary legal opinions, board resolutions and officers’ certificates consistent with the documentation delivered on the Effective Date (conformed as appropriate) other than changes to such legal opinions resulting from a change in law, change in fact or change to counsel’s form of opinion reasonably satisfactory to the Administrative Agent and (B) any reaffirmation or similar documentation as reasonably requested by the Administrative Agent in order to ensure that such Increasing Lender or Additional Lender is provided with the benefit of the applicable Loan Documents;</w:t>
      </w:r>
    </w:p>
    <w:p>
      <w:pPr>
        <w:spacing w:after="0" w:line="53" w:lineRule="exact"/>
        <w:rPr>
          <w:rFonts w:ascii="Arial" w:cs="Arial" w:eastAsia="Arial" w:hAnsi="Arial"/>
          <w:sz w:val="16"/>
          <w:szCs w:val="16"/>
          <w:color w:val="auto"/>
        </w:rPr>
      </w:pPr>
    </w:p>
    <w:p>
      <w:pPr>
        <w:ind w:left="440" w:right="260" w:firstLine="419"/>
        <w:spacing w:after="0" w:line="277" w:lineRule="auto"/>
        <w:tabs>
          <w:tab w:leader="none" w:pos="1313" w:val="left"/>
        </w:tabs>
        <w:numPr>
          <w:ilvl w:val="1"/>
          <w:numId w:val="64"/>
        </w:numPr>
        <w:rPr>
          <w:rFonts w:ascii="Arial" w:cs="Arial" w:eastAsia="Arial" w:hAnsi="Arial"/>
          <w:sz w:val="18"/>
          <w:szCs w:val="18"/>
          <w:color w:val="auto"/>
        </w:rPr>
      </w:pPr>
      <w:r>
        <w:rPr>
          <w:rFonts w:ascii="Arial" w:cs="Arial" w:eastAsia="Arial" w:hAnsi="Arial"/>
          <w:sz w:val="18"/>
          <w:szCs w:val="18"/>
          <w:color w:val="auto"/>
        </w:rPr>
        <w:t>after giving effect to such Commitment Increases, the aggregate principal amount of all such Commitment Increases incurred since the Effective Date shall not exceed $50.0 million; and</w:t>
      </w:r>
    </w:p>
    <w:p>
      <w:pPr>
        <w:spacing w:after="0" w:line="62" w:lineRule="exact"/>
        <w:rPr>
          <w:rFonts w:ascii="Arial" w:cs="Arial" w:eastAsia="Arial" w:hAnsi="Arial"/>
          <w:sz w:val="18"/>
          <w:szCs w:val="18"/>
          <w:color w:val="auto"/>
        </w:rPr>
      </w:pPr>
    </w:p>
    <w:p>
      <w:pPr>
        <w:ind w:left="440" w:right="40" w:firstLine="419"/>
        <w:spacing w:after="0" w:line="311" w:lineRule="auto"/>
        <w:tabs>
          <w:tab w:leader="none" w:pos="1303" w:val="left"/>
        </w:tabs>
        <w:numPr>
          <w:ilvl w:val="1"/>
          <w:numId w:val="64"/>
        </w:numPr>
        <w:rPr>
          <w:rFonts w:ascii="Arial" w:cs="Arial" w:eastAsia="Arial" w:hAnsi="Arial"/>
          <w:sz w:val="16"/>
          <w:szCs w:val="16"/>
          <w:color w:val="auto"/>
        </w:rPr>
      </w:pPr>
      <w:r>
        <w:rPr>
          <w:rFonts w:ascii="Arial" w:cs="Arial" w:eastAsia="Arial" w:hAnsi="Arial"/>
          <w:sz w:val="16"/>
          <w:szCs w:val="16"/>
          <w:color w:val="auto"/>
        </w:rPr>
        <w:t>after giving effect to any such Commitment Increase, the Borrower shall be in pro forma compliance with the Financial Covenant for the most recently ended Reference Period for which financial statements have been (or were required to be) delivered to the Administrative Agent and the Borrower shall have delivered to the Administrative Agent reasonably detailed calculations demonstrating such compliance.</w:t>
      </w:r>
    </w:p>
    <w:p>
      <w:pPr>
        <w:spacing w:after="0" w:line="149"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SECTION 2.23 </w:t>
      </w:r>
      <w:r>
        <w:rPr>
          <w:rFonts w:ascii="Arial" w:cs="Arial" w:eastAsia="Arial" w:hAnsi="Arial"/>
          <w:sz w:val="18"/>
          <w:szCs w:val="18"/>
          <w:u w:val="single" w:color="auto"/>
          <w:color w:val="auto"/>
        </w:rPr>
        <w:t>Banking Services and Swap Agreements</w:t>
      </w:r>
      <w:r>
        <w:rPr>
          <w:rFonts w:ascii="Arial" w:cs="Arial" w:eastAsia="Arial" w:hAnsi="Arial"/>
          <w:sz w:val="18"/>
          <w:szCs w:val="18"/>
          <w:color w:val="auto"/>
        </w:rPr>
        <w:t xml:space="preserve">. Each Lender or Affiliate thereof providing Banking Services for, or having Swap Agreements with, the Borrower or any of its Subsidiaries shall deliver to the Administrative Agent, promptly after entering into such Banking Services or Swap Agreements, written notice thereof, in each case, to the extent such Banking Services or Swap Agreements relate to Secured Obligations. In furtherance of that requirement, each such Lender or Affiliate thereof shall furnish the Administrative Agent, from time to time promptly upon a request therefor, a summary of the amounts due or to become due in respect of such Banking Services Obligations and Swap Agreement Obligations that constitute Secured Obligations, together with such supporting documentation as the Administrative Agent may have reasonably requested from the applicable provider of such Banking Services or Swap Agreement. The most recent information provided to the Administrative Agent shall be used in determining which tier of the waterfall, contained in </w:t>
      </w:r>
      <w:r>
        <w:rPr>
          <w:rFonts w:ascii="Arial" w:cs="Arial" w:eastAsia="Arial" w:hAnsi="Arial"/>
          <w:sz w:val="18"/>
          <w:szCs w:val="18"/>
          <w:u w:val="single" w:color="auto"/>
          <w:color w:val="auto"/>
        </w:rPr>
        <w:t>Section 2.18(b)</w:t>
      </w:r>
      <w:r>
        <w:rPr>
          <w:rFonts w:ascii="Arial" w:cs="Arial" w:eastAsia="Arial" w:hAnsi="Arial"/>
          <w:sz w:val="18"/>
          <w:szCs w:val="18"/>
          <w:color w:val="auto"/>
        </w:rPr>
        <w:t>, such Banking Services Obligations and/or Swap Agreement Obligations will be placed.</w:t>
      </w:r>
    </w:p>
    <w:p>
      <w:pPr>
        <w:spacing w:after="0" w:line="19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2.24</w:t>
      </w:r>
      <w:r>
        <w:rPr>
          <w:sz w:val="20"/>
          <w:szCs w:val="20"/>
          <w:color w:val="auto"/>
        </w:rPr>
        <w:tab/>
      </w:r>
      <w:r>
        <w:rPr>
          <w:rFonts w:ascii="Arial" w:cs="Arial" w:eastAsia="Arial" w:hAnsi="Arial"/>
          <w:sz w:val="16"/>
          <w:szCs w:val="16"/>
          <w:u w:val="single" w:color="auto"/>
          <w:color w:val="auto"/>
        </w:rPr>
        <w:t>Amend and Extend Transactions</w:t>
      </w:r>
      <w:r>
        <w:rPr>
          <w:rFonts w:ascii="Arial" w:cs="Arial" w:eastAsia="Arial" w:hAnsi="Arial"/>
          <w:sz w:val="16"/>
          <w:szCs w:val="16"/>
          <w:color w:val="auto"/>
        </w:rPr>
        <w:t>.</w:t>
      </w:r>
    </w:p>
    <w:p>
      <w:pPr>
        <w:spacing w:after="0" w:line="225" w:lineRule="exact"/>
        <w:rPr>
          <w:sz w:val="20"/>
          <w:szCs w:val="20"/>
          <w:color w:val="auto"/>
        </w:rPr>
      </w:pPr>
    </w:p>
    <w:p>
      <w:pPr>
        <w:ind w:right="240" w:firstLine="436"/>
        <w:spacing w:after="0" w:line="259" w:lineRule="auto"/>
        <w:tabs>
          <w:tab w:leader="none" w:pos="8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Borrower may, by written notice to the Administrative Agent from time to time, request an extension (each, an “</w:t>
      </w:r>
      <w:r>
        <w:rPr>
          <w:rFonts w:ascii="Arial" w:cs="Arial" w:eastAsia="Arial" w:hAnsi="Arial"/>
          <w:sz w:val="18"/>
          <w:szCs w:val="18"/>
          <w:u w:val="single" w:color="auto"/>
          <w:color w:val="auto"/>
        </w:rPr>
        <w:t>Extension</w:t>
      </w:r>
      <w:r>
        <w:rPr>
          <w:rFonts w:ascii="Arial" w:cs="Arial" w:eastAsia="Arial" w:hAnsi="Arial"/>
          <w:sz w:val="18"/>
          <w:szCs w:val="18"/>
          <w:color w:val="auto"/>
        </w:rPr>
        <w:t>”) of the Maturity Date to the extended maturity date specified in such notice. Such notice shall (i) set forth the amount of Commitments that will be subject to the Extension (which request shall be in minimum increments of $1.0 million and a minimum amount of $5.0 million), and (ii) set forth the date on which such Extension is requested to become effective (which shall be not less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68" w:name="page69"/>
    <w:bookmarkEnd w:id="6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ten Business Days nor more than sixty (60) days after the date of such Extension notice (or such longer or shorter periods as the Administrative Agent shall agree in its sole discretion)). The Lenders shall be offered (an “</w:t>
      </w:r>
      <w:r>
        <w:rPr>
          <w:rFonts w:ascii="Arial" w:cs="Arial" w:eastAsia="Arial" w:hAnsi="Arial"/>
          <w:sz w:val="16"/>
          <w:szCs w:val="16"/>
          <w:u w:val="single" w:color="auto"/>
          <w:color w:val="auto"/>
        </w:rPr>
        <w:t>Extension Offer</w:t>
      </w:r>
      <w:r>
        <w:rPr>
          <w:rFonts w:ascii="Arial" w:cs="Arial" w:eastAsia="Arial" w:hAnsi="Arial"/>
          <w:sz w:val="16"/>
          <w:szCs w:val="16"/>
          <w:color w:val="auto"/>
        </w:rPr>
        <w:t xml:space="preserve">”) an opportunity to participate in such Extension on a pro rata basis and on the same terms and conditions as each other Lender pursuant to procedures established by, or reasonably acceptable to, the Administrative Agent and Borrower. If the aggregate principal amount of Commitments in respect of which Lenders shall have accepted the relevant Extension Offer shall exceed the maximum aggregate principal amount of Commitments subject to the Extension Offer as set forth in the Extension notice, then the Commitments of the Lenders shall be extended ratably up to such maximum amount based on the respective principal amounts with respect to which such Lenders have accepted such Extension Offer. Notwithstanding anything to the contrary in this Agreement, any individual Lender’s agreement to extend its Commitments, in whole or in part, pursuant to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shall be in such Lender’s sole discretion.</w:t>
      </w:r>
    </w:p>
    <w:p>
      <w:pPr>
        <w:spacing w:after="0" w:line="165" w:lineRule="exact"/>
        <w:rPr>
          <w:sz w:val="20"/>
          <w:szCs w:val="20"/>
          <w:color w:val="auto"/>
        </w:rPr>
      </w:pPr>
    </w:p>
    <w:p>
      <w:pPr>
        <w:ind w:firstLine="436"/>
        <w:spacing w:after="0" w:line="255" w:lineRule="auto"/>
        <w:tabs>
          <w:tab w:leader="none" w:pos="827"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in each other Loan Document shall be deemed to be made and shall be true and correct in all material respects on and as of the effective date of such Extension, (iii) each relevant Issuing Bank shall have consented to any Extension of the Commitments, to the extent that such Extension provides for the issuance or extension of Letters of Credit at any time during the extended period and (iv) the terms of such Extended Commitments shall comply with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40" w:firstLine="436"/>
        <w:spacing w:after="0" w:line="289" w:lineRule="auto"/>
        <w:tabs>
          <w:tab w:leader="none" w:pos="817"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terms of each Extension shall be determined by the Borrower and the applicable extending Lenders and set forth in an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final maturity date of any Extended Commitment shall be no earlier than the Maturity Date, (ii) there shall be no scheduled amortization of the loans or reductions of commitments under any Extended Commitments, (iii) the Extended Loans will rank pari passu in right of payment and security with the existing Loans and the borrower, guarantors and collateral of the Extended Commitments shall be the same as the borrower, Guarantors and Collateral with respect to the existing Loans, (iv) the interest rate margin and any fees applicable to any Extended Commitment (and the Extended Loans thereunder) shall be determined by Borrower and the applicable extending Lenders, (v) borrowing and prepayment of Extended Loans, or reductions of Extended Commitments, and participation in Letters of Credit, shall be on a pro rata basis with the other Loans or Commitments (other than upon the maturity of the non-extended Loans and Commitments) and (vi) the terms of the Extended Commitments shall be substantially identical to the terms set forth herein (other than upon the maturity of the non-extended Loans and Commitments).</w:t>
      </w:r>
    </w:p>
    <w:p>
      <w:pPr>
        <w:spacing w:after="0" w:line="166" w:lineRule="exact"/>
        <w:rPr>
          <w:rFonts w:ascii="Arial" w:cs="Arial" w:eastAsia="Arial" w:hAnsi="Arial"/>
          <w:sz w:val="16"/>
          <w:szCs w:val="16"/>
          <w:color w:val="auto"/>
        </w:rPr>
      </w:pPr>
    </w:p>
    <w:p>
      <w:pPr>
        <w:ind w:right="20" w:firstLine="436"/>
        <w:spacing w:after="0" w:line="289" w:lineRule="auto"/>
        <w:tabs>
          <w:tab w:leader="none" w:pos="83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In connection with any Extension, the Borrower,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 to implement the terms of any such Extension, including any amendments necessary to establish Extended Commitments as tranche of Commitments and such other technical amendments as may be necessary or appropriate in the reasonable opinion of the Administrative Agent and the Borrower in connection with the establishment of such new tranche (including to preserve the pro rata treatment of the extended and non-extended tranches and to provide for the reallocation of Credit Exposure upon the expiration or termination of the commitments under any tranche), in each case on terms consistent with this </w:t>
      </w:r>
      <w:r>
        <w:rPr>
          <w:rFonts w:ascii="Arial" w:cs="Arial" w:eastAsia="Arial" w:hAnsi="Arial"/>
          <w:sz w:val="16"/>
          <w:szCs w:val="16"/>
          <w:u w:val="single" w:color="auto"/>
          <w:color w:val="auto"/>
        </w:rPr>
        <w:t>Section 2.24.</w:t>
      </w:r>
    </w:p>
    <w:p>
      <w:pPr>
        <w:spacing w:after="0" w:line="16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2.25</w:t>
      </w:r>
      <w:r>
        <w:rPr>
          <w:sz w:val="20"/>
          <w:szCs w:val="20"/>
          <w:color w:val="auto"/>
        </w:rPr>
        <w:tab/>
      </w:r>
      <w:r>
        <w:rPr>
          <w:rFonts w:ascii="Arial" w:cs="Arial" w:eastAsia="Arial" w:hAnsi="Arial"/>
          <w:sz w:val="16"/>
          <w:szCs w:val="16"/>
          <w:u w:val="single" w:color="auto"/>
          <w:color w:val="auto"/>
        </w:rPr>
        <w:t>Benchmark Replacement Setting</w:t>
      </w:r>
      <w:r>
        <w:rPr>
          <w:rFonts w:ascii="Arial" w:cs="Arial" w:eastAsia="Arial" w:hAnsi="Arial"/>
          <w:sz w:val="16"/>
          <w:szCs w:val="16"/>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9" w:name="page70"/>
    <w:bookmarkEnd w:id="69"/>
    <w:p>
      <w:pPr>
        <w:ind w:left="-20" w:right="160" w:firstLine="436"/>
        <w:spacing w:after="0" w:line="277"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 Replacement</w:t>
      </w:r>
      <w:r>
        <w:rPr>
          <w:rFonts w:ascii="Arial" w:cs="Arial" w:eastAsia="Arial" w:hAnsi="Arial"/>
          <w:sz w:val="18"/>
          <w:szCs w:val="18"/>
          <w:color w:val="auto"/>
        </w:rPr>
        <w:t xml:space="preserve">. Notwithstanding anything to the contrary herein or in any other Loan Document (and any Swap Agreement shall be deemed not to be a “Loan Document” for purposes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20" w:right="160" w:firstLine="419"/>
        <w:spacing w:after="0" w:line="291" w:lineRule="auto"/>
        <w:tabs>
          <w:tab w:leader="none" w:pos="1193"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Replacing USD LIBOR</w:t>
      </w:r>
      <w:r>
        <w:rPr>
          <w:rFonts w:ascii="Arial" w:cs="Arial" w:eastAsia="Arial" w:hAnsi="Arial"/>
          <w:sz w:val="16"/>
          <w:szCs w:val="16"/>
          <w:color w:val="auto"/>
        </w:rPr>
        <w:t>. On March 5, 2021 the Financial Conduct Authority (“</w:t>
      </w:r>
      <w:r>
        <w:rPr>
          <w:rFonts w:ascii="Arial" w:cs="Arial" w:eastAsia="Arial" w:hAnsi="Arial"/>
          <w:sz w:val="16"/>
          <w:szCs w:val="16"/>
          <w:u w:val="single" w:color="auto"/>
          <w:color w:val="auto"/>
        </w:rPr>
        <w:t>FCA</w:t>
      </w:r>
      <w:r>
        <w:rPr>
          <w:rFonts w:ascii="Arial" w:cs="Arial" w:eastAsia="Arial" w:hAnsi="Arial"/>
          <w:sz w:val="16"/>
          <w:szCs w:val="16"/>
          <w:color w:val="auto"/>
        </w:rPr>
        <w:t>”) and the regulatory supervisor of USD LIBOR’s administrator (“</w:t>
      </w:r>
      <w:r>
        <w:rPr>
          <w:rFonts w:ascii="Arial" w:cs="Arial" w:eastAsia="Arial" w:hAnsi="Arial"/>
          <w:sz w:val="16"/>
          <w:szCs w:val="16"/>
          <w:u w:val="single" w:color="auto"/>
          <w:color w:val="auto"/>
        </w:rPr>
        <w:t>IBA</w:t>
      </w:r>
      <w:r>
        <w:rPr>
          <w:rFonts w:ascii="Arial" w:cs="Arial" w:eastAsia="Arial" w:hAnsi="Arial"/>
          <w:sz w:val="16"/>
          <w:szCs w:val="16"/>
          <w:color w:val="auto"/>
        </w:rPr>
        <w:t>”), announced in a public statement the future cessation or loss of representativeness of overnight/Spot Next, 1-month,</w:t>
      </w:r>
    </w:p>
    <w:p>
      <w:pPr>
        <w:ind w:left="420" w:right="40"/>
        <w:spacing w:after="0" w:line="290" w:lineRule="auto"/>
        <w:rPr>
          <w:rFonts w:ascii="Arial" w:cs="Arial" w:eastAsia="Arial" w:hAnsi="Arial"/>
          <w:sz w:val="16"/>
          <w:szCs w:val="16"/>
          <w:color w:val="auto"/>
        </w:rPr>
      </w:pPr>
      <w:r>
        <w:rPr>
          <w:rFonts w:ascii="Arial" w:cs="Arial" w:eastAsia="Arial" w:hAnsi="Arial"/>
          <w:sz w:val="16"/>
          <w:szCs w:val="16"/>
          <w:color w:val="auto"/>
        </w:rPr>
        <w:t>3-month, 6-month and 12- month USD LIBOR tenor settings. On the earlier of (A) the date that all Available Tenors of USD LIBOR have either permanently or indefinitely ceased to be provided by IBA or have been announced by the FCA pursuant to a public statement or publication of information to be no longer representative and (B) the Early Opt-in Effective Date, if the then-current Benchmark is USD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quarterly basis.</w:t>
      </w:r>
    </w:p>
    <w:p>
      <w:pPr>
        <w:spacing w:after="0" w:line="55" w:lineRule="exact"/>
        <w:rPr>
          <w:rFonts w:ascii="Arial" w:cs="Arial" w:eastAsia="Arial" w:hAnsi="Arial"/>
          <w:sz w:val="16"/>
          <w:szCs w:val="16"/>
          <w:color w:val="auto"/>
        </w:rPr>
      </w:pPr>
    </w:p>
    <w:p>
      <w:pPr>
        <w:ind w:left="420" w:firstLine="419"/>
        <w:spacing w:after="0" w:line="286" w:lineRule="auto"/>
        <w:tabs>
          <w:tab w:leader="none" w:pos="1243"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Replacing Future Benchmarks</w:t>
      </w:r>
      <w:r>
        <w:rPr>
          <w:rFonts w:ascii="Arial" w:cs="Arial" w:eastAsia="Arial" w:hAnsi="Arial"/>
          <w:sz w:val="16"/>
          <w:szCs w:val="16"/>
          <w:color w:val="auto"/>
        </w:rPr>
        <w:t>. Upon the occurrence of a Benchmark Transition Event,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ABR Loans. During the period referenced in the foregoing sentence, the component of the Alternate Base Rate based upon the Benchmark will not be used in any determination of the Alternate Base Rate.</w:t>
      </w:r>
    </w:p>
    <w:p>
      <w:pPr>
        <w:spacing w:after="0" w:line="173" w:lineRule="exact"/>
        <w:rPr>
          <w:rFonts w:ascii="Arial" w:cs="Arial" w:eastAsia="Arial" w:hAnsi="Arial"/>
          <w:sz w:val="16"/>
          <w:szCs w:val="16"/>
          <w:color w:val="auto"/>
        </w:rPr>
      </w:pPr>
    </w:p>
    <w:p>
      <w:pPr>
        <w:jc w:val="both"/>
        <w:ind w:left="-20" w:right="20" w:firstLine="436"/>
        <w:spacing w:after="0" w:line="259" w:lineRule="auto"/>
        <w:tabs>
          <w:tab w:leader="none" w:pos="81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86" w:lineRule="exact"/>
        <w:rPr>
          <w:rFonts w:ascii="Arial" w:cs="Arial" w:eastAsia="Arial" w:hAnsi="Arial"/>
          <w:sz w:val="18"/>
          <w:szCs w:val="18"/>
          <w:color w:val="auto"/>
        </w:rPr>
      </w:pPr>
    </w:p>
    <w:p>
      <w:pPr>
        <w:ind w:left="-20" w:right="20" w:firstLine="436"/>
        <w:spacing w:after="0" w:line="275" w:lineRule="auto"/>
        <w:tabs>
          <w:tab w:leader="none" w:pos="80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Notices; Standards for Decisions and Determinations</w:t>
      </w:r>
      <w:r>
        <w:rPr>
          <w:rFonts w:ascii="Arial" w:cs="Arial" w:eastAsia="Arial" w:hAnsi="Arial"/>
          <w:sz w:val="17"/>
          <w:szCs w:val="17"/>
          <w:color w:val="auto"/>
        </w:rPr>
        <w:t xml:space="preserve">. The Administrative Agent will promptly notify the Borrower and the Lenders of (i) the implementation of any Benchmark Replacement and (ii) the effectiveness of any Benchmark Replacement Conforming Changes. For the avoidance of doubt, any notice required to be delivered by the Administrative Agent as set forth in this </w:t>
      </w:r>
      <w:r>
        <w:rPr>
          <w:rFonts w:ascii="Arial" w:cs="Arial" w:eastAsia="Arial" w:hAnsi="Arial"/>
          <w:sz w:val="17"/>
          <w:szCs w:val="17"/>
          <w:u w:val="single" w:color="auto"/>
          <w:color w:val="auto"/>
        </w:rPr>
        <w:t>Section 2.25</w:t>
      </w:r>
      <w:r>
        <w:rPr>
          <w:rFonts w:ascii="Arial" w:cs="Arial" w:eastAsia="Arial" w:hAnsi="Arial"/>
          <w:sz w:val="17"/>
          <w:szCs w:val="17"/>
          <w:color w:val="auto"/>
        </w:rPr>
        <w:t xml:space="preserve"> may be provided, at the option of the Administrative Agent (in its sole discretion), in one or more notices and may be delivered together with, or as part of any amendment which implements any Benchmark Replacement or Benchmark Replacement Conforming Changes. Any determination, decision or election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60" w:top="274" w:right="459" w:bottom="1440" w:gutter="0" w:footer="0" w:header="0"/>
        </w:sectPr>
      </w:pPr>
    </w:p>
    <w:bookmarkStart w:id="70" w:name="page71"/>
    <w:bookmarkEnd w:id="70"/>
    <w:p>
      <w:pPr>
        <w:ind w:left="4"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may be made by the Administrative Agent or, if applicable, any Lender (or group of Lenders) pursuant to this </w:t>
      </w:r>
      <w:r>
        <w:rPr>
          <w:rFonts w:ascii="Arial" w:cs="Arial" w:eastAsia="Arial" w:hAnsi="Arial"/>
          <w:sz w:val="17"/>
          <w:szCs w:val="17"/>
          <w:u w:val="single" w:color="auto"/>
          <w:color w:val="auto"/>
        </w:rPr>
        <w:t>Section 2.25</w:t>
      </w:r>
      <w:r>
        <w:rPr>
          <w:rFonts w:ascii="Arial" w:cs="Arial" w:eastAsia="Arial" w:hAnsi="Arial"/>
          <w:sz w:val="17"/>
          <w:szCs w:val="17"/>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7"/>
          <w:szCs w:val="17"/>
          <w:u w:val="single" w:color="auto"/>
          <w:color w:val="auto"/>
        </w:rPr>
        <w:t>Section 2.25</w:t>
      </w:r>
      <w:r>
        <w:rPr>
          <w:rFonts w:ascii="Arial" w:cs="Arial" w:eastAsia="Arial" w:hAnsi="Arial"/>
          <w:sz w:val="17"/>
          <w:szCs w:val="17"/>
          <w:color w:val="auto"/>
        </w:rPr>
        <w:t>.</w:t>
      </w:r>
    </w:p>
    <w:p>
      <w:pPr>
        <w:spacing w:after="0" w:line="171" w:lineRule="exact"/>
        <w:rPr>
          <w:sz w:val="20"/>
          <w:szCs w:val="20"/>
          <w:color w:val="auto"/>
        </w:rPr>
      </w:pPr>
    </w:p>
    <w:p>
      <w:pPr>
        <w:ind w:left="4" w:right="20" w:firstLine="436"/>
        <w:spacing w:after="0" w:line="279" w:lineRule="auto"/>
        <w:tabs>
          <w:tab w:leader="none" w:pos="834"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Unavailability of Tenor of Benchmark</w:t>
      </w:r>
      <w:r>
        <w:rPr>
          <w:rFonts w:ascii="Arial" w:cs="Arial" w:eastAsia="Arial" w:hAnsi="Arial"/>
          <w:sz w:val="17"/>
          <w:szCs w:val="17"/>
          <w:color w:val="auto"/>
        </w:rPr>
        <w:t>. At any time (including in connection with the implementation of a Benchmark Replacement), (i) if the then-current Benchmark is a term rate (including Term SOFR or USD LIBOR), then the Administrative Agent may remove any tenor of such Benchmark that is unavailable or non-representative for Benchmark (including Benchmark Replacement) settings and (ii) the Administrative Agent may reinstate any such previously removed tenor for Benchmark (including Benchmark Replacement) settings.</w:t>
      </w:r>
    </w:p>
    <w:p>
      <w:pPr>
        <w:spacing w:after="0" w:line="171" w:lineRule="exact"/>
        <w:rPr>
          <w:rFonts w:ascii="Arial" w:cs="Arial" w:eastAsia="Arial" w:hAnsi="Arial"/>
          <w:sz w:val="17"/>
          <w:szCs w:val="17"/>
          <w:color w:val="auto"/>
        </w:rPr>
      </w:pPr>
    </w:p>
    <w:p>
      <w:pPr>
        <w:ind w:left="4" w:firstLine="436"/>
        <w:spacing w:after="0" w:line="285" w:lineRule="auto"/>
        <w:tabs>
          <w:tab w:leader="none" w:pos="824"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Disclaimer</w:t>
      </w:r>
      <w:r>
        <w:rPr>
          <w:rFonts w:ascii="Arial" w:cs="Arial" w:eastAsia="Arial" w:hAnsi="Arial"/>
          <w:sz w:val="16"/>
          <w:szCs w:val="16"/>
          <w:color w:val="auto"/>
        </w:rPr>
        <w:t>. The Administrative Agent does not warrant or accept any responsibility for, and shall not have any liability with respect to (i) the administration, submission or any other matter related to the London interbank offered rate or other rates in the definition of “LIBO Rate” or with respect to any alternative or successor rate thereto, or replacement rate thereof (including, without limitation any Benchmark Replacement implemented hereunder), (ii) the composition or characteristics of any such Benchmark Replacement, including whether it is similar to, or produces the same value or economic equivalence to USD LIBOR (or any other Benchmark) or have the same volume or liquidity as did USD LIBOR (or any other Benchmark),</w:t>
      </w:r>
    </w:p>
    <w:p>
      <w:pPr>
        <w:spacing w:after="0" w:line="1" w:lineRule="exact"/>
        <w:rPr>
          <w:rFonts w:ascii="Arial" w:cs="Arial" w:eastAsia="Arial" w:hAnsi="Arial"/>
          <w:sz w:val="16"/>
          <w:szCs w:val="16"/>
          <w:color w:val="auto"/>
        </w:rPr>
      </w:pPr>
    </w:p>
    <w:p>
      <w:pPr>
        <w:ind w:left="4" w:right="40" w:hanging="4"/>
        <w:spacing w:after="0" w:line="281" w:lineRule="auto"/>
        <w:tabs>
          <w:tab w:leader="none" w:pos="319"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any actions or use of its discretion or other decisions or determinations made with respect to any matters covered by this </w:t>
      </w:r>
      <w:r>
        <w:rPr>
          <w:rFonts w:ascii="Arial" w:cs="Arial" w:eastAsia="Arial" w:hAnsi="Arial"/>
          <w:sz w:val="16"/>
          <w:szCs w:val="16"/>
          <w:u w:val="single" w:color="auto"/>
          <w:color w:val="auto"/>
        </w:rPr>
        <w:t>Section 2.25</w:t>
      </w:r>
      <w:r>
        <w:rPr>
          <w:rFonts w:ascii="Arial" w:cs="Arial" w:eastAsia="Arial" w:hAnsi="Arial"/>
          <w:sz w:val="16"/>
          <w:szCs w:val="16"/>
          <w:color w:val="auto"/>
        </w:rPr>
        <w:t xml:space="preserve"> including, without limitation, whether or not a Benchmark Transition Event has occurred, the removal or lack thereof of unavailable or non-representative tenors, the implementation or lack thereof of any Benchmark Replacement Conforming Changes, the delivery or non-delivery of any notices required by clause</w:t>
      </w:r>
    </w:p>
    <w:p>
      <w:pPr>
        <w:spacing w:after="0" w:line="1" w:lineRule="exact"/>
        <w:rPr>
          <w:rFonts w:ascii="Arial" w:cs="Arial" w:eastAsia="Arial" w:hAnsi="Arial"/>
          <w:sz w:val="16"/>
          <w:szCs w:val="16"/>
          <w:color w:val="auto"/>
        </w:rPr>
      </w:pPr>
    </w:p>
    <w:p>
      <w:pPr>
        <w:ind w:left="244" w:hanging="244"/>
        <w:spacing w:after="0"/>
        <w:tabs>
          <w:tab w:leader="none" w:pos="2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above or otherwise in accordance herewith, and (iv) the effect of any of the foregoing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ind w:right="-23"/>
        <w:spacing w:after="0"/>
        <w:rPr>
          <w:sz w:val="20"/>
          <w:szCs w:val="20"/>
          <w:color w:val="auto"/>
        </w:rPr>
      </w:pPr>
      <w:r>
        <w:rPr>
          <w:rFonts w:ascii="Arial" w:cs="Arial" w:eastAsia="Arial" w:hAnsi="Arial"/>
          <w:sz w:val="20"/>
          <w:szCs w:val="20"/>
          <w:color w:val="auto"/>
        </w:rPr>
        <w:t>ARTICLE III</w:t>
      </w:r>
    </w:p>
    <w:p>
      <w:pPr>
        <w:spacing w:after="0" w:line="218" w:lineRule="exact"/>
        <w:rPr>
          <w:sz w:val="20"/>
          <w:szCs w:val="20"/>
          <w:color w:val="auto"/>
        </w:rPr>
      </w:pPr>
    </w:p>
    <w:p>
      <w:pPr>
        <w:ind w:left="3864"/>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Loan Party represents and warrants to the Lenders that:</w:t>
      </w:r>
    </w:p>
    <w:p>
      <w:pPr>
        <w:spacing w:after="0" w:line="117"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Each of the Loan Parties and each of its Subsidiaries is duly organized, validly existing and (to the extent applicable in its jurisdiction of organization)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57"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each Loan Party’s corporate or limited liability company powers, as the case may be, and have been duly authorized by all necessary corporate or limited liability company and, if required, stockholder or member action.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274" w:right="459" w:bottom="1440" w:gutter="0" w:footer="0" w:header="0"/>
        </w:sectPr>
      </w:pPr>
    </w:p>
    <w:bookmarkStart w:id="71" w:name="page72"/>
    <w:bookmarkEnd w:id="71"/>
    <w:p>
      <w:pPr>
        <w:ind w:right="6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Arial" w:cs="Arial" w:eastAsia="Arial" w:hAnsi="Arial"/>
          <w:sz w:val="17"/>
          <w:szCs w:val="17"/>
          <w:u w:val="single" w:color="auto"/>
          <w:color w:val="auto"/>
        </w:rPr>
        <w:t>Governmental and Third Party Approvals; No Conflicts</w:t>
      </w:r>
      <w:r>
        <w:rPr>
          <w:rFonts w:ascii="Arial" w:cs="Arial" w:eastAsia="Arial" w:hAnsi="Arial"/>
          <w:sz w:val="17"/>
          <w:szCs w:val="17"/>
          <w:color w:val="auto"/>
        </w:rPr>
        <w:t xml:space="preserve">. The Transactions (a) do not, on the part of any Loan Party or any of its Subsidiaries, require any consent or approval of, registration or filing with, or any other action by, any Governmental Authority or any other Person, except such as have been obtained or made and are in full force and effect and except for filings necessary to perfect Liens created pursuant to the Loan Documents, (b) will not violate any Requirement of Law applicable to any Loan Party or any of its Subsidiaries or any order of any Governmental Authority applicable to any Loan Party, (c) will not violate or result in a default under, or give rise to a right to require any payment to be made by any Loan Party or any of its Subsidiaries under, (i) any indenture or loan agreement, in each case, evidencing Material Indebtedness, (ii) any Swap Agreement with a Swap Termination Value in excess of $5.0 million or (iii) any other material agreement, in each case which is binding upon any Loan Party or any of its Subsidiaries or its assets, and (d) will not result in the creation or imposition of any Lien on any asset of any Loan Party or any of its Subsidiaries, except Liens created pursuant to the Loan Documents, except, solely in the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(c)(iii)</w:t>
      </w:r>
      <w:r>
        <w:rPr>
          <w:rFonts w:ascii="Arial" w:cs="Arial" w:eastAsia="Arial" w:hAnsi="Arial"/>
          <w:sz w:val="17"/>
          <w:szCs w:val="17"/>
          <w:color w:val="auto"/>
        </w:rPr>
        <w:t xml:space="preserve"> hereof, as could not reasonably be expected to result in a Material Adverse Effect.</w:t>
      </w:r>
    </w:p>
    <w:p>
      <w:pPr>
        <w:spacing w:after="0" w:line="18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w:t>
      </w:r>
    </w:p>
    <w:p>
      <w:pPr>
        <w:spacing w:after="0" w:line="225" w:lineRule="exact"/>
        <w:rPr>
          <w:sz w:val="20"/>
          <w:szCs w:val="20"/>
          <w:color w:val="auto"/>
        </w:rPr>
      </w:pPr>
    </w:p>
    <w:p>
      <w:pPr>
        <w:ind w:right="80" w:firstLine="436"/>
        <w:spacing w:after="0" w:line="296" w:lineRule="auto"/>
        <w:tabs>
          <w:tab w:leader="none" w:pos="817"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Borrower has heretofore furnished to the Lenders its consolidated balance sheet and statements of income, stockholders equity and cash flows (i) as of and for the fiscal year ended December 31, 2020, reported on by the Accounting Firm and (ii) as of and for the fiscal quarter and the portion of the fiscal year ending March 31, 2021.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w:t>
      </w:r>
    </w:p>
    <w:p>
      <w:pPr>
        <w:spacing w:after="0" w:line="161" w:lineRule="exact"/>
        <w:rPr>
          <w:rFonts w:ascii="Arial" w:cs="Arial" w:eastAsia="Arial" w:hAnsi="Arial"/>
          <w:sz w:val="16"/>
          <w:szCs w:val="16"/>
          <w:color w:val="auto"/>
        </w:rPr>
      </w:pPr>
    </w:p>
    <w:p>
      <w:pPr>
        <w:ind w:right="760" w:firstLine="436"/>
        <w:spacing w:after="0" w:line="277" w:lineRule="auto"/>
        <w:tabs>
          <w:tab w:leader="none" w:pos="8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event, change or condition has occurred that has had, or could reasonably be expected to have, a Material Adverse Effect, since December 31, 2020.</w:t>
      </w:r>
    </w:p>
    <w:p>
      <w:pPr>
        <w:spacing w:after="0" w:line="17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5"/>
          <w:szCs w:val="15"/>
          <w:u w:val="single" w:color="auto"/>
          <w:color w:val="auto"/>
        </w:rPr>
        <w:t>Properties, Permits, etc.</w:t>
      </w:r>
    </w:p>
    <w:p>
      <w:pPr>
        <w:spacing w:after="0" w:line="225" w:lineRule="exact"/>
        <w:rPr>
          <w:sz w:val="20"/>
          <w:szCs w:val="20"/>
          <w:color w:val="auto"/>
        </w:rPr>
      </w:pPr>
    </w:p>
    <w:p>
      <w:pPr>
        <w:ind w:right="480" w:firstLine="436"/>
        <w:spacing w:after="0" w:line="263"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the Loan Parties and its Subsidiaries has good title to, or valid leasehold interests in, or rights to use, all its real and personal property, subject to Permitted Liens and except for defects in title, interests or rights that, individually or in the aggregate, could not reasonably be expected to result in a Material Adverse Effect.</w:t>
      </w:r>
    </w:p>
    <w:p>
      <w:pPr>
        <w:spacing w:after="0" w:line="183" w:lineRule="exact"/>
        <w:rPr>
          <w:rFonts w:ascii="Arial" w:cs="Arial" w:eastAsia="Arial" w:hAnsi="Arial"/>
          <w:sz w:val="18"/>
          <w:szCs w:val="18"/>
          <w:color w:val="auto"/>
        </w:rPr>
      </w:pPr>
    </w:p>
    <w:p>
      <w:pPr>
        <w:ind w:firstLine="436"/>
        <w:spacing w:after="0" w:line="290" w:lineRule="auto"/>
        <w:tabs>
          <w:tab w:leader="none" w:pos="83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Loan Party and each of its Subsidiaries is in compliance with all permits, licenses, authorizations, approvals, entitlements and accreditations of Governmental Authorities or otherwise that are required for such Person to lawfully own, lease, manage or operate, or to acquire, each business currently owned, leased, managed or operated, or to be acquired by such Person, other than those permits, licenses, authorizations, approvals, entitlements and accreditations the lack of which could not reasonably be expected to have, either individually or in the aggregate,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and there is no claim that any of the foregoing is not in full force and effect, except where such suspension, revocation, impairment, forfeiture, non-renewal or claim could not reasonably be expected to have, either individually or in the aggregate, a Material Adverse Effect.</w:t>
      </w:r>
    </w:p>
    <w:p>
      <w:pPr>
        <w:spacing w:after="0" w:line="165" w:lineRule="exact"/>
        <w:rPr>
          <w:rFonts w:ascii="Arial" w:cs="Arial" w:eastAsia="Arial" w:hAnsi="Arial"/>
          <w:sz w:val="16"/>
          <w:szCs w:val="16"/>
          <w:color w:val="auto"/>
        </w:rPr>
      </w:pPr>
    </w:p>
    <w:p>
      <w:pPr>
        <w:ind w:firstLine="436"/>
        <w:spacing w:after="0" w:line="311" w:lineRule="auto"/>
        <w:tabs>
          <w:tab w:leader="none" w:pos="8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of the Loan Parties and its Subsidiaries owns, or is licensed to use, all trademarks, tradenames, copyrights, patents and other intellectual property material to its business, and the use thereof by the Loan Parties and its Subsidiaries does not infringe upon the rights of any other Person, except for any such infringements that, individually or in the aggregate, could not reasonably be expected to result in a Material Adverse Effect.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72" w:name="page73"/>
    <w:bookmarkEnd w:id="72"/>
    <w:p>
      <w:pPr>
        <w:ind w:left="444"/>
        <w:spacing w:after="0"/>
        <w:tabs>
          <w:tab w:leader="none" w:pos="1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3.06</w:t>
      </w:r>
      <w:r>
        <w:rPr>
          <w:sz w:val="20"/>
          <w:szCs w:val="20"/>
          <w:color w:val="auto"/>
        </w:rPr>
        <w:tab/>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w:t>
      </w:r>
    </w:p>
    <w:p>
      <w:pPr>
        <w:spacing w:after="0" w:line="225" w:lineRule="exact"/>
        <w:rPr>
          <w:sz w:val="20"/>
          <w:szCs w:val="20"/>
          <w:color w:val="auto"/>
        </w:rPr>
      </w:pPr>
    </w:p>
    <w:p>
      <w:pPr>
        <w:ind w:left="4" w:right="120" w:firstLine="436"/>
        <w:spacing w:after="0" w:line="287" w:lineRule="auto"/>
        <w:tabs>
          <w:tab w:leader="none" w:pos="821"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There are no actions, suits, proceedings or investigations by or before any arbitrator or Governmental Authority or any applicable self-regulatory organization pending against or, to the knowledge of any Loan Party, threatened in writing against the Loan Parties or any of its Subsidiaries or any of their respective properties (i) that could reasonably be expected, individually or in the aggregate, to result in a Material Adverse Effect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involve this Agreement or the Transactions.</w:t>
      </w:r>
    </w:p>
    <w:p>
      <w:pPr>
        <w:spacing w:after="0" w:line="210" w:lineRule="exact"/>
        <w:rPr>
          <w:rFonts w:ascii="Arial" w:cs="Arial" w:eastAsia="Arial" w:hAnsi="Arial"/>
          <w:sz w:val="18"/>
          <w:szCs w:val="18"/>
          <w:color w:val="auto"/>
        </w:rPr>
      </w:pPr>
    </w:p>
    <w:p>
      <w:pPr>
        <w:ind w:left="4" w:right="20" w:firstLine="436"/>
        <w:spacing w:after="0" w:line="259" w:lineRule="auto"/>
        <w:tabs>
          <w:tab w:leader="none" w:pos="834"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Loan Party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that, in each case, individually in the aggregate, could reasonably be expected to result in a Material Adverse Effect.</w:t>
      </w:r>
    </w:p>
    <w:p>
      <w:pPr>
        <w:spacing w:after="0" w:line="187"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Compliance with Laws and Agreements; No Default</w:t>
      </w:r>
      <w:r>
        <w:rPr>
          <w:rFonts w:ascii="Arial" w:cs="Arial" w:eastAsia="Arial" w:hAnsi="Arial"/>
          <w:sz w:val="16"/>
          <w:szCs w:val="16"/>
          <w:color w:val="auto"/>
        </w:rPr>
        <w:t>.</w:t>
      </w:r>
    </w:p>
    <w:p>
      <w:pPr>
        <w:spacing w:after="0" w:line="225" w:lineRule="exact"/>
        <w:rPr>
          <w:sz w:val="20"/>
          <w:szCs w:val="20"/>
          <w:color w:val="auto"/>
        </w:rPr>
      </w:pPr>
    </w:p>
    <w:p>
      <w:pPr>
        <w:ind w:left="4" w:right="20" w:firstLine="436"/>
        <w:spacing w:after="0" w:line="263" w:lineRule="auto"/>
        <w:tabs>
          <w:tab w:leader="none" w:pos="8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Loan Party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83" w:lineRule="exact"/>
        <w:rPr>
          <w:rFonts w:ascii="Arial" w:cs="Arial" w:eastAsia="Arial" w:hAnsi="Arial"/>
          <w:sz w:val="18"/>
          <w:szCs w:val="18"/>
          <w:color w:val="auto"/>
        </w:rPr>
      </w:pPr>
    </w:p>
    <w:p>
      <w:pPr>
        <w:ind w:left="824" w:hanging="384"/>
        <w:spacing w:after="0"/>
        <w:tabs>
          <w:tab w:leader="none" w:pos="8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Default has occurred and is continuing.</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 Loan Party nor any of its Subsidiaries is an “investment company” as defined in, or subject to regulation under the Investment Company Act of 1940.</w:t>
      </w:r>
    </w:p>
    <w:p>
      <w:pPr>
        <w:spacing w:after="0" w:line="170" w:lineRule="exact"/>
        <w:rPr>
          <w:sz w:val="20"/>
          <w:szCs w:val="20"/>
          <w:color w:val="auto"/>
        </w:rPr>
      </w:pPr>
    </w:p>
    <w:p>
      <w:pPr>
        <w:jc w:val="both"/>
        <w:ind w:left="4" w:right="180" w:firstLine="440"/>
        <w:spacing w:after="0" w:line="275"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Taxes</w:t>
      </w:r>
      <w:r>
        <w:rPr>
          <w:rFonts w:ascii="Arial" w:cs="Arial" w:eastAsia="Arial" w:hAnsi="Arial"/>
          <w:sz w:val="17"/>
          <w:szCs w:val="17"/>
          <w:color w:val="auto"/>
        </w:rPr>
        <w:t>. Each Loan Party and its Subsidiaries has timely filed or caused to be filed all Tax returns and reports required to have been filed and has paid or caused to be paid all Taxes assessments, claims and governmental charges levied or imposed upon them or their properties, income or assets or otherwise due and payable, except (a) Taxes that are being contested in good faith by appropriate proceedings diligently conducted and for which such Loan Party or such Subsidiary, as applicable, has set aside on its books adequate reserves in accordance with GAAP and (b) to the extent that the failure to do so could not reasonably be expected to result in a Material Adverse Effect.</w:t>
      </w:r>
    </w:p>
    <w:p>
      <w:pPr>
        <w:spacing w:after="0" w:line="176"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225" w:lineRule="exact"/>
        <w:rPr>
          <w:sz w:val="20"/>
          <w:szCs w:val="20"/>
          <w:color w:val="auto"/>
        </w:rPr>
      </w:pPr>
    </w:p>
    <w:p>
      <w:pPr>
        <w:ind w:left="4" w:firstLine="436"/>
        <w:spacing w:after="0" w:line="255" w:lineRule="auto"/>
        <w:tabs>
          <w:tab w:leader="none" w:pos="8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that, when taken together with all other such ERISA Events for which liability is reasonably expected to occur, could reasonably be expected to result in a Material Adverse Effect. Except as could not reasonably be expected to result in a Material Adverse Effect, with respect to each Plan, the “funding target,” as defined in Section 430(d)(1) of the Code, with respect to such Plan, does not exceed the fair market value of all such Plan’s assets, as determined pursuant to Section 430(g) of the Code, all determined as of the then-most recent valuation date for such Plan using the actuarial assumptions used to determine the Plan’s “funding target attainment” percentage as defined in Section 430(d) of the Code.</w:t>
      </w:r>
    </w:p>
    <w:p>
      <w:pPr>
        <w:spacing w:after="0" w:line="192" w:lineRule="exact"/>
        <w:rPr>
          <w:rFonts w:ascii="Arial" w:cs="Arial" w:eastAsia="Arial" w:hAnsi="Arial"/>
          <w:sz w:val="18"/>
          <w:szCs w:val="18"/>
          <w:color w:val="auto"/>
        </w:rPr>
      </w:pPr>
    </w:p>
    <w:p>
      <w:pPr>
        <w:ind w:left="4" w:right="500" w:firstLine="436"/>
        <w:spacing w:after="0" w:line="277" w:lineRule="auto"/>
        <w:tabs>
          <w:tab w:leader="none" w:pos="834"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Loan Party holds or will hold Plan Assets or “plan assets” of any governmental plan that is subject to laws or regulations similar to Section 406 of ERISA or 4975 of the Code (“Similar Law”).</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4"/>
          </w:cols>
          <w:pgMar w:left="436" w:top="274" w:right="439" w:bottom="1440" w:gutter="0" w:footer="0" w:header="0"/>
        </w:sectPr>
      </w:pPr>
    </w:p>
    <w:bookmarkStart w:id="73" w:name="page74"/>
    <w:bookmarkEnd w:id="73"/>
    <w:p>
      <w:pPr>
        <w:ind w:left="4"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transactions contemplated under the Loan Documents constitutes or will result in a non-exempt prohibited transaction under Section 406 of ERISA or Section 4975 of the Code or any violation of applicable Similar Law.</w:t>
      </w:r>
    </w:p>
    <w:p>
      <w:pPr>
        <w:spacing w:after="0" w:line="170" w:lineRule="exact"/>
        <w:rPr>
          <w:sz w:val="20"/>
          <w:szCs w:val="20"/>
          <w:color w:val="auto"/>
        </w:rPr>
      </w:pPr>
    </w:p>
    <w:p>
      <w:pPr>
        <w:ind w:left="4" w:right="60" w:firstLine="436"/>
        <w:spacing w:after="0" w:line="291" w:lineRule="auto"/>
        <w:tabs>
          <w:tab w:leader="none" w:pos="8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as could not reasonably be expected to result in a Material Adverse Effect, (i) each Foreign Pension Plan has been maintained in compliance with its terms and with the requirements of any and all applicable laws, statutes, rules, regulations and orders and has been maintained, where required, in good standing with applicable regulatory authorities; (ii) all contributions required to be made with respect to a Foreign Pension Plan have been timely made; (iii) neither the Borrower nor any of its Subsidiaries has incurred any obligation in connection with the termination of, or withdrawal from, any Foreign Pension Plan; and (iv) the present value of the accrued benefit liabilities (whether or not vested) under each Foreign Pension Plan, determined as of the end of the Borrowers’ most recently ended fiscal year on the basis of actuarial assumptions, each of which is reasonable, did not exceed the current value of the assets of such Foreign Pension Plan allocable to such benefit liabilities.</w:t>
      </w:r>
    </w:p>
    <w:p>
      <w:pPr>
        <w:spacing w:after="0" w:line="166" w:lineRule="exact"/>
        <w:rPr>
          <w:sz w:val="20"/>
          <w:szCs w:val="20"/>
          <w:color w:val="auto"/>
        </w:rPr>
      </w:pPr>
    </w:p>
    <w:p>
      <w:pPr>
        <w:ind w:left="444"/>
        <w:spacing w:after="0"/>
        <w:tabs>
          <w:tab w:leader="none" w:pos="1704"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Disclosure</w:t>
      </w:r>
      <w:r>
        <w:rPr>
          <w:rFonts w:ascii="Arial" w:cs="Arial" w:eastAsia="Arial" w:hAnsi="Arial"/>
          <w:sz w:val="16"/>
          <w:szCs w:val="16"/>
          <w:color w:val="auto"/>
        </w:rPr>
        <w:t>.</w:t>
      </w:r>
    </w:p>
    <w:p>
      <w:pPr>
        <w:spacing w:after="0" w:line="225" w:lineRule="exact"/>
        <w:rPr>
          <w:sz w:val="20"/>
          <w:szCs w:val="20"/>
          <w:color w:val="auto"/>
        </w:rPr>
      </w:pPr>
    </w:p>
    <w:p>
      <w:pPr>
        <w:ind w:left="4" w:firstLine="436"/>
        <w:spacing w:after="0" w:line="287" w:lineRule="auto"/>
        <w:tabs>
          <w:tab w:leader="none" w:pos="821"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Borrower has disclosed to the Lenders all agreements, instruments and corporate or other restrictions to which it or any Subsidiary is subject, and all other matters known to it, that, individually or in the aggregate, could reasonably be expected to result in a Material Adverse Effect. None of the reports, financial statements, certificates or other written information (when taken together with the Borrower’s most recently (as of the date hereof) filed and publicly available 10-K and 10-Q, and 8-Ks filed at any time following such 10-K, in each case with the SEC) (other than any projected financial information or other forward-looking information or information of a general economic or general industry specific nature) furnished by or on behalf of any Loan Party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(taken as a whole), in the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projected financial information or other forward-looking information or information of a general economic or general industry specific nature, the Borrower represents only that such information was prepared in good faith based upon assumptions believed to be reasonable at the time (it being understood that any such information may differ from actual results and such differences may be material).</w:t>
      </w:r>
    </w:p>
    <w:p>
      <w:pPr>
        <w:spacing w:after="0" w:line="171" w:lineRule="exact"/>
        <w:rPr>
          <w:rFonts w:ascii="Arial" w:cs="Arial" w:eastAsia="Arial" w:hAnsi="Arial"/>
          <w:sz w:val="16"/>
          <w:szCs w:val="16"/>
          <w:color w:val="auto"/>
        </w:rPr>
      </w:pPr>
    </w:p>
    <w:p>
      <w:pPr>
        <w:ind w:left="824" w:hanging="384"/>
        <w:spacing w:after="0"/>
        <w:tabs>
          <w:tab w:leader="none" w:pos="824" w:val="left"/>
        </w:tabs>
        <w:numPr>
          <w:ilvl w:val="0"/>
          <w:numId w:val="78"/>
        </w:numPr>
        <w:rPr>
          <w:rFonts w:ascii="Arial" w:cs="Arial" w:eastAsia="Arial" w:hAnsi="Arial"/>
          <w:sz w:val="17"/>
          <w:szCs w:val="17"/>
          <w:color w:val="auto"/>
        </w:rPr>
      </w:pPr>
      <w:r>
        <w:rPr>
          <w:rFonts w:ascii="Arial" w:cs="Arial" w:eastAsia="Arial" w:hAnsi="Arial"/>
          <w:sz w:val="17"/>
          <w:szCs w:val="17"/>
          <w:color w:val="auto"/>
        </w:rPr>
        <w:t>As of the Effective Date, the information included in the Beneficial Ownership Certification is true, complete and correct in all respects.</w:t>
      </w:r>
    </w:p>
    <w:p>
      <w:pPr>
        <w:spacing w:after="0" w:line="237"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Capitalization and 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sets forth, as of the date hereof, (a) a correct and complete list of the name, and identifies the direct equity holders (including the percentage ownership thereof), of each and all of the Borrower’s direct and indirect Subsidiaries,</w:t>
      </w:r>
    </w:p>
    <w:p>
      <w:pPr>
        <w:ind w:left="4" w:right="240" w:hanging="4"/>
        <w:spacing w:after="0" w:line="253"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type of entity and jurisdiction of organization of the Borrower and each of its Subsidiaries, and (c) which of the Borrower’s Subsidiaries are Material Domestic Subsidiaries and Material Foreign Subsidiaries. All of the issued and outstanding Equity Interests of any Subsidiary owned by any Loan Party have been (to the extent such concepts are relevant with respect to such ownership interests) duly authorized and issued and are fully paid and non-assessable.</w:t>
      </w:r>
    </w:p>
    <w:p>
      <w:pPr>
        <w:spacing w:after="0" w:line="193"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Security Interest in Collateral</w:t>
      </w:r>
      <w:r>
        <w:rPr>
          <w:rFonts w:ascii="Arial" w:cs="Arial" w:eastAsia="Arial" w:hAnsi="Arial"/>
          <w:sz w:val="18"/>
          <w:szCs w:val="18"/>
          <w:color w:val="auto"/>
        </w:rPr>
        <w:t>. The provisions of this Agreement and the other Loan Documents create legal and valid Liens on all of the Collateral in favor of the Administrative Agent, for the benefit of the Secured Parties, and, upon filing a UCC financing statement in the Loan Parties’ applicable jurisdiction of organization such Liens, will constitute perfected and continuing Liens on the Collateral in which a security interest can be perfected by filing a UCC financing statement, securing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4"/>
          </w:cols>
          <w:pgMar w:left="436" w:top="274" w:right="459" w:bottom="1440" w:gutter="0" w:footer="0" w:header="0"/>
        </w:sectPr>
      </w:pPr>
    </w:p>
    <w:bookmarkStart w:id="74" w:name="page75"/>
    <w:bookmarkEnd w:id="7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Secured Obligations, enforceable against the applicable Loan Party and all third parties, and having priority over all other Liens on the Collateral except in the case of (a) Permitted Liens, to the extent any such Permitted Liens would have priority over the Liens in favor of the Administrative Agent pursuant to any applicable law or agreement, and (b) Liens perfected only by possession (including possession of any certificate of title), to the extent the Administrative Agent has not obtained or does not maintain possession of such Collateral.</w:t>
      </w:r>
    </w:p>
    <w:p>
      <w:pPr>
        <w:spacing w:after="0" w:line="18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5"/>
          <w:szCs w:val="15"/>
          <w:u w:val="single" w:color="auto"/>
          <w:color w:val="auto"/>
        </w:rPr>
        <w:t>Federal Reserve Regulations</w:t>
      </w:r>
      <w:r>
        <w:rPr>
          <w:rFonts w:ascii="Arial" w:cs="Arial" w:eastAsia="Arial" w:hAnsi="Arial"/>
          <w:sz w:val="15"/>
          <w:szCs w:val="15"/>
          <w:color w:val="auto"/>
        </w:rPr>
        <w:t>.</w:t>
      </w:r>
    </w:p>
    <w:p>
      <w:pPr>
        <w:spacing w:after="0" w:line="225" w:lineRule="exact"/>
        <w:rPr>
          <w:sz w:val="20"/>
          <w:szCs w:val="20"/>
          <w:color w:val="auto"/>
        </w:rPr>
      </w:pPr>
    </w:p>
    <w:p>
      <w:pPr>
        <w:ind w:right="340" w:firstLine="436"/>
        <w:spacing w:after="0" w:line="277" w:lineRule="auto"/>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part of the proceeds of any Loan or Letter of Credit has been used or will be used, whether directly or indirectly, for any purpose that entails a violation of any of the Regulations of the Board, including Regulations T, U and X.</w:t>
      </w:r>
    </w:p>
    <w:p>
      <w:pPr>
        <w:spacing w:after="0" w:line="170" w:lineRule="exact"/>
        <w:rPr>
          <w:rFonts w:ascii="Arial" w:cs="Arial" w:eastAsia="Arial" w:hAnsi="Arial"/>
          <w:sz w:val="18"/>
          <w:szCs w:val="18"/>
          <w:color w:val="auto"/>
        </w:rPr>
      </w:pPr>
    </w:p>
    <w:p>
      <w:pPr>
        <w:ind w:right="400" w:firstLine="436"/>
        <w:spacing w:after="0" w:line="308" w:lineRule="auto"/>
        <w:tabs>
          <w:tab w:leader="none" w:pos="83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 Loan Party is engaged and will not engage, principally or as one of its important activities, in the business of purchasing or carrying margin stock (within the meaning of Regulation U), or extending credit for the purpose of purchasing or carrying margin stock.</w:t>
      </w:r>
    </w:p>
    <w:p>
      <w:pPr>
        <w:spacing w:after="0" w:line="14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Anti-Corruption Laws and Sanctions; USA Patriot Act</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71" w:lineRule="auto"/>
        <w:tabs>
          <w:tab w:leader="none" w:pos="8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employees and, to the knowledge of such Loan Party, its directors and agents, are in compliance with Anti-Corruption Laws and applicable Sanctions in all material respects. None of (a) any Loan Party, any Subsidiary or, to the knowledge of any such Loan Party or Subsidiary,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78" w:lineRule="exact"/>
        <w:rPr>
          <w:rFonts w:ascii="Arial" w:cs="Arial" w:eastAsia="Arial" w:hAnsi="Arial"/>
          <w:sz w:val="17"/>
          <w:szCs w:val="17"/>
          <w:color w:val="auto"/>
        </w:rPr>
      </w:pPr>
    </w:p>
    <w:p>
      <w:pPr>
        <w:ind w:right="120" w:firstLine="436"/>
        <w:spacing w:after="0" w:line="277" w:lineRule="auto"/>
        <w:tabs>
          <w:tab w:leader="none" w:pos="8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Loan Party is in compliance, in all material respects, with the USA PATRIOT Act and any applicable anti-money laundering laws and regulations.</w:t>
      </w:r>
    </w:p>
    <w:p>
      <w:pPr>
        <w:spacing w:after="0" w:line="17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6"/>
          <w:szCs w:val="16"/>
          <w:u w:val="single" w:color="auto"/>
          <w:color w:val="auto"/>
        </w:rPr>
        <w:t>Not an Affected Financial Institution</w:t>
      </w:r>
      <w:r>
        <w:rPr>
          <w:rFonts w:ascii="Arial" w:cs="Arial" w:eastAsia="Arial" w:hAnsi="Arial"/>
          <w:sz w:val="16"/>
          <w:szCs w:val="16"/>
          <w:color w:val="auto"/>
        </w:rPr>
        <w:t>. No Loan Party is an Affected Financial Institution.</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Solvency</w:t>
      </w:r>
      <w:r>
        <w:rPr>
          <w:rFonts w:ascii="Arial" w:cs="Arial" w:eastAsia="Arial" w:hAnsi="Arial"/>
          <w:sz w:val="17"/>
          <w:szCs w:val="17"/>
          <w:color w:val="auto"/>
        </w:rPr>
        <w:t>. (a) The fair value of the assets of the Loan Parties and their Subsidiaries, taken as a whole, at a fair valuation, exceeds their debts and liabilities, subordinated, contingent or otherwise; (b) the present fair saleable value of the property of the Loan Parties and their Subsidiaries, taken as a whole, is greater than the amount that will be required to pay the probable liability of their debts and other liabilities, subordinated, contingent or otherwise, as such debts and other liabilities become absolute and matured; (c) the Loan Parties will be able to pay their debts and liabilities, subordinated, contingent or otherwise, as such debts and liabilities become absolute and matured; and (d) the Loan Parties and their Subsidiaries, taken as a whole, will not have unreasonably small capital with which to conduct the business in which they are engaged as such business is now conducted and is proposed to be conducted after the Effective Date.</w:t>
      </w:r>
    </w:p>
    <w:p>
      <w:pPr>
        <w:spacing w:after="0" w:line="17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3.18</w:t>
      </w:r>
      <w:r>
        <w:rPr>
          <w:sz w:val="20"/>
          <w:szCs w:val="20"/>
          <w:color w:val="auto"/>
        </w:rPr>
        <w:tab/>
      </w:r>
      <w:r>
        <w:rPr>
          <w:rFonts w:ascii="Arial" w:cs="Arial" w:eastAsia="Arial" w:hAnsi="Arial"/>
          <w:sz w:val="16"/>
          <w:szCs w:val="16"/>
          <w:u w:val="single" w:color="auto"/>
          <w:color w:val="auto"/>
        </w:rPr>
        <w:t>Governmental Authorities</w:t>
      </w:r>
      <w:r>
        <w:rPr>
          <w:rFonts w:ascii="Arial" w:cs="Arial" w:eastAsia="Arial" w:hAnsi="Arial"/>
          <w:sz w:val="16"/>
          <w:szCs w:val="16"/>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75" w:name="page76"/>
    <w:bookmarkEnd w:id="75"/>
    <w:p>
      <w:pPr>
        <w:ind w:right="60" w:firstLine="436"/>
        <w:spacing w:after="0" w:line="286" w:lineRule="auto"/>
        <w:tabs>
          <w:tab w:leader="none" w:pos="820"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Loan Party nor its Subsidiaries is subject to any obligation arising under any regulatory action, proceeding or investigation by or on behalf of a Governmental Authority, warning letter, notice of violation letter, consent decree, or other enforcement action by a Governmental Authority and, to the knowledge of each Loan Party and its Subsidiaries, no such obligation has been threatened, verbally or in writing, in each case that would reasonably be expected to have a Material Adverse Effect. To the knowledge of each Loan Party and its Subsidiaries, there is no act, omission or event that would reasonably be expected to give rise to or lead to, any civil, criminal or administrative action, suit, demand, claim, complaint, hearing, investigation, demand letter, warning letter or enforcement proceeding against any Loan Party or its Subsidiaries, and, to each Loan Party’s and its Subsidiary’s knowledge, no Loan Party nor its Subsidiaries has any liability (whether actual or contingent), in each case that would reasonably be expected to have a Material Adverse Effect. There has not been any material violation of any securities laws or consumer protection laws by any Loan Party or its Subsidiaries that could reasonably be expected to require or lead to investigation, enforcement, regulatory or administrative action by the Department of the Treasury, SEC, FDIC, CFPB, FTC or any comparable Governmental Authority (including state and local agencies), in each case that would reasonably be expected, in the aggregate, to have a Material Adverse Effect. To the knowledge of each Loan Party and each of their respective Subsidiaries, there are no civil or criminal proceedings relating to any Loan Party or its Subsidiaries or any officer, director or employee of any Loan Party or Subsidiary of any Loan Party that involve a matter within or related to the Department of the Treasury’s, SEC’s, FDIC’s, CFPB’s, FTC’s or any comparable federal or state Governmental Authority’s jurisdiction.</w:t>
      </w:r>
    </w:p>
    <w:p>
      <w:pPr>
        <w:spacing w:after="0" w:line="170" w:lineRule="exact"/>
        <w:rPr>
          <w:rFonts w:ascii="Arial" w:cs="Arial" w:eastAsia="Arial" w:hAnsi="Arial"/>
          <w:sz w:val="16"/>
          <w:szCs w:val="16"/>
          <w:color w:val="auto"/>
        </w:rPr>
      </w:pPr>
    </w:p>
    <w:p>
      <w:pPr>
        <w:ind w:right="940" w:firstLine="436"/>
        <w:spacing w:after="0" w:line="277" w:lineRule="auto"/>
        <w:tabs>
          <w:tab w:leader="none" w:pos="8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Loan Party nor its Subsidiaries is currently undergoing any investigation by SEC, FTC or any other Governmental Authority investigation that could reasonably be expected to have a Material Adverse Effect.</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SECTION 3.19 </w:t>
      </w:r>
      <w:r>
        <w:rPr>
          <w:rFonts w:ascii="Arial" w:cs="Arial" w:eastAsia="Arial" w:hAnsi="Arial"/>
          <w:sz w:val="17"/>
          <w:szCs w:val="17"/>
          <w:u w:val="single" w:color="auto"/>
          <w:color w:val="auto"/>
        </w:rPr>
        <w:t>Insurance</w:t>
      </w:r>
      <w:r>
        <w:rPr>
          <w:rFonts w:ascii="Arial" w:cs="Arial" w:eastAsia="Arial" w:hAnsi="Arial"/>
          <w:sz w:val="17"/>
          <w:szCs w:val="17"/>
          <w:color w:val="auto"/>
        </w:rPr>
        <w:t>. As of the Effective Date, all premiums in respect of such insurance have been paid. The Borrower maintains, and has caused each Material Domestic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7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Employee Relations</w:t>
      </w:r>
      <w:r>
        <w:rPr>
          <w:rFonts w:ascii="Arial" w:cs="Arial" w:eastAsia="Arial" w:hAnsi="Arial"/>
          <w:sz w:val="18"/>
          <w:szCs w:val="18"/>
          <w:color w:val="auto"/>
        </w:rPr>
        <w:t>. As of the Effective Date, no Loan Party nor any Subsidiary thereof is party to any collective bargaining agreement, nor has any labor union been recognized as the representative of its employees. The Borrower knows of no pending or threatened in writing strikes, work stoppage or other collective labor disputes involving its employees or those of its Subsidiaries that, individually or in the aggregate, could reasonably be expected to have a Material Adverse Effect.</w:t>
      </w:r>
    </w:p>
    <w:p>
      <w:pPr>
        <w:spacing w:after="0" w:line="18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3.21</w:t>
      </w:r>
      <w:r>
        <w:rPr>
          <w:sz w:val="20"/>
          <w:szCs w:val="20"/>
          <w:color w:val="auto"/>
        </w:rPr>
        <w:tab/>
      </w:r>
      <w:r>
        <w:rPr>
          <w:rFonts w:ascii="Arial" w:cs="Arial" w:eastAsia="Arial" w:hAnsi="Arial"/>
          <w:sz w:val="16"/>
          <w:szCs w:val="16"/>
          <w:u w:val="single" w:color="auto"/>
          <w:color w:val="auto"/>
        </w:rPr>
        <w:t>Data Security; Privacy</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57" w:lineRule="auto"/>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Except as individually or in the aggregate would not reasonably be expected to have a Material Adverse Effect, (i) no Loan Party or any of its Subsidiaries has lost or had stolen any cardholder account information, information related to cardholder accounts (including social security numbers) or merchant information and (ii) each Loan Party and each of its Subsidiaries has complied with all applicable laws, requirements of Governmental Authorities and the requirements of all PCI Compliance Programs related to data security, and the protection, use, storage, handling and processing of personal information, including credit card information.</w:t>
      </w:r>
    </w:p>
    <w:p>
      <w:pPr>
        <w:spacing w:after="0" w:line="187" w:lineRule="exact"/>
        <w:rPr>
          <w:rFonts w:ascii="Arial" w:cs="Arial" w:eastAsia="Arial" w:hAnsi="Arial"/>
          <w:sz w:val="18"/>
          <w:szCs w:val="18"/>
          <w:color w:val="auto"/>
        </w:rPr>
      </w:pPr>
    </w:p>
    <w:p>
      <w:pPr>
        <w:jc w:val="both"/>
        <w:ind w:right="380" w:firstLine="436"/>
        <w:spacing w:after="0" w:line="263" w:lineRule="auto"/>
        <w:tabs>
          <w:tab w:leader="none" w:pos="83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Except as individually or in the aggregate would not reasonably be expected to have a Material Adverse Effect, (i) each applicable Loan Party and each of its Subsidiaries has complied with all Requirements of Law related to data security, and the protection, use, storage, handling and processing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6" w:name="page77"/>
    <w:bookmarkEnd w:id="76"/>
    <w:p>
      <w:pPr>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Personal Information, (ii) each applicable Loan Party and each of its Subsidiaries has implemented and is in compliance with technical and organizational measures to assure the integrity and security of (x) transactions executed through its gateway, platform and computer systems and (y) all confidential or proprietary data, including Personal Information, possessed or retained by or on behalf of any Loan Party or any of its Subsidiaries,</w:t>
      </w:r>
    </w:p>
    <w:p>
      <w:pPr>
        <w:spacing w:after="0" w:line="2" w:lineRule="exact"/>
        <w:rPr>
          <w:sz w:val="20"/>
          <w:szCs w:val="20"/>
          <w:color w:val="auto"/>
        </w:rPr>
      </w:pPr>
    </w:p>
    <w:p>
      <w:pPr>
        <w:ind w:left="4" w:right="100" w:hanging="4"/>
        <w:spacing w:after="0" w:line="252" w:lineRule="auto"/>
        <w:tabs>
          <w:tab w:leader="none" w:pos="31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there has been no actual or alleged breach of security or unauthorized access to or acquisition, use, loss, destruction, compromise or disclosure of any Personal Information, confidential or proprietary data or any other such information maintained or stored by, or on behalf of, any Loan Party or any of its Subsidiaries involving data of merchants, suppliers, customers, clients, cardholders or other Persons and (iv) there have been no facts or circumstances that would require any Loan Party or any of its Subsidiaries to give notice to any merchants, suppliers, customers, clients, cardholders or other Persons of any actual or perceived data security breaches pursuant to the requirements of all PCI Compliance Programs or applicable Requirements of Law requiring notice of such a breach.</w:t>
      </w:r>
    </w:p>
    <w:p>
      <w:pPr>
        <w:spacing w:after="0" w:line="193" w:lineRule="exact"/>
        <w:rPr>
          <w:rFonts w:ascii="Arial" w:cs="Arial" w:eastAsia="Arial" w:hAnsi="Arial"/>
          <w:sz w:val="18"/>
          <w:szCs w:val="18"/>
          <w:color w:val="auto"/>
        </w:rPr>
      </w:pPr>
    </w:p>
    <w:p>
      <w:pPr>
        <w:ind w:left="4" w:right="160" w:firstLine="436"/>
        <w:spacing w:after="0" w:line="255" w:lineRule="auto"/>
        <w:tabs>
          <w:tab w:leader="none" w:pos="824"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Except as individually or in the aggregate would not reasonably be expected to have a Materially Adverse Effect, (i) the Borrower and its Subsidiaries are in compliance with all Requirements of Law, contractual obligations, and internal and published corporate policies and procedures governing the privacy, security, collection, use, storage, processing, disclosure, transmission, and sharing of all Personal Information, (ii) the Borrower and its Subsidiaries have provided all notices and obtained all consents as required by Requirements of Law, and (iii) no Person has brought any complaint, claim, or action against the Borrower and its Subsidiaries regarding any alleged violation under Requirements of Law regarding their Personal Information.</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ARTICLE IV</w:t>
      </w:r>
    </w:p>
    <w:p>
      <w:pPr>
        <w:spacing w:after="0" w:line="218"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to Initial Loans</w:t>
      </w:r>
      <w:r>
        <w:rPr>
          <w:rFonts w:ascii="Arial" w:cs="Arial" w:eastAsia="Arial" w:hAnsi="Arial"/>
          <w:sz w:val="18"/>
          <w:szCs w:val="18"/>
          <w:color w:val="auto"/>
        </w:rPr>
        <w:t xml:space="preserve">. The obligations of the Lenders to make Loans and of the Issuing Banks to issue Letters of Credit hereunder shall not become effective until each of the following conditions is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on or before August 13, 2021:</w:t>
      </w:r>
    </w:p>
    <w:p>
      <w:pPr>
        <w:spacing w:after="0" w:line="76" w:lineRule="exact"/>
        <w:rPr>
          <w:sz w:val="20"/>
          <w:szCs w:val="20"/>
          <w:color w:val="auto"/>
        </w:rPr>
      </w:pPr>
    </w:p>
    <w:p>
      <w:pPr>
        <w:ind w:left="4" w:right="20" w:firstLine="436"/>
        <w:spacing w:after="0" w:line="289" w:lineRule="auto"/>
        <w:tabs>
          <w:tab w:leader="none" w:pos="824"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Credit Agreement and Other Loan Documents</w:t>
      </w:r>
      <w:r>
        <w:rPr>
          <w:rFonts w:ascii="Arial" w:cs="Arial" w:eastAsia="Arial" w:hAnsi="Arial"/>
          <w:sz w:val="16"/>
          <w:szCs w:val="16"/>
          <w:color w:val="auto"/>
        </w:rPr>
        <w:t xml:space="preserve">. The Administrative Agent (or its counsel) shall have received (i) from each party hereto either (A) a counterpart of this Agreement signed on behalf of such party or (B) written evidence satisfactory to the Administrative Agent (which may include fax or other electronic transmission of a signed signature page of this Agreement) that such party has signed a counterpart of this Agreement (which may include any Electronic Signatures transmitted by telecopy, emailed pdf. or any or other electronic means that reproduces an image of an actual executed signature page) and (ii) duly executed copies of any other Loan Documents to be entered into as of the date hereof and such other certificates, documents, instruments and agreements as the Administrative Agent shall reasonably request be delivered on the Effective Date in connection with the transactions contemplated by this Agreement and the other Loan Documents, including any Notes requested by a Lender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payable to such requesting Lender and its registered assigns and a written opinion of the Loan Parties’ counsel, addressed to the Administrative Agent, the Issuing Banks and the Lenders and in form and substance reasonably satisfactory to the Administrative Agent.</w:t>
      </w:r>
    </w:p>
    <w:p>
      <w:pPr>
        <w:spacing w:after="0" w:line="166" w:lineRule="exact"/>
        <w:rPr>
          <w:rFonts w:ascii="Arial" w:cs="Arial" w:eastAsia="Arial" w:hAnsi="Arial"/>
          <w:sz w:val="16"/>
          <w:szCs w:val="16"/>
          <w:color w:val="auto"/>
        </w:rPr>
      </w:pPr>
    </w:p>
    <w:p>
      <w:pPr>
        <w:ind w:left="4" w:firstLine="436"/>
        <w:spacing w:after="0" w:line="254" w:lineRule="auto"/>
        <w:tabs>
          <w:tab w:leader="none" w:pos="83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Financial Statements and Projections</w:t>
      </w:r>
      <w:r>
        <w:rPr>
          <w:rFonts w:ascii="Arial" w:cs="Arial" w:eastAsia="Arial" w:hAnsi="Arial"/>
          <w:sz w:val="18"/>
          <w:szCs w:val="18"/>
          <w:color w:val="auto"/>
        </w:rPr>
        <w:t xml:space="preserve">. The Lenders shall have received (i) audited consolidated financial statements of the Borrower and its Subsidiaries for the two most recent fiscal years ended prior to the Effective Date as to which such financial statements are available, (ii) unaudited interim consolidated financial statements of the Borrower for each quarterly period ended subsequent to the date of the latest financial statements delivered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paragraph as to which such financial statements are available and (iii) reasonably satisfactory annual financial statement projections (which shall include balance sheet, income and cash flow statement projections) through and including the Borrower’s 2023 fiscal year, together with such information as reasonably requested by the Lead Arranger (including a detailed description of the assumptions used in preparing such projections).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4"/>
          </w:cols>
          <w:pgMar w:left="436" w:top="274" w:right="439" w:bottom="1440" w:gutter="0" w:footer="0" w:header="0"/>
        </w:sectPr>
      </w:pPr>
    </w:p>
    <w:bookmarkStart w:id="77" w:name="page78"/>
    <w:bookmarkEnd w:id="77"/>
    <w:p>
      <w:pPr>
        <w:ind w:left="4" w:right="100" w:firstLine="436"/>
        <w:spacing w:after="0" w:line="291" w:lineRule="auto"/>
        <w:tabs>
          <w:tab w:leader="none" w:pos="824"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Certificates</w:t>
      </w:r>
      <w:r>
        <w:rPr>
          <w:rFonts w:ascii="Arial" w:cs="Arial" w:eastAsia="Arial" w:hAnsi="Arial"/>
          <w:sz w:val="16"/>
          <w:szCs w:val="16"/>
          <w:color w:val="auto"/>
        </w:rPr>
        <w:t>. The Administrative Agent shall have received (i) a certificate (in form and substance satisfactory to the Administrative Agent) of each Loan Party, dated the Effective Date and executed by its Secretary, Assistant Secretary or other Responsible Officer, which shall</w:t>
      </w:r>
    </w:p>
    <w:p>
      <w:pPr>
        <w:ind w:left="4" w:right="100" w:hanging="4"/>
        <w:spacing w:after="0" w:line="252" w:lineRule="auto"/>
        <w:tabs>
          <w:tab w:leader="none" w:pos="299"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certify the resolutions of its board of directors, members or other body authorizing the execution, delivery and performance of the Loan Documents to which it is a party, (B) identify by name and title and bear the signatures of the Financial Officers and any other officers of such Loan Party authorized to sign the Loan Documents to which it is a party, and (C) contain appropriate attachments, including the certificate or articles of incorporation or organization of each Loan Party certified by the relevant authority of the jurisdiction of organization of such Loan Party and a true and correct copy of its by-laws or operating, management or partnership agreement, and (ii) a long form good standing certificate dated as of a recent date for each Loan Party from its jurisdiction of organization.</w:t>
      </w:r>
    </w:p>
    <w:p>
      <w:pPr>
        <w:spacing w:after="0" w:line="193" w:lineRule="exact"/>
        <w:rPr>
          <w:rFonts w:ascii="Arial" w:cs="Arial" w:eastAsia="Arial" w:hAnsi="Arial"/>
          <w:sz w:val="18"/>
          <w:szCs w:val="18"/>
          <w:color w:val="auto"/>
        </w:rPr>
      </w:pPr>
    </w:p>
    <w:p>
      <w:pPr>
        <w:ind w:left="4" w:firstLine="436"/>
        <w:spacing w:after="0" w:line="293" w:lineRule="auto"/>
        <w:tabs>
          <w:tab w:leader="none" w:pos="834"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No Default Certificate</w:t>
      </w:r>
      <w:r>
        <w:rPr>
          <w:rFonts w:ascii="Arial" w:cs="Arial" w:eastAsia="Arial" w:hAnsi="Arial"/>
          <w:sz w:val="16"/>
          <w:szCs w:val="16"/>
          <w:color w:val="auto"/>
        </w:rPr>
        <w:t xml:space="preserve">. The Administrative Agent shall have received a certificate (in form and substance satisfactory to the Administrative Agent), signed by the chief financial officer of the Borrower on the Effective Date (i) stating that no Default has occurred and is continuing, (ii) stating that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are true and correct in all material respects as of such date except that (a) to the extent that such representations and warranties specifically refer to an earlier date, such representations and warranties shall be true and correct in all material respects as of such earlier date and (b) any representation and warranty that is qualified as to “materiality” or “Material Adverse Effect” shall be true and correct in all respects, and (iii) certifying as to any other factual matters as may be reasonably requested by the Administrative Agent.</w:t>
      </w:r>
    </w:p>
    <w:p>
      <w:pPr>
        <w:spacing w:after="0" w:line="164" w:lineRule="exact"/>
        <w:rPr>
          <w:rFonts w:ascii="Arial" w:cs="Arial" w:eastAsia="Arial" w:hAnsi="Arial"/>
          <w:sz w:val="16"/>
          <w:szCs w:val="16"/>
          <w:color w:val="auto"/>
        </w:rPr>
      </w:pPr>
    </w:p>
    <w:p>
      <w:pPr>
        <w:ind w:left="4" w:right="260" w:firstLine="436"/>
        <w:spacing w:after="0" w:line="257" w:lineRule="auto"/>
        <w:tabs>
          <w:tab w:leader="none" w:pos="824"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and the Administrative Agent shall have received all fees required to be paid on or before the Effective Date, and all expenses (including the reasonable fees and expenses of outside legal counsel) for which invoices have been presented no later than two (2) Business Days prior to the Effective Date (or a shorter period as reasonably agreed to by the Borrower). All such amounts will be paid with proceeds of Loans made on the Effective Date and will be reflected in the funding instructions given by the Borrower to the Administrative Agent on or before the Effective Date.</w:t>
      </w:r>
    </w:p>
    <w:p>
      <w:pPr>
        <w:spacing w:after="0" w:line="187" w:lineRule="exact"/>
        <w:rPr>
          <w:rFonts w:ascii="Arial" w:cs="Arial" w:eastAsia="Arial" w:hAnsi="Arial"/>
          <w:sz w:val="18"/>
          <w:szCs w:val="18"/>
          <w:color w:val="auto"/>
        </w:rPr>
      </w:pPr>
    </w:p>
    <w:p>
      <w:pPr>
        <w:ind w:left="4" w:right="460" w:firstLine="436"/>
        <w:spacing w:after="0" w:line="311" w:lineRule="auto"/>
        <w:tabs>
          <w:tab w:leader="none" w:pos="804"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xml:space="preserve">. The Administrative Agent shall have received the results of recent customary lien searches (including with respect to intellectual property), and such searches shall reveal no liens on any of the assets of the Loan Parties except for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discharged on or prior to the Effective Date pursuant to a payoff letter or other documentation reasonably satisfactory to the Administrative Agent.</w:t>
      </w:r>
    </w:p>
    <w:p>
      <w:pPr>
        <w:spacing w:after="0" w:line="148" w:lineRule="exact"/>
        <w:rPr>
          <w:rFonts w:ascii="Arial" w:cs="Arial" w:eastAsia="Arial" w:hAnsi="Arial"/>
          <w:sz w:val="16"/>
          <w:szCs w:val="16"/>
          <w:color w:val="auto"/>
        </w:rPr>
      </w:pPr>
    </w:p>
    <w:p>
      <w:pPr>
        <w:ind w:left="4" w:right="180" w:firstLine="436"/>
        <w:spacing w:after="0" w:line="275" w:lineRule="auto"/>
        <w:tabs>
          <w:tab w:leader="none" w:pos="834"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Pledged Stock; Stock Powers; Pledged Notes</w:t>
      </w:r>
      <w:r>
        <w:rPr>
          <w:rFonts w:ascii="Arial" w:cs="Arial" w:eastAsia="Arial" w:hAnsi="Arial"/>
          <w:sz w:val="17"/>
          <w:szCs w:val="17"/>
          <w:color w:val="auto"/>
        </w:rPr>
        <w:t>. The Administrative Agent shall have received (i) to the extent certificated, the certificates representing the shares of Equity Interests pledged pursuant to the Security Agreement, together with an undated stock power for each such certificate executed in blank by a duly authorized officer of the pledgor thereof and (ii) to the extent required to be delivered pursuant to the Security Agreement, each promissory note (if any) pledged to the Administrative Agent pursuant to the Security Agreement endorsed (without recourse) in blank (or accompanied by an executed transfer form in blank) by the pledgor thereof.</w:t>
      </w:r>
    </w:p>
    <w:p>
      <w:pPr>
        <w:spacing w:after="0" w:line="176" w:lineRule="exact"/>
        <w:rPr>
          <w:rFonts w:ascii="Arial" w:cs="Arial" w:eastAsia="Arial" w:hAnsi="Arial"/>
          <w:sz w:val="17"/>
          <w:szCs w:val="17"/>
          <w:color w:val="auto"/>
        </w:rPr>
      </w:pPr>
    </w:p>
    <w:p>
      <w:pPr>
        <w:ind w:left="4" w:right="100" w:firstLine="436"/>
        <w:spacing w:after="0" w:line="275" w:lineRule="auto"/>
        <w:tabs>
          <w:tab w:leader="none" w:pos="834"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Filings, Registrations and Recordings</w:t>
      </w:r>
      <w:r>
        <w:rPr>
          <w:rFonts w:ascii="Arial" w:cs="Arial" w:eastAsia="Arial" w:hAnsi="Arial"/>
          <w:sz w:val="17"/>
          <w:szCs w:val="17"/>
          <w:color w:val="auto"/>
        </w:rPr>
        <w:t xml:space="preserve">.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Secured Parties, a valid and perfected Lien on the Collateral described therein (but only to the extent required therein) as security for the Secured Obligations, prior and superior in right to any other Person (other than with respect to Liens expressly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shall be in proper form for filing, registration or recordation.</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78" w:name="page79"/>
    <w:bookmarkEnd w:id="78"/>
    <w:p>
      <w:pPr>
        <w:ind w:left="-20" w:right="540" w:firstLine="436"/>
        <w:spacing w:after="0" w:line="342" w:lineRule="auto"/>
        <w:tabs>
          <w:tab w:leader="none" w:pos="77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Arial" w:cs="Arial" w:eastAsia="Arial" w:hAnsi="Arial"/>
          <w:sz w:val="16"/>
          <w:szCs w:val="16"/>
          <w:color w:val="auto"/>
        </w:rPr>
        <w:t xml:space="preserve">. The Administrative Agent shall have received evidence of insurance coverage in form, scope, and substance reasonably satisfactory to the Administrative Agent and otherwise in compliance with the terms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of the Security Agreement.</w:t>
      </w:r>
    </w:p>
    <w:p>
      <w:pPr>
        <w:spacing w:after="0" w:line="123" w:lineRule="exact"/>
        <w:rPr>
          <w:rFonts w:ascii="Arial" w:cs="Arial" w:eastAsia="Arial" w:hAnsi="Arial"/>
          <w:sz w:val="16"/>
          <w:szCs w:val="16"/>
          <w:color w:val="auto"/>
        </w:rPr>
      </w:pPr>
    </w:p>
    <w:p>
      <w:pPr>
        <w:ind w:left="-20" w:right="160" w:firstLine="436"/>
        <w:spacing w:after="0" w:line="277" w:lineRule="auto"/>
        <w:tabs>
          <w:tab w:leader="none" w:pos="77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The Administrative Agent shall have received a solvency certificate from a Financial Officer of the Borrower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right="740" w:firstLine="436"/>
        <w:spacing w:after="0" w:line="277" w:lineRule="auto"/>
        <w:tabs>
          <w:tab w:leader="none" w:pos="81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Tax Withholding Forms</w:t>
      </w:r>
      <w:r>
        <w:rPr>
          <w:rFonts w:ascii="Arial" w:cs="Arial" w:eastAsia="Arial" w:hAnsi="Arial"/>
          <w:sz w:val="18"/>
          <w:szCs w:val="18"/>
          <w:color w:val="auto"/>
        </w:rPr>
        <w:t>. The Administrative Agent shall have received a properly completed and signed IRS Form W-8 or W-9, as applicable, for each Loan Party.</w:t>
      </w:r>
    </w:p>
    <w:p>
      <w:pPr>
        <w:spacing w:after="0" w:line="170" w:lineRule="exact"/>
        <w:rPr>
          <w:rFonts w:ascii="Arial" w:cs="Arial" w:eastAsia="Arial" w:hAnsi="Arial"/>
          <w:sz w:val="18"/>
          <w:szCs w:val="18"/>
          <w:color w:val="auto"/>
        </w:rPr>
      </w:pPr>
    </w:p>
    <w:p>
      <w:pPr>
        <w:jc w:val="both"/>
        <w:ind w:left="-20" w:right="520" w:firstLine="436"/>
        <w:spacing w:after="0" w:line="259" w:lineRule="auto"/>
        <w:tabs>
          <w:tab w:leader="none" w:pos="77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Refinancing</w:t>
      </w:r>
      <w:r>
        <w:rPr>
          <w:rFonts w:ascii="Arial" w:cs="Arial" w:eastAsia="Arial" w:hAnsi="Arial"/>
          <w:sz w:val="18"/>
          <w:szCs w:val="18"/>
          <w:color w:val="auto"/>
        </w:rPr>
        <w:t>. The Administrative Agent shall have received evidence reasonably satisfactory to the Administrative Agent (including a satisfactory payoff letter) that the Existing Credit Agreement has been, or concurrently with the Effective Date is being, terminated and all Liens securing obligations under the Existing Credit Agreement have been, or concurrently with the Effective Date are being, released (collectively, the “</w:t>
      </w:r>
      <w:r>
        <w:rPr>
          <w:rFonts w:ascii="Arial" w:cs="Arial" w:eastAsia="Arial" w:hAnsi="Arial"/>
          <w:sz w:val="18"/>
          <w:szCs w:val="18"/>
          <w:u w:val="single" w:color="auto"/>
          <w:color w:val="auto"/>
        </w:rPr>
        <w:t>Refinancing</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 w:right="180" w:firstLine="436"/>
        <w:spacing w:after="0" w:line="263" w:lineRule="auto"/>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Funding Account</w:t>
      </w:r>
      <w:r>
        <w:rPr>
          <w:rFonts w:ascii="Arial" w:cs="Arial" w:eastAsia="Arial" w:hAnsi="Arial"/>
          <w:sz w:val="18"/>
          <w:szCs w:val="18"/>
          <w:color w:val="auto"/>
        </w:rPr>
        <w:t>. The Administrative Agent shall have received a notice setting forth the deposit account of the Borrowers (the “</w:t>
      </w:r>
      <w:r>
        <w:rPr>
          <w:rFonts w:ascii="Arial" w:cs="Arial" w:eastAsia="Arial" w:hAnsi="Arial"/>
          <w:sz w:val="18"/>
          <w:szCs w:val="18"/>
          <w:u w:val="single" w:color="auto"/>
          <w:color w:val="auto"/>
        </w:rPr>
        <w:t>Funding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to which the Administrative Agent is authorized by the Borrowers to transfer the proceeds of any Borrowings requested or authorized pursuant to this Agreement.</w:t>
      </w:r>
    </w:p>
    <w:p>
      <w:pPr>
        <w:spacing w:after="0" w:line="183" w:lineRule="exact"/>
        <w:rPr>
          <w:rFonts w:ascii="Arial" w:cs="Arial" w:eastAsia="Arial" w:hAnsi="Arial"/>
          <w:sz w:val="18"/>
          <w:szCs w:val="18"/>
          <w:color w:val="auto"/>
        </w:rPr>
      </w:pPr>
    </w:p>
    <w:p>
      <w:pPr>
        <w:ind w:left="-20" w:right="60" w:firstLine="436"/>
        <w:spacing w:after="0" w:line="263" w:lineRule="auto"/>
        <w:tabs>
          <w:tab w:leader="none" w:pos="81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All material consents, authorizations and approvals of, and filings and registrations with, and all other actions in respect of, any Governmental Authority or other Person required in connection with the consummation of the Transactions or the conduct of the Loan Parties’ business shall have been obtained and shall be in full force and effect.</w:t>
      </w:r>
    </w:p>
    <w:p>
      <w:pPr>
        <w:spacing w:after="0" w:line="183" w:lineRule="exact"/>
        <w:rPr>
          <w:rFonts w:ascii="Arial" w:cs="Arial" w:eastAsia="Arial" w:hAnsi="Arial"/>
          <w:sz w:val="18"/>
          <w:szCs w:val="18"/>
          <w:color w:val="auto"/>
        </w:rPr>
      </w:pPr>
    </w:p>
    <w:p>
      <w:pPr>
        <w:ind w:left="-20" w:firstLine="436"/>
        <w:spacing w:after="0" w:line="277" w:lineRule="auto"/>
        <w:tabs>
          <w:tab w:leader="none" w:pos="81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Control Agreements</w:t>
      </w:r>
      <w:r>
        <w:rPr>
          <w:rFonts w:ascii="Arial" w:cs="Arial" w:eastAsia="Arial" w:hAnsi="Arial"/>
          <w:sz w:val="18"/>
          <w:szCs w:val="18"/>
          <w:color w:val="auto"/>
        </w:rPr>
        <w:t>. The Administrative Agent shall have received each deposit account control agreement required to be provided pursuant to Section 4.12 of the Security Agreement.</w:t>
      </w:r>
    </w:p>
    <w:p>
      <w:pPr>
        <w:spacing w:after="0" w:line="170" w:lineRule="exact"/>
        <w:rPr>
          <w:rFonts w:ascii="Arial" w:cs="Arial" w:eastAsia="Arial" w:hAnsi="Arial"/>
          <w:sz w:val="18"/>
          <w:szCs w:val="18"/>
          <w:color w:val="auto"/>
        </w:rPr>
      </w:pPr>
    </w:p>
    <w:p>
      <w:pPr>
        <w:ind w:left="-20" w:right="700" w:firstLine="436"/>
        <w:spacing w:after="0" w:line="277" w:lineRule="auto"/>
        <w:tabs>
          <w:tab w:leader="none" w:pos="81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Corporate Structure</w:t>
      </w:r>
      <w:r>
        <w:rPr>
          <w:rFonts w:ascii="Arial" w:cs="Arial" w:eastAsia="Arial" w:hAnsi="Arial"/>
          <w:sz w:val="18"/>
          <w:szCs w:val="18"/>
          <w:color w:val="auto"/>
        </w:rPr>
        <w:t>. The corporate structure, capital structure and other material debt instruments, material accounts and governing documents of the Borrower and its Subsidiaries shall be reasonably acceptable to the Administrative Agent.</w:t>
      </w:r>
    </w:p>
    <w:p>
      <w:pPr>
        <w:spacing w:after="0" w:line="170" w:lineRule="exact"/>
        <w:rPr>
          <w:rFonts w:ascii="Arial" w:cs="Arial" w:eastAsia="Arial" w:hAnsi="Arial"/>
          <w:sz w:val="18"/>
          <w:szCs w:val="18"/>
          <w:color w:val="auto"/>
        </w:rPr>
      </w:pPr>
    </w:p>
    <w:p>
      <w:pPr>
        <w:ind w:left="800" w:hanging="384"/>
        <w:spacing w:after="0"/>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USA PATRIOT Act, Etc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20" w:right="20" w:firstLine="419"/>
        <w:spacing w:after="0" w:line="279" w:lineRule="auto"/>
        <w:tabs>
          <w:tab w:leader="none" w:pos="1183" w:val="left"/>
        </w:tabs>
        <w:numPr>
          <w:ilvl w:val="1"/>
          <w:numId w:val="88"/>
        </w:numPr>
        <w:rPr>
          <w:rFonts w:ascii="Arial" w:cs="Arial" w:eastAsia="Arial" w:hAnsi="Arial"/>
          <w:sz w:val="17"/>
          <w:szCs w:val="17"/>
          <w:color w:val="auto"/>
        </w:rPr>
      </w:pPr>
      <w:r>
        <w:rPr>
          <w:rFonts w:ascii="Arial" w:cs="Arial" w:eastAsia="Arial" w:hAnsi="Arial"/>
          <w:sz w:val="17"/>
          <w:szCs w:val="17"/>
          <w:color w:val="auto"/>
        </w:rPr>
        <w:t>At least three (3) Business Days prior to the Effective Date, the Borrower and each of the other Loan Parties shall have provided to the Administrative Agent or the Lenders the documentation and other information theretofore requested in writing by the Administrative Agent or the Lenders at least five (5) Business Days prior to the Effective Date that is required by regulatory authorities under applicable “know your customer” and anti-money-laundering rules and regulations, including the USA PATRIOT Act.</w:t>
      </w:r>
    </w:p>
    <w:p>
      <w:pPr>
        <w:spacing w:after="0" w:line="63" w:lineRule="exact"/>
        <w:rPr>
          <w:rFonts w:ascii="Arial" w:cs="Arial" w:eastAsia="Arial" w:hAnsi="Arial"/>
          <w:sz w:val="17"/>
          <w:szCs w:val="17"/>
          <w:color w:val="auto"/>
        </w:rPr>
      </w:pPr>
    </w:p>
    <w:p>
      <w:pPr>
        <w:ind w:left="420" w:right="160" w:firstLine="419"/>
        <w:spacing w:after="0" w:line="308" w:lineRule="auto"/>
        <w:tabs>
          <w:tab w:leader="none" w:pos="1233" w:val="left"/>
        </w:tabs>
        <w:numPr>
          <w:ilvl w:val="1"/>
          <w:numId w:val="88"/>
        </w:numPr>
        <w:rPr>
          <w:rFonts w:ascii="Arial" w:cs="Arial" w:eastAsia="Arial" w:hAnsi="Arial"/>
          <w:sz w:val="17"/>
          <w:szCs w:val="17"/>
          <w:color w:val="auto"/>
        </w:rPr>
      </w:pPr>
      <w:r>
        <w:rPr>
          <w:rFonts w:ascii="Arial" w:cs="Arial" w:eastAsia="Arial" w:hAnsi="Arial"/>
          <w:sz w:val="17"/>
          <w:szCs w:val="17"/>
          <w:color w:val="auto"/>
        </w:rPr>
        <w:t>At least five (5) Business Days prior to the Effective Date, if the Borrower qualifies as a “legal entity customer” under the Beneficial Ownership Regulation, the Borrower shall deliver a Beneficial Ownership Certification to each Lender who requests the same.</w:t>
      </w:r>
    </w:p>
    <w:p>
      <w:pPr>
        <w:spacing w:after="0" w:line="146" w:lineRule="exact"/>
        <w:rPr>
          <w:rFonts w:ascii="Arial" w:cs="Arial" w:eastAsia="Arial" w:hAnsi="Arial"/>
          <w:sz w:val="17"/>
          <w:szCs w:val="17"/>
          <w:color w:val="auto"/>
        </w:rPr>
      </w:pPr>
    </w:p>
    <w:p>
      <w:pPr>
        <w:ind w:left="-20" w:right="60" w:firstLine="436"/>
        <w:spacing w:after="0" w:line="263"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Administrative Agent shall have received such other agreements, opinions, reports, approvals, consents, certificates and other documents set forth on the closing checklist last delivered to the Borrower and such other documents as the Administrative Agent, the Issuing Bank, any Lender or their respective counsel may have reasonably requested.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460" w:top="274" w:right="479" w:bottom="1440" w:gutter="0" w:footer="0" w:header="0"/>
        </w:sectPr>
      </w:pPr>
    </w:p>
    <w:bookmarkStart w:id="79" w:name="page80"/>
    <w:bookmarkEnd w:id="79"/>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notify the Borrower, the Lenders and the Issuing Banks of the Effective Date, and such notice shall be conclusive and binding.</w:t>
      </w:r>
    </w:p>
    <w:p>
      <w:pPr>
        <w:spacing w:after="0" w:line="17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Each Credit Event</w:t>
      </w:r>
      <w:r>
        <w:rPr>
          <w:rFonts w:ascii="Arial" w:cs="Arial" w:eastAsia="Arial" w:hAnsi="Arial"/>
          <w:sz w:val="16"/>
          <w:szCs w:val="16"/>
          <w:color w:val="auto"/>
        </w:rPr>
        <w:t>. The obligation of each Lender to make any Loan, and of the Issuing Banks to issue or increase any Letter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is subject to the satisfaction of the following conditions:</w:t>
      </w:r>
    </w:p>
    <w:p>
      <w:pPr>
        <w:spacing w:after="0" w:line="103" w:lineRule="exact"/>
        <w:rPr>
          <w:sz w:val="20"/>
          <w:szCs w:val="20"/>
          <w:color w:val="auto"/>
        </w:rPr>
      </w:pPr>
    </w:p>
    <w:p>
      <w:pPr>
        <w:ind w:firstLine="436"/>
        <w:spacing w:after="0" w:line="301" w:lineRule="auto"/>
        <w:tabs>
          <w:tab w:leader="none" w:pos="81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representations and warranties of the Borrower set forth in this Agreement shall be true and correct in all material respects on and as of the date of such Loan or the date of issuance or increase of such Letter of Credit, as applicable, except that (i) to the extent that such representations and warranties specifically refer to an earlier date, such representations and warranties shall be true and correct in all material respects as of such earlier date and (ii) any representation and warranty that is qualified as to “materiality” or “Material Adverse Effect” shall be true and correct in all respects.</w:t>
      </w:r>
    </w:p>
    <w:p>
      <w:pPr>
        <w:spacing w:after="0" w:line="157" w:lineRule="exact"/>
        <w:rPr>
          <w:rFonts w:ascii="Arial" w:cs="Arial" w:eastAsia="Arial" w:hAnsi="Arial"/>
          <w:sz w:val="16"/>
          <w:szCs w:val="16"/>
          <w:color w:val="auto"/>
        </w:rPr>
      </w:pPr>
    </w:p>
    <w:p>
      <w:pPr>
        <w:ind w:right="20" w:firstLine="436"/>
        <w:spacing w:after="0" w:line="277"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or increase of such Letter of Credit, as applicable, no Default shall have occurred and be continuing.</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Borrower shall have delivered a completed Borrowing Request or application for a Letter of Credit, as applicable.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Each Loan and each issuance or increase of a Letter of Credit shall be deemed to constitute a representation and warranty by the Borrower on the date thereof as to the matters specified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V</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Until Payment in Full has occurred, each Loan Party executing this Agreement covenants and agrees, jointly and severally with all of the Loan Parties, with the Lenders that:</w:t>
      </w:r>
    </w:p>
    <w:p>
      <w:pPr>
        <w:spacing w:after="0" w:line="62"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(which shall promptly make such information available to the Lenders in accordance with its customary practices):</w:t>
      </w:r>
    </w:p>
    <w:p>
      <w:pPr>
        <w:spacing w:after="0" w:line="62" w:lineRule="exact"/>
        <w:rPr>
          <w:sz w:val="20"/>
          <w:szCs w:val="20"/>
          <w:color w:val="auto"/>
        </w:rPr>
      </w:pPr>
    </w:p>
    <w:p>
      <w:pPr>
        <w:ind w:right="80" w:firstLine="436"/>
        <w:spacing w:after="0" w:line="255" w:lineRule="auto"/>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within ninety (90)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the Accounting Firm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192" w:lineRule="exact"/>
        <w:rPr>
          <w:rFonts w:ascii="Arial" w:cs="Arial" w:eastAsia="Arial" w:hAnsi="Arial"/>
          <w:sz w:val="18"/>
          <w:szCs w:val="18"/>
          <w:color w:val="auto"/>
        </w:rPr>
      </w:pPr>
    </w:p>
    <w:p>
      <w:pPr>
        <w:ind w:right="100" w:firstLine="436"/>
        <w:spacing w:after="0" w:line="286" w:lineRule="auto"/>
        <w:tabs>
          <w:tab w:leader="none" w:pos="83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within forty five (45) days after the end of each of the first three fiscal quarters of each fiscal year of the Borrower, its consolidated balance sheet and related statements of operations, as of the end of and for such fiscal quarter and the then elapsed portion of the fiscal year and stockholders’ equity and cash flows for the then elapsed portion of the fiscal year, setting forth in each case in comparative form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40" w:top="274" w:right="499" w:bottom="1440" w:gutter="0" w:footer="0" w:header="0"/>
        </w:sectPr>
      </w:pPr>
    </w:p>
    <w:bookmarkStart w:id="80" w:name="page81"/>
    <w:bookmarkEnd w:id="8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87" w:lineRule="exact"/>
        <w:rPr>
          <w:sz w:val="20"/>
          <w:szCs w:val="20"/>
          <w:color w:val="auto"/>
        </w:rPr>
      </w:pPr>
    </w:p>
    <w:p>
      <w:pPr>
        <w:ind w:right="20" w:firstLine="436"/>
        <w:spacing w:after="0" w:line="254" w:lineRule="auto"/>
        <w:tabs>
          <w:tab w:leader="none" w:pos="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 certificate of a Financial Officer of the Borrower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 certifying as to whether a Default or Event of Default has occurred and, if a Default or Event of Default has occurred, specifying the details thereof and any action taken or proposed to be taken with respect thereto, (ii) setting forth reasonably detailed calculations demonstrating compliance with the Financial Covenant and compliance with </w:t>
      </w:r>
      <w:r>
        <w:rPr>
          <w:rFonts w:ascii="Arial" w:cs="Arial" w:eastAsia="Arial" w:hAnsi="Arial"/>
          <w:sz w:val="18"/>
          <w:szCs w:val="18"/>
          <w:u w:val="single" w:color="auto"/>
          <w:color w:val="auto"/>
        </w:rPr>
        <w:t>Sections 6.04(c)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(iii) identifying any Subsidiary of the Borrower that has become, or ceased to be, an Immaterial Subsidiary during the most recently ended fiscal quarter and (iv) stating whether any change in GAAP or in the application thereof has occurred since the later of December 31, 2020 and the end date of the financial statements most recently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and, if any such change has occurred, specifying the effect of such change on the financial statements accompanying such certificate;</w:t>
      </w:r>
    </w:p>
    <w:p>
      <w:pPr>
        <w:spacing w:after="0" w:line="191" w:lineRule="exact"/>
        <w:rPr>
          <w:rFonts w:ascii="Arial" w:cs="Arial" w:eastAsia="Arial" w:hAnsi="Arial"/>
          <w:sz w:val="18"/>
          <w:szCs w:val="18"/>
          <w:color w:val="auto"/>
        </w:rPr>
      </w:pPr>
    </w:p>
    <w:p>
      <w:pPr>
        <w:ind w:right="300" w:firstLine="436"/>
        <w:spacing w:after="0" w:line="263" w:lineRule="auto"/>
        <w:tabs>
          <w:tab w:leader="none" w:pos="83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soon as available, but in any event within ninety (90) days after the start of each fiscal year of the Borrower, a copy of the plan and forecast (including a projected consolidated balance sheet, income statement and funds flow statement) of the Borrower and its Subsidiaries for each quarter of such fiscal year (the “</w:t>
      </w:r>
      <w:r>
        <w:rPr>
          <w:rFonts w:ascii="Arial" w:cs="Arial" w:eastAsia="Arial" w:hAnsi="Arial"/>
          <w:sz w:val="18"/>
          <w:szCs w:val="18"/>
          <w:u w:val="single" w:color="auto"/>
          <w:color w:val="auto"/>
        </w:rPr>
        <w:t>Projections</w:t>
      </w:r>
      <w:r>
        <w:rPr>
          <w:rFonts w:ascii="Arial" w:cs="Arial" w:eastAsia="Arial" w:hAnsi="Arial"/>
          <w:sz w:val="18"/>
          <w:szCs w:val="18"/>
          <w:color w:val="auto"/>
        </w:rPr>
        <w:t>”) in form reasonably satisfactory to the Administrative Agent;</w:t>
      </w:r>
    </w:p>
    <w:p>
      <w:pPr>
        <w:spacing w:after="0" w:line="183" w:lineRule="exact"/>
        <w:rPr>
          <w:rFonts w:ascii="Arial" w:cs="Arial" w:eastAsia="Arial" w:hAnsi="Arial"/>
          <w:sz w:val="18"/>
          <w:szCs w:val="18"/>
          <w:color w:val="auto"/>
        </w:rPr>
      </w:pPr>
    </w:p>
    <w:p>
      <w:pPr>
        <w:ind w:right="60" w:firstLine="436"/>
        <w:spacing w:after="0" w:line="257" w:lineRule="auto"/>
        <w:tabs>
          <w:tab w:leader="none" w:pos="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promptly following any request therefor, (i) such other information regarding the operations, business affairs and financial condition of the Borrower or any Subsidiary, or compliance with the terms of this Agreement, as the Administrative Agent may reasonably request, on behalf of itself or any Lender hereunder; or (ii) information and documentation reasonably requested by the Administrative Agent or any Lender for purposes of compliance with applicable “know your customer” requirements under the USA PATRIOT Act or any applicable anti-money laundering laws and the Beneficial Ownership Regulation; and</w:t>
      </w:r>
    </w:p>
    <w:p>
      <w:pPr>
        <w:spacing w:after="0" w:line="187" w:lineRule="exact"/>
        <w:rPr>
          <w:rFonts w:ascii="Arial" w:cs="Arial" w:eastAsia="Arial" w:hAnsi="Arial"/>
          <w:sz w:val="18"/>
          <w:szCs w:val="18"/>
          <w:color w:val="auto"/>
        </w:rPr>
      </w:pPr>
    </w:p>
    <w:p>
      <w:pPr>
        <w:ind w:right="80" w:firstLine="436"/>
        <w:spacing w:after="0" w:line="286" w:lineRule="auto"/>
        <w:tabs>
          <w:tab w:leader="none" w:pos="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periodic and other reports, proxy statements and other materials filed by the Borrower or any of its Subsidiaries with the SEC, or any Governmental Authority succeeding to any or all of the functions of the SEC, or with any national securities exchange, or distributed by the Borrower to its shareholders generally, as the case may be.</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any documents required to be delivered pursuant to </w:t>
      </w:r>
      <w:r>
        <w:rPr>
          <w:rFonts w:ascii="Arial" w:cs="Arial" w:eastAsia="Arial" w:hAnsi="Arial"/>
          <w:sz w:val="18"/>
          <w:szCs w:val="18"/>
          <w:u w:val="single" w:color="auto"/>
          <w:color w:val="auto"/>
        </w:rPr>
        <w:t>Sections 5.01(a)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may be delivered electronically and if so delivered, shall be deemed to have been delivered on the date on which such documents are filed for public availability on the SEC’s Electronic Data Gathering and Retrieval System or on which the Borrower posts such documents, or provides a link thereto on the Borrower’s website on the Internet.</w:t>
      </w:r>
    </w:p>
    <w:p>
      <w:pPr>
        <w:spacing w:after="0" w:line="18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to the Administrative Agent (which shall promptly make such information available to the Lenders in accordance with its customary practices) prompt written notice of the following (and in any event no later than five (5) Business Days after any Responsible Officer’s knowledge of the occurrence thereof):</w:t>
      </w:r>
    </w:p>
    <w:p>
      <w:pPr>
        <w:spacing w:after="0" w:line="76" w:lineRule="exact"/>
        <w:rPr>
          <w:sz w:val="20"/>
          <w:szCs w:val="20"/>
          <w:color w:val="auto"/>
        </w:rPr>
      </w:pPr>
    </w:p>
    <w:p>
      <w:pPr>
        <w:ind w:left="820" w:hanging="384"/>
        <w:spacing w:after="0"/>
        <w:tabs>
          <w:tab w:leader="none" w:pos="8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right="60" w:firstLine="436"/>
        <w:spacing w:after="0" w:line="263" w:lineRule="auto"/>
        <w:tabs>
          <w:tab w:leader="none" w:pos="83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filing or commencement of any litigation, investigation, action, suit or proceeding by or before any arbitrator or Governmental Authority against or involving the Borrower, any of its Subsidiaries or any Affiliate thereof or any of their respective properties, assets or business that could reasonably be expected to result in a Material Adverse Effect;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1" w:name="page82"/>
    <w:bookmarkEnd w:id="81"/>
    <w:p>
      <w:pPr>
        <w:ind w:right="20" w:firstLine="436"/>
        <w:spacing w:after="0" w:line="277" w:lineRule="auto"/>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occurrence of any ERISA Event that, alone or together with any other ERISA Events that have occurred, could reasonably be expected to result in liability of the Borrower and its Subsidiaries in an aggregate amount exceeding $5.0 million;</w:t>
      </w:r>
    </w:p>
    <w:p>
      <w:pPr>
        <w:spacing w:after="0" w:line="170" w:lineRule="exact"/>
        <w:rPr>
          <w:rFonts w:ascii="Arial" w:cs="Arial" w:eastAsia="Arial" w:hAnsi="Arial"/>
          <w:sz w:val="18"/>
          <w:szCs w:val="18"/>
          <w:color w:val="auto"/>
        </w:rPr>
      </w:pPr>
    </w:p>
    <w:p>
      <w:pPr>
        <w:ind w:right="220" w:firstLine="436"/>
        <w:spacing w:after="0" w:line="286" w:lineRule="auto"/>
        <w:tabs>
          <w:tab w:leader="none" w:pos="83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occurrence and nature of any Prohibited Transaction or any funding deficiency with respect to any Plan, or a transaction that Borrower reasonably knows the IRS or Department of Labor or any other Governmental Authority is reviewing to determine whether a Prohibited Transaction might have occurred, in each case, that could reasonably be expected to result in a Material Adverse Effect;</w:t>
      </w:r>
    </w:p>
    <w:p>
      <w:pPr>
        <w:spacing w:after="0" w:line="165" w:lineRule="exact"/>
        <w:rPr>
          <w:rFonts w:ascii="Arial" w:cs="Arial" w:eastAsia="Arial" w:hAnsi="Arial"/>
          <w:sz w:val="17"/>
          <w:szCs w:val="17"/>
          <w:color w:val="auto"/>
        </w:rPr>
      </w:pPr>
    </w:p>
    <w:p>
      <w:pPr>
        <w:ind w:left="820" w:hanging="384"/>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Loan Party’s intention to terminate or withdraw from any Plan;</w:t>
      </w:r>
    </w:p>
    <w:p>
      <w:pPr>
        <w:spacing w:after="0" w:line="225" w:lineRule="exact"/>
        <w:rPr>
          <w:rFonts w:ascii="Arial" w:cs="Arial" w:eastAsia="Arial" w:hAnsi="Arial"/>
          <w:sz w:val="18"/>
          <w:szCs w:val="18"/>
          <w:color w:val="auto"/>
        </w:rPr>
      </w:pPr>
    </w:p>
    <w:p>
      <w:pPr>
        <w:ind w:right="80" w:firstLine="436"/>
        <w:spacing w:after="0" w:line="286" w:lineRule="auto"/>
        <w:tabs>
          <w:tab w:leader="none" w:pos="8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the aggregate present value of accrued benefit liabilities (whether or not vested) under all Foreign Pension Plans, determined as of the end of the Borrower’s most recently ended fiscal year on the basis of actuarial assumptions, each of which is reasonable, did not exceed the current aggregate value of the assets of such Foreign Pension Plans allocable to such benefit liabilities by more than </w:t>
      </w:r>
      <w:r>
        <w:rPr>
          <w:rFonts w:ascii="Arial" w:cs="Arial" w:eastAsia="Arial" w:hAnsi="Arial"/>
          <w:sz w:val="17"/>
          <w:szCs w:val="17"/>
          <w:b w:val="1"/>
          <w:bCs w:val="1"/>
          <w:color w:val="auto"/>
        </w:rPr>
        <w:t>$</w:t>
      </w:r>
      <w:r>
        <w:rPr>
          <w:rFonts w:ascii="Arial" w:cs="Arial" w:eastAsia="Arial" w:hAnsi="Arial"/>
          <w:sz w:val="17"/>
          <w:szCs w:val="17"/>
          <w:color w:val="auto"/>
        </w:rPr>
        <w:t>5,000,000;</w:t>
      </w:r>
    </w:p>
    <w:p>
      <w:pPr>
        <w:spacing w:after="0" w:line="165" w:lineRule="exact"/>
        <w:rPr>
          <w:rFonts w:ascii="Arial" w:cs="Arial" w:eastAsia="Arial" w:hAnsi="Arial"/>
          <w:sz w:val="17"/>
          <w:szCs w:val="17"/>
          <w:color w:val="auto"/>
        </w:rPr>
      </w:pPr>
    </w:p>
    <w:p>
      <w:pPr>
        <w:ind w:right="120" w:firstLine="436"/>
        <w:spacing w:after="0" w:line="277" w:lineRule="auto"/>
        <w:tabs>
          <w:tab w:leader="none" w:pos="83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notice of any violation received by any Loan Party or any Subsidiary thereof from any Governmental Authority including any notice of violation of Environmental Laws which in any such case could reasonably be expected to have a Material Adverse Effect;</w:t>
      </w:r>
    </w:p>
    <w:p>
      <w:pPr>
        <w:spacing w:after="0" w:line="170" w:lineRule="exact"/>
        <w:rPr>
          <w:rFonts w:ascii="Arial" w:cs="Arial" w:eastAsia="Arial" w:hAnsi="Arial"/>
          <w:sz w:val="18"/>
          <w:szCs w:val="18"/>
          <w:color w:val="auto"/>
        </w:rPr>
      </w:pPr>
    </w:p>
    <w:p>
      <w:pPr>
        <w:ind w:right="320" w:firstLine="436"/>
        <w:spacing w:after="0" w:line="277" w:lineRule="auto"/>
        <w:tabs>
          <w:tab w:leader="none" w:pos="83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labor controversy that has resulted in, or threatens to result in, a strike or other work action against any Loan Party or any Subsidiary thereof in each case that could reasonably be expected to result in a Material Adverse Effect;</w:t>
      </w:r>
    </w:p>
    <w:p>
      <w:pPr>
        <w:spacing w:after="0" w:line="170" w:lineRule="exact"/>
        <w:rPr>
          <w:rFonts w:ascii="Arial" w:cs="Arial" w:eastAsia="Arial" w:hAnsi="Arial"/>
          <w:sz w:val="18"/>
          <w:szCs w:val="18"/>
          <w:color w:val="auto"/>
        </w:rPr>
      </w:pPr>
    </w:p>
    <w:p>
      <w:pPr>
        <w:ind w:right="240" w:firstLine="436"/>
        <w:spacing w:after="0" w:line="342" w:lineRule="auto"/>
        <w:tabs>
          <w:tab w:leader="none" w:pos="79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Loan Party entering into a Swap Agreement or an amendment to a Swap Agreement, in each case, to the extent such Swap Agreement relates to Secured Swap Agreement Obligations, together with copies of all agreements evidencing such Swap Agreement or amendment;</w:t>
      </w:r>
    </w:p>
    <w:p>
      <w:pPr>
        <w:spacing w:after="0" w:line="123" w:lineRule="exact"/>
        <w:rPr>
          <w:rFonts w:ascii="Arial" w:cs="Arial" w:eastAsia="Arial" w:hAnsi="Arial"/>
          <w:sz w:val="16"/>
          <w:szCs w:val="16"/>
          <w:color w:val="auto"/>
        </w:rPr>
      </w:pPr>
    </w:p>
    <w:p>
      <w:pPr>
        <w:ind w:left="780" w:hanging="344"/>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material notice provided to the holders of any Material Indebtedness along with a copy of such notice; and</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development that results in, or would reasonably be expected to result in, a Material Adverse Effect.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Each notice delivered under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above)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Existence; Conduct of Business</w:t>
      </w:r>
      <w:r>
        <w:rPr>
          <w:rFonts w:ascii="Arial" w:cs="Arial" w:eastAsia="Arial" w:hAnsi="Arial"/>
          <w:sz w:val="17"/>
          <w:szCs w:val="17"/>
          <w:color w:val="auto"/>
        </w:rPr>
        <w:t xml:space="preserve">.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any merger, consolidation, Division, liquidation or dissolution permitted under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and (b) carry on and conduct its business in substantially the same manner and in substantially the same fields of enterprise as it is presently conducted or in fields which are, in the good faith judgment of the Borrower, similar, complimentary, ancillary or substantially related thereto or are reasonable extensions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2" w:name="page83"/>
    <w:bookmarkEnd w:id="82"/>
    <w:p>
      <w:pPr>
        <w:ind w:left="4" w:right="18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5.04 </w:t>
      </w:r>
      <w:r>
        <w:rPr>
          <w:rFonts w:ascii="Arial" w:cs="Arial" w:eastAsia="Arial" w:hAnsi="Arial"/>
          <w:sz w:val="16"/>
          <w:szCs w:val="16"/>
          <w:u w:val="single" w:color="auto"/>
          <w:color w:val="auto"/>
        </w:rPr>
        <w:t>Payment of Taxes</w:t>
      </w:r>
      <w:r>
        <w:rPr>
          <w:rFonts w:ascii="Arial" w:cs="Arial" w:eastAsia="Arial" w:hAnsi="Arial"/>
          <w:sz w:val="16"/>
          <w:szCs w:val="16"/>
          <w:color w:val="auto"/>
        </w:rPr>
        <w:t>. Each Loan Party will, and will cause each Subsidiary to, pay or discharge all Taxes, before the same shall become delinquent or in default, except (a) where the validity or amount thereof is being contested in good faith by appropriate proceedings diligently conducted, and (i) such Loan Party or such Subsidiary has set aside on its books adequate reserves with respect thereto in accordance with GAAP, and</w:t>
      </w:r>
    </w:p>
    <w:p>
      <w:pPr>
        <w:spacing w:after="0" w:line="2" w:lineRule="exact"/>
        <w:rPr>
          <w:sz w:val="20"/>
          <w:szCs w:val="20"/>
          <w:color w:val="auto"/>
        </w:rPr>
      </w:pPr>
    </w:p>
    <w:p>
      <w:pPr>
        <w:ind w:left="4" w:right="20" w:hanging="4"/>
        <w:spacing w:after="0" w:line="255" w:lineRule="auto"/>
        <w:tabs>
          <w:tab w:leader="none" w:pos="269"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case of a Tax which has resulted or may result in the creation of a Lien on any of the Collateral, such contest proceedings conclusively operate to stay the sale of any portion of the Collateral to satisfy such Tax, and (b) to the extent the failure to pay or discharge such Taxes could not reasonably be expected to result in a Material Adverse Effect.</w:t>
      </w:r>
    </w:p>
    <w:p>
      <w:pPr>
        <w:spacing w:after="0" w:line="190"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Maintenance of Properties; Insurance; Casualty and Condemnation</w:t>
      </w:r>
      <w:r>
        <w:rPr>
          <w:rFonts w:ascii="Arial" w:cs="Arial" w:eastAsia="Arial" w:hAnsi="Arial"/>
          <w:sz w:val="16"/>
          <w:szCs w:val="16"/>
          <w:color w:val="auto"/>
        </w:rPr>
        <w:t>.</w:t>
      </w:r>
    </w:p>
    <w:p>
      <w:pPr>
        <w:spacing w:after="0" w:line="225" w:lineRule="exact"/>
        <w:rPr>
          <w:sz w:val="20"/>
          <w:szCs w:val="20"/>
          <w:color w:val="auto"/>
        </w:rPr>
      </w:pPr>
    </w:p>
    <w:p>
      <w:pPr>
        <w:ind w:left="4" w:right="60" w:firstLine="436"/>
        <w:spacing w:after="0" w:line="259" w:lineRule="auto"/>
        <w:tabs>
          <w:tab w:leader="none" w:pos="8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Loan Party will, and will cause each Subsidiary to, (i) keep and maintain all property material to the conduct of its business in good working order and condition, ordinary wear and tear excepted and (ii)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86" w:lineRule="exact"/>
        <w:rPr>
          <w:rFonts w:ascii="Arial" w:cs="Arial" w:eastAsia="Arial" w:hAnsi="Arial"/>
          <w:sz w:val="18"/>
          <w:szCs w:val="18"/>
          <w:color w:val="auto"/>
        </w:rPr>
      </w:pPr>
    </w:p>
    <w:p>
      <w:pPr>
        <w:ind w:left="4" w:firstLine="436"/>
        <w:spacing w:after="0" w:line="263" w:lineRule="auto"/>
        <w:tabs>
          <w:tab w:leader="none" w:pos="8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84" w:lineRule="exact"/>
        <w:rPr>
          <w:sz w:val="20"/>
          <w:szCs w:val="20"/>
          <w:color w:val="auto"/>
        </w:rPr>
      </w:pPr>
    </w:p>
    <w:p>
      <w:pPr>
        <w:ind w:left="4" w:firstLine="440"/>
        <w:spacing w:after="0" w:line="267"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Books and Records; Inspection Rights</w:t>
      </w:r>
      <w:r>
        <w:rPr>
          <w:rFonts w:ascii="Arial" w:cs="Arial" w:eastAsia="Arial" w:hAnsi="Arial"/>
          <w:sz w:val="17"/>
          <w:szCs w:val="17"/>
          <w:color w:val="auto"/>
        </w:rPr>
        <w:t xml:space="preserve">. Each Loan Party will, and will cause each Subsidiary to, (i) keep proper books of record and account in which full, true and correct entries are made of all dealings and transactions in relation to its business and activities and (ii) permit any representatives designated by the Administrative Agent or, during the occurrence and continuance of an Event of Default, any Lender (including employees of the Administrative Agent, such Lender or any consultants, accountants, lawyers, appraisers and field examiners retained by the Administrative Agent), upon reasonable prior notice to visit and inspect its properties, to examine and make extracts from its books and records, and to discuss its affairs, finances and condition with its officers and independent accountants, all at such reasonable times during normal business hours and as often as reasonably requested, all at the expense of the Loan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reimburse the Administrative Agent or any Lender for the cost of more than one such visit during any single fiscal year, except during the occurrence and continuation of an Event of Default. The Loan Parties acknowledge that the Administrative Agent, after exercising its rights of inspection, may prepare and distribute to the Lenders certain reports pertaining to the Loan Parties’ assets for internal use by the Administrative Agent and the Lenders. Notwithstanding anything to the contrary in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neither the Borrower nor any other Loan Party will be required to disclose, permit the inspection, examination or making copies or abstracts of, or discussion of, any document, information or other matter in respect of which disclosure to the Administrative Agent or any Lender (or their respective representatives or contractors) is prohibited by applicable law or any binding agreement (not entered into in contemplation of any request for disclosure or otherwise to evade the disclosure requirements contained in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or is subject to attorney client privilege or that constitutes attorney work product (in each case, as determined in good faith by legal counsel to any Loan Party and not in contemplation of any request for disclosure or otherwise to evade the disclosure requirements contained in this </w:t>
      </w:r>
      <w:r>
        <w:rPr>
          <w:rFonts w:ascii="Arial" w:cs="Arial" w:eastAsia="Arial" w:hAnsi="Arial"/>
          <w:sz w:val="17"/>
          <w:szCs w:val="17"/>
          <w:u w:val="single" w:color="auto"/>
          <w:color w:val="auto"/>
        </w:rPr>
        <w:t>Section 5.06</w:t>
      </w:r>
      <w:r>
        <w:rPr>
          <w:rFonts w:ascii="Arial" w:cs="Arial" w:eastAsia="Arial" w:hAnsi="Arial"/>
          <w:sz w:val="17"/>
          <w:szCs w:val="17"/>
          <w:color w:val="auto"/>
        </w:rPr>
        <w:t>); it being understood that the Borrower shall use its commercially reasonable efforts to communicate any requested information in a way that would not violate the applicable law or agreement or waive the applicable privilege.</w:t>
      </w:r>
    </w:p>
    <w:p>
      <w:pPr>
        <w:spacing w:after="0" w:line="19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Loan Party will, and will cause each Subsidiary to, comply with all Requirements of Law applicable to it or its property, except where the failure to do so, individually or in the aggregate, could not reasonably be expected to result in a Material Adverse Effect.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4"/>
          </w:cols>
          <w:pgMar w:left="436" w:top="274" w:right="479" w:bottom="1440" w:gutter="0" w:footer="0" w:header="0"/>
        </w:sectPr>
      </w:pPr>
    </w:p>
    <w:bookmarkStart w:id="83" w:name="page84"/>
    <w:bookmarkEnd w:id="83"/>
    <w:p>
      <w:pPr>
        <w:ind w:left="420"/>
        <w:spacing w:after="0"/>
        <w:tabs>
          <w:tab w:leader="none" w:pos="1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5.08</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ind w:left="-20" w:right="260" w:firstLine="436"/>
        <w:spacing w:after="0" w:line="286" w:lineRule="auto"/>
        <w:tabs>
          <w:tab w:leader="none" w:pos="797"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proceeds of the Loans will be used for working capital and general corporate purposes including Permitted Acquisitions. Letters of Credit will be used only for general corporate purposes. No part of the proceeds of any Loan and no Letter of Credit will be used, whether directly or indirectly, for any purpose that entails a violation of any of the Regulations of the Board, including Regulations T, U and X.</w:t>
      </w:r>
    </w:p>
    <w:p>
      <w:pPr>
        <w:spacing w:after="0" w:line="165" w:lineRule="exact"/>
        <w:rPr>
          <w:rFonts w:ascii="Arial" w:cs="Arial" w:eastAsia="Arial" w:hAnsi="Arial"/>
          <w:sz w:val="17"/>
          <w:szCs w:val="17"/>
          <w:color w:val="auto"/>
        </w:rPr>
      </w:pPr>
    </w:p>
    <w:p>
      <w:pPr>
        <w:ind w:left="-20" w:right="20" w:firstLine="436"/>
        <w:spacing w:after="0" w:line="273" w:lineRule="auto"/>
        <w:tabs>
          <w:tab w:leader="none" w:pos="807"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Borrower will not request any Borrowing or Letter of Credit, and the Borrower shall not use, and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(including any joint venture partner) in violation of any Anti-Corruption Laws, (b) for the purpose of funding, financing or facilitating any activities, business or transaction of or with any Sanctioned Person, or in any Sanctioned Country, (c) in any manner that would result in the violation of any Sanctions applicable to any party hereto or (d) in any manner that would result in a violation of any anti-money laundering laws or regulations.</w:t>
      </w:r>
    </w:p>
    <w:p>
      <w:pPr>
        <w:spacing w:after="0" w:line="178" w:lineRule="exact"/>
        <w:rPr>
          <w:sz w:val="20"/>
          <w:szCs w:val="20"/>
          <w:color w:val="auto"/>
        </w:rPr>
      </w:pPr>
    </w:p>
    <w:p>
      <w:pPr>
        <w:ind w:left="420"/>
        <w:spacing w:after="0"/>
        <w:tabs>
          <w:tab w:leader="none" w:pos="174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Additional Collateral; Further Assurances</w:t>
      </w:r>
      <w:r>
        <w:rPr>
          <w:rFonts w:ascii="Arial" w:cs="Arial" w:eastAsia="Arial" w:hAnsi="Arial"/>
          <w:sz w:val="16"/>
          <w:szCs w:val="16"/>
          <w:color w:val="auto"/>
        </w:rPr>
        <w:t>.</w:t>
      </w:r>
    </w:p>
    <w:p>
      <w:pPr>
        <w:spacing w:after="0" w:line="225" w:lineRule="exact"/>
        <w:rPr>
          <w:sz w:val="20"/>
          <w:szCs w:val="20"/>
          <w:color w:val="auto"/>
        </w:rPr>
      </w:pPr>
    </w:p>
    <w:p>
      <w:pPr>
        <w:ind w:left="-20" w:firstLine="436"/>
        <w:spacing w:after="0" w:line="290" w:lineRule="auto"/>
        <w:tabs>
          <w:tab w:leader="none" w:pos="8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Subject to applicable law, the Borrower and each other Loan Party shall cause each of its wholly-owned Material Domestic Subsidiaries formed or acquired on or after the date of this Agreement in accordance with the terms of this Agreement and each Subsidiary which hereafter becomes a Material Domestic Subsidiary, in each case, to become a Loan Party, within thirty (30) days (or such later date as the Administrative Agent may agree) after the date of such formation or acquisition (or after the date on which such Subsidiary becomes a Material Domestic Subsidiary, as applicable), by executing a joinder agreement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any Division Successor that becomes a Material Domestic Subsidiary as a result of a Division, shall become a Loan Party and deliver a Joinder Agreement on the effective date of the applicable Division. Upon execution and delivery thereof, each such Person shall automatically become a Loan Guarantor hereunder and thereupon shall have all of the rights, benefits, duties, and obligations in such capacity under the Loan Documents.</w:t>
      </w:r>
    </w:p>
    <w:p>
      <w:pPr>
        <w:spacing w:after="0" w:line="165" w:lineRule="exact"/>
        <w:rPr>
          <w:rFonts w:ascii="Arial" w:cs="Arial" w:eastAsia="Arial" w:hAnsi="Arial"/>
          <w:sz w:val="16"/>
          <w:szCs w:val="16"/>
          <w:color w:val="auto"/>
        </w:rPr>
      </w:pPr>
    </w:p>
    <w:p>
      <w:pPr>
        <w:ind w:left="-20" w:right="120" w:firstLine="436"/>
        <w:spacing w:after="0" w:line="293" w:lineRule="auto"/>
        <w:tabs>
          <w:tab w:leader="none" w:pos="81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Subject to applicable law, the Borrower and each other Loan Party shall cause each of its wholly-owned Material Domestic Subsidiaries formed or acquired after the date of this Agreement in accordance with the terms of this Agreement and each Subsidiary who hereafter becomes a Material Domestic Subsidiary, in each case, within thirty (30) days (or such later date as the Administrative Agent may agree) after the date of such formation or acquisition (or after the date on which such Subsidiary becomes a Material Domestic Subsidiary, as applicable) to execute a joinder to the Security Agreement, pursuant to which such Material Domestic Subsidiary shall grant Liens to the Administrative Agent, for the benefit of the Administrative Agent and the Lenders, in any property of such Loan Party which constitutes Collateral.</w:t>
      </w:r>
    </w:p>
    <w:p>
      <w:pPr>
        <w:spacing w:after="0" w:line="164" w:lineRule="exact"/>
        <w:rPr>
          <w:rFonts w:ascii="Arial" w:cs="Arial" w:eastAsia="Arial" w:hAnsi="Arial"/>
          <w:sz w:val="16"/>
          <w:szCs w:val="16"/>
          <w:color w:val="auto"/>
        </w:rPr>
      </w:pPr>
    </w:p>
    <w:p>
      <w:pPr>
        <w:ind w:left="-20" w:firstLine="436"/>
        <w:spacing w:after="0" w:line="290" w:lineRule="auto"/>
        <w:tabs>
          <w:tab w:leader="none" w:pos="8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Subject to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each Loan Party will cause 100% of the issued and outstanding Equity Interests owned by it to be subject at all times to a first priority, perfected Lien in favor of the Administrative Agent pursuant to the terms and conditions of the Loan Documents or other security documents as the Administrative Agent shall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until an Event of Default has occurred and is continuing and thereafter until otherwise required by the Administrative Agent, if any such Lien with respect to 100% of the issued and outstanding voting Equity Interests of any Foreign Subsidiary that is a CFC or of any Domestic Foreign Holding Company would reasonably be expected by the Borrower in consultation with the Administrative Agent to result in material adverse U.S. federal tax consequences pursuant to Section 956 of the Code or otherwise, the pledge of such Equity Interests that are entitled to vote (within the meaning of Treas. Reg. Section 1.956-2(c)(2)) shall be limited to such lesser amount (in no event less than 65%) that would not reasonably be expected to result in such consequences.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460" w:top="274" w:right="479" w:bottom="1440" w:gutter="0" w:footer="0" w:header="0"/>
        </w:sectPr>
      </w:pPr>
    </w:p>
    <w:bookmarkStart w:id="84" w:name="page85"/>
    <w:bookmarkEnd w:id="84"/>
    <w:p>
      <w:pPr>
        <w:ind w:left="4" w:right="80" w:firstLine="436"/>
        <w:spacing w:after="0" w:line="269" w:lineRule="auto"/>
        <w:tabs>
          <w:tab w:leader="none" w:pos="831" w:val="left"/>
        </w:tabs>
        <w:numPr>
          <w:ilvl w:val="0"/>
          <w:numId w:val="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w:t>
      </w:r>
      <w:r>
        <w:rPr>
          <w:rFonts w:ascii="Arial" w:cs="Arial" w:eastAsia="Arial" w:hAnsi="Arial"/>
          <w:sz w:val="17"/>
          <w:szCs w:val="17"/>
          <w:u w:val="single" w:color="auto"/>
          <w:color w:val="auto"/>
        </w:rPr>
        <w:t>Section 4.01</w:t>
      </w:r>
      <w:r>
        <w:rPr>
          <w:rFonts w:ascii="Arial" w:cs="Arial" w:eastAsia="Arial" w:hAnsi="Arial"/>
          <w:sz w:val="17"/>
          <w:szCs w:val="17"/>
          <w:color w:val="auto"/>
        </w:rPr>
        <w:t>, as applicable), which may be required by law or which the Administrative Agent may, from time to time, reasonably request to carry out the terms and conditions of this Agreement and the other Loan Documents and, to the extent required by the Security Agreement, to ensure perfection and priority of the Liens created or intended to be created by the Collateral Documents, all at the expense of the Loan Parties. Notwithstanding the foregoing no Loan Party shall be required (i) to take any such action if the Administrative Agent and the Borrower reasonably agree in writing that the cost of obtaining such a security interest or perfection thereof are excessive in relation to the benefit to the Lenders of the security to be afforded thereby (ii) to authorize or file any document or registration in a jurisdiction located outside of the United States or (iii) to take any action with respect to any assets located outside of the United States.</w:t>
      </w:r>
    </w:p>
    <w:p>
      <w:pPr>
        <w:spacing w:after="0" w:line="185" w:lineRule="exact"/>
        <w:rPr>
          <w:rFonts w:ascii="Arial" w:cs="Arial" w:eastAsia="Arial" w:hAnsi="Arial"/>
          <w:sz w:val="17"/>
          <w:szCs w:val="17"/>
          <w:color w:val="auto"/>
        </w:rPr>
      </w:pPr>
    </w:p>
    <w:p>
      <w:pPr>
        <w:jc w:val="both"/>
        <w:ind w:left="4" w:firstLine="436"/>
        <w:spacing w:after="0" w:line="342" w:lineRule="auto"/>
        <w:tabs>
          <w:tab w:leader="none" w:pos="814"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As promptly as practicable, and in any event within the time periods after the Effective Date specified in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(or such later date as the Administrative Agent may agree), the Borrower shall deliver, or cause to be delivered, the documents or take the actions specified on </w:t>
      </w:r>
      <w:r>
        <w:rPr>
          <w:rFonts w:ascii="Arial" w:cs="Arial" w:eastAsia="Arial" w:hAnsi="Arial"/>
          <w:sz w:val="16"/>
          <w:szCs w:val="16"/>
          <w:u w:val="single" w:color="auto"/>
          <w:color w:val="auto"/>
        </w:rPr>
        <w:t>Schedule 5.09</w:t>
      </w:r>
      <w:r>
        <w:rPr>
          <w:rFonts w:ascii="Arial" w:cs="Arial" w:eastAsia="Arial" w:hAnsi="Arial"/>
          <w:sz w:val="16"/>
          <w:szCs w:val="16"/>
          <w:color w:val="auto"/>
        </w:rPr>
        <w:t>.</w:t>
      </w:r>
    </w:p>
    <w:p>
      <w:pPr>
        <w:spacing w:after="0" w:line="124"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Each Loan Party shall implement and maintain in effect policies and procedures designed to ensure compliance by such Loan Party, its Subsidiaries and their respective directors, officers, employees and agents with Anti-Corruption Laws and applicable Sanctions.</w:t>
      </w:r>
    </w:p>
    <w:p>
      <w:pPr>
        <w:spacing w:after="0" w:line="184"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Compliance with Environmental Laws</w:t>
      </w:r>
      <w:r>
        <w:rPr>
          <w:rFonts w:ascii="Arial" w:cs="Arial" w:eastAsia="Arial" w:hAnsi="Arial"/>
          <w:sz w:val="18"/>
          <w:szCs w:val="18"/>
          <w:color w:val="auto"/>
        </w:rPr>
        <w:t>. Each Loan Party shall comply with all Environmental Laws applicable to its operations and properties; and obtain and renew all material authorizations and permits required pursuant to Environmental Laws for its operations and properties, in each case in accordance with Environmental Laws, except, in each case, to the extent failure to do so could not reasonably be expected to have, individually or in the aggregate, a Material Adverse Effect.</w:t>
      </w:r>
    </w:p>
    <w:p>
      <w:pPr>
        <w:spacing w:after="0" w:line="187" w:lineRule="exact"/>
        <w:rPr>
          <w:sz w:val="20"/>
          <w:szCs w:val="20"/>
          <w:color w:val="auto"/>
        </w:rPr>
      </w:pPr>
    </w:p>
    <w:p>
      <w:pPr>
        <w:ind w:left="4" w:right="80" w:firstLine="440"/>
        <w:spacing w:after="0" w:line="31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Loan Party shall maintain adequate licenses, patents, patent applications, copyrights, service marks, trademarks, trademark applications, tradestyles and trade names to continue its business as heretofore conducted by it or as hereafter conducted by it unless the failure to maintain any of the foregoing could not reasonably be expected to have a Material Adverse Effect on such Loan Party.</w:t>
      </w:r>
    </w:p>
    <w:p>
      <w:pPr>
        <w:spacing w:after="0" w:line="149"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ERISA</w:t>
      </w:r>
      <w:r>
        <w:rPr>
          <w:rFonts w:ascii="Arial" w:cs="Arial" w:eastAsia="Arial" w:hAnsi="Arial"/>
          <w:sz w:val="18"/>
          <w:szCs w:val="18"/>
          <w:color w:val="auto"/>
        </w:rPr>
        <w:t>. Borrower shall, and shall cause each Subsidiary to, promptly pay and discharge all obligations and liabilities arising under ERISA of a character, which if unpaid or unperformed could reasonably be expected to result in the imposition of a Lien against any of its property.</w:t>
      </w:r>
    </w:p>
    <w:p>
      <w:pPr>
        <w:spacing w:after="0" w:line="184"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PCI Compliance; Data Security</w:t>
      </w:r>
      <w:r>
        <w:rPr>
          <w:rFonts w:ascii="Arial" w:cs="Arial" w:eastAsia="Arial" w:hAnsi="Arial"/>
          <w:sz w:val="16"/>
          <w:szCs w:val="16"/>
          <w:color w:val="auto"/>
        </w:rPr>
        <w:t>. Except as individually or in the aggregate would not reasonably be expected to have a Material Adverse Effect, each applicable Loan Party will, and will cause each of its Subsidiaries to, (a) maintain compliance with all PCI Requirements and all Requirements of Law, (b) maintain and implement controls, policies, procedures, and technical safeguards to protect the privacy, security, and integrity of Personal Information, computer systems and processes as required by Requirements of Law and consistent with industry standards and practices and</w:t>
      </w:r>
    </w:p>
    <w:p>
      <w:pPr>
        <w:spacing w:after="0" w:line="1" w:lineRule="exact"/>
        <w:rPr>
          <w:sz w:val="20"/>
          <w:szCs w:val="20"/>
          <w:color w:val="auto"/>
        </w:rPr>
      </w:pPr>
    </w:p>
    <w:p>
      <w:pPr>
        <w:ind w:left="4" w:right="640" w:hanging="4"/>
        <w:spacing w:after="0" w:line="260" w:lineRule="auto"/>
        <w:tabs>
          <w:tab w:leader="none" w:pos="2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prevent the authorized access to or acquisition, use, loss, destruction, compromise or disclosure of any Personal Information, confidential or proprietary data maintained or stored by it.</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4"/>
          </w:cols>
          <w:pgMar w:left="436" w:top="274" w:right="499" w:bottom="1440" w:gutter="0" w:footer="0" w:header="0"/>
        </w:sectPr>
      </w:pPr>
    </w:p>
    <w:bookmarkStart w:id="85" w:name="page86"/>
    <w:bookmarkEnd w:id="85"/>
    <w:p>
      <w:pPr>
        <w:jc w:val="center"/>
        <w:ind w:right="-43"/>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18" w:lineRule="exact"/>
        <w:rPr>
          <w:sz w:val="20"/>
          <w:szCs w:val="20"/>
          <w:color w:val="auto"/>
        </w:rPr>
      </w:pPr>
    </w:p>
    <w:p>
      <w:pPr>
        <w:jc w:val="center"/>
        <w:ind w:right="-43"/>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Until Payment in Full has occurred, the Loan Parties covenant and agree, jointly and severally, with the Lenders that:</w:t>
      </w:r>
    </w:p>
    <w:p>
      <w:pPr>
        <w:spacing w:after="0" w:line="117"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No Loan Party will, nor will it permit any Subsidiary to, create, incur or suffer to exist any Indebtedness, except:</w:t>
      </w:r>
    </w:p>
    <w:p>
      <w:pPr>
        <w:spacing w:after="0" w:line="117" w:lineRule="exact"/>
        <w:rPr>
          <w:sz w:val="20"/>
          <w:szCs w:val="20"/>
          <w:color w:val="auto"/>
        </w:rPr>
      </w:pPr>
    </w:p>
    <w:p>
      <w:pPr>
        <w:ind w:left="824" w:hanging="384"/>
        <w:spacing w:after="0"/>
        <w:tabs>
          <w:tab w:leader="none" w:pos="82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Secured Obligations;</w:t>
      </w:r>
    </w:p>
    <w:p>
      <w:pPr>
        <w:spacing w:after="0" w:line="225" w:lineRule="exact"/>
        <w:rPr>
          <w:rFonts w:ascii="Arial" w:cs="Arial" w:eastAsia="Arial" w:hAnsi="Arial"/>
          <w:sz w:val="18"/>
          <w:szCs w:val="18"/>
          <w:color w:val="auto"/>
        </w:rPr>
      </w:pPr>
    </w:p>
    <w:p>
      <w:pPr>
        <w:ind w:left="4" w:right="520" w:firstLine="436"/>
        <w:spacing w:after="0" w:line="277" w:lineRule="auto"/>
        <w:tabs>
          <w:tab w:leader="none" w:pos="83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(i) Indebtedness existing on the date hereof and set forth on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(ii) extensions, renewals and replacements of any such Indebtedness in accordance with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left="824" w:hanging="384"/>
        <w:spacing w:after="0"/>
        <w:tabs>
          <w:tab w:leader="none" w:pos="82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Indebtedness of the Borrower to any Subsidiary and of any Subsidiary to the Borrower or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23" w:lineRule="exact"/>
        <w:rPr>
          <w:rFonts w:ascii="Arial" w:cs="Arial" w:eastAsia="Arial" w:hAnsi="Arial"/>
          <w:sz w:val="18"/>
          <w:szCs w:val="18"/>
          <w:color w:val="auto"/>
        </w:rPr>
      </w:pPr>
    </w:p>
    <w:p>
      <w:pPr>
        <w:ind w:left="224" w:hanging="224"/>
        <w:spacing w:after="0"/>
        <w:tabs>
          <w:tab w:leader="none" w:pos="22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Indebtedness of any Subsidiary that is not a Loan Party to the Borrower or to any Subsidiary that is a Loan Party shall be subject to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and</w:t>
      </w:r>
    </w:p>
    <w:p>
      <w:pPr>
        <w:spacing w:after="0" w:line="32" w:lineRule="exact"/>
        <w:rPr>
          <w:rFonts w:ascii="Arial" w:cs="Arial" w:eastAsia="Arial" w:hAnsi="Arial"/>
          <w:sz w:val="16"/>
          <w:szCs w:val="16"/>
          <w:color w:val="auto"/>
        </w:rPr>
      </w:pPr>
    </w:p>
    <w:p>
      <w:pPr>
        <w:ind w:left="4" w:right="400" w:hanging="4"/>
        <w:spacing w:after="0" w:line="290" w:lineRule="auto"/>
        <w:tabs>
          <w:tab w:leader="none" w:pos="26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Indebtedness of a Loan Party to any Subsidiary that is not a Loan Party in an aggregate principal amount in excess of $10.0 million for all such Indebtedness shall be subordinated to the Secured Obligations on terms reasonably satisfactory to the Administrative Agent;</w:t>
      </w:r>
    </w:p>
    <w:p>
      <w:pPr>
        <w:spacing w:after="0" w:line="161" w:lineRule="exact"/>
        <w:rPr>
          <w:rFonts w:ascii="Arial" w:cs="Arial" w:eastAsia="Arial" w:hAnsi="Arial"/>
          <w:sz w:val="17"/>
          <w:szCs w:val="17"/>
          <w:color w:val="auto"/>
        </w:rPr>
      </w:pPr>
    </w:p>
    <w:p>
      <w:pPr>
        <w:ind w:left="4" w:firstLine="436"/>
        <w:spacing w:after="0" w:line="287" w:lineRule="auto"/>
        <w:tabs>
          <w:tab w:leader="none" w:pos="834"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Guarantees by the Borrower of Indebtedness of any Subsidiary and by any Subsidiary of Indebtedness of the Borrower or any other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Indebtedness so Guaranteed is permitted by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(ii) Guarantees by the Borrower or any Subsidiary that is a Loan Party of Indebtedness of any Subsidiary that is not a Loan Party shall be subject to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and (iii) Guarantees permitted under this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 shall be subordinated to the Obligations on the same terms as the Indebtedness so Guaranteed is subordinated to the Obligations;</w:t>
      </w:r>
    </w:p>
    <w:p>
      <w:pPr>
        <w:spacing w:after="0" w:line="210" w:lineRule="exact"/>
        <w:rPr>
          <w:rFonts w:ascii="Arial" w:cs="Arial" w:eastAsia="Arial" w:hAnsi="Arial"/>
          <w:sz w:val="16"/>
          <w:szCs w:val="16"/>
          <w:color w:val="auto"/>
        </w:rPr>
      </w:pPr>
    </w:p>
    <w:p>
      <w:pPr>
        <w:ind w:left="4" w:right="80" w:firstLine="436"/>
        <w:spacing w:after="0" w:line="254" w:lineRule="auto"/>
        <w:tabs>
          <w:tab w:leader="none" w:pos="82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(including by way of any Permitted Acquisition) of any such assets or secured by a Lien on any such assets prior to the acquisition thereof, and extensions, renewals and replacements of any such Indebtedness in accordance with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incurred prior to or within ninety (90) days after such acquisition or the completion of such construction or improvement and (ii) the aggregate principal amount of Indebtedness permitted by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(including any refinancing thereof permitted by </w:t>
      </w:r>
      <w:r>
        <w:rPr>
          <w:rFonts w:ascii="Arial" w:cs="Arial" w:eastAsia="Arial" w:hAnsi="Arial"/>
          <w:sz w:val="18"/>
          <w:szCs w:val="18"/>
          <w:u w:val="single" w:color="auto"/>
          <w:color w:val="auto"/>
        </w:rPr>
        <w:t>clause (f)</w:t>
      </w:r>
      <w:r>
        <w:rPr>
          <w:rFonts w:ascii="Arial" w:cs="Arial" w:eastAsia="Arial" w:hAnsi="Arial"/>
          <w:sz w:val="18"/>
          <w:szCs w:val="18"/>
          <w:color w:val="auto"/>
        </w:rPr>
        <w:t>) shall not exceed $10.0 million at any time outstanding;</w:t>
      </w:r>
    </w:p>
    <w:p>
      <w:pPr>
        <w:spacing w:after="0" w:line="194" w:lineRule="exact"/>
        <w:rPr>
          <w:rFonts w:ascii="Arial" w:cs="Arial" w:eastAsia="Arial" w:hAnsi="Arial"/>
          <w:sz w:val="18"/>
          <w:szCs w:val="18"/>
          <w:color w:val="auto"/>
        </w:rPr>
      </w:pPr>
    </w:p>
    <w:p>
      <w:pPr>
        <w:ind w:left="4" w:firstLine="436"/>
        <w:spacing w:after="0" w:line="270" w:lineRule="auto"/>
        <w:tabs>
          <w:tab w:leader="none" w:pos="80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Indebtedness which represents an extension, refinancing, or renewal of any of the Indebtedness described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w:t>
      </w:r>
      <w:r>
        <w:rPr>
          <w:rFonts w:ascii="Arial" w:cs="Arial" w:eastAsia="Arial" w:hAnsi="Arial"/>
          <w:sz w:val="17"/>
          <w:szCs w:val="17"/>
          <w:color w:val="auto"/>
        </w:rPr>
        <w:t xml:space="preserve"> hereof (with any such extension, refinancing or renewal being deemed to constitute Indebtedness that has been incurred under such applicable clause);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aggregate principal amount of such Indebtedness does not exceed the principal amount of such Indebtedness being refinanced plus the amount of any interest, premiums or penalties required to be paid plus fees and expenses associated therewith, (ii) any Liens securing such Indebtedness are not extended to any additional property of any Loan Party, (iii) no Loan Party that is not originally obligated (or required to become obligated) with respect to repayment of such Indebtedness is required to become obligated with respect thereto, (iv) such extension, refinancing or renewal does not result in a shortening of the average weighted maturity of the Indebtedness so extended, refinanced or renewed, (v) the terms of any such extension, refinancing, or renewal (other than pricing, premiums and optional prepayment or optional redemption provisions) are not materially less favorable to the obligor thereunder than the original terms of</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4"/>
          </w:cols>
          <w:pgMar w:left="436" w:top="271" w:right="499" w:bottom="1440" w:gutter="0" w:footer="0" w:header="0"/>
        </w:sectPr>
      </w:pPr>
    </w:p>
    <w:bookmarkStart w:id="86" w:name="page87"/>
    <w:bookmarkEnd w:id="86"/>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Indebtedness, taken as a whole, and (vi) if the Indebtedness that is refinanced, renewed, or extended was subordinated in right of payment to the Secured Obligations, then the terms and conditions of the refinancing, renewal, or extension Indebtedness must include subordination terms and conditions that are at least as favorable to the Administrative Agent and the Lenders as those that were applicable to the refinanced, renewed, or extended Indebtedness;</w:t>
      </w:r>
    </w:p>
    <w:p>
      <w:pPr>
        <w:spacing w:after="0" w:line="187" w:lineRule="exact"/>
        <w:rPr>
          <w:sz w:val="20"/>
          <w:szCs w:val="20"/>
          <w:color w:val="auto"/>
        </w:rPr>
      </w:pPr>
    </w:p>
    <w:p>
      <w:pPr>
        <w:ind w:right="200" w:firstLine="436"/>
        <w:spacing w:after="0" w:line="342" w:lineRule="auto"/>
        <w:tabs>
          <w:tab w:leader="none" w:pos="83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23" w:lineRule="exact"/>
        <w:rPr>
          <w:rFonts w:ascii="Arial" w:cs="Arial" w:eastAsia="Arial" w:hAnsi="Arial"/>
          <w:sz w:val="16"/>
          <w:szCs w:val="16"/>
          <w:color w:val="auto"/>
        </w:rPr>
      </w:pPr>
    </w:p>
    <w:p>
      <w:pPr>
        <w:ind w:right="20" w:firstLine="436"/>
        <w:spacing w:after="0" w:line="263" w:lineRule="auto"/>
        <w:tabs>
          <w:tab w:leader="none" w:pos="8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Indebtedness of the Borrower or any Subsidiary in respect of performance bonds, bid bonds, appeal bonds, surety bonds and similar obligations or obligations in respect of letters of credit, surety bonds, bank guarantees or similar instruments related thereto, in each case provided in the ordinary course of business or in respect of judgments that do not constitute an Event of Default;</w:t>
      </w:r>
    </w:p>
    <w:p>
      <w:pPr>
        <w:spacing w:after="0" w:line="183" w:lineRule="exact"/>
        <w:rPr>
          <w:rFonts w:ascii="Arial" w:cs="Arial" w:eastAsia="Arial" w:hAnsi="Arial"/>
          <w:sz w:val="18"/>
          <w:szCs w:val="18"/>
          <w:color w:val="auto"/>
        </w:rPr>
      </w:pPr>
    </w:p>
    <w:p>
      <w:pPr>
        <w:ind w:left="780" w:hanging="344"/>
        <w:spacing w:after="0"/>
        <w:tabs>
          <w:tab w:leader="none" w:pos="7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Indebtedness or Guarantees of the Borrower or any Subsidiary in connection with any Swap Agreement permitted under </w:t>
      </w:r>
      <w:r>
        <w:rPr>
          <w:rFonts w:ascii="Arial" w:cs="Arial" w:eastAsia="Arial" w:hAnsi="Arial"/>
          <w:sz w:val="17"/>
          <w:szCs w:val="17"/>
          <w:u w:val="single" w:color="auto"/>
          <w:color w:val="auto"/>
        </w:rPr>
        <w:t>Section 6.06</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right="180" w:firstLine="436"/>
        <w:spacing w:after="0" w:line="257" w:lineRule="auto"/>
        <w:tabs>
          <w:tab w:leader="none" w:pos="79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Indebtedness arising from customary agreements providing for indemnification, adjustment of purchase price, earnout, deferred purchase price or similar obligations in connection with acquisitions or dispositions of any business or assets by or of the Borrower or any Subsidiary permitted hereunder or from guaranties or letters of credit, surety bonds or performance bonds securing the performance of the Borrower or any such Subsidiary pursuant to such agreements, in connection with permitted Acquisitions or permitted dispositions of any business or assets (including stock of a Subsidiary);</w:t>
      </w:r>
    </w:p>
    <w:p>
      <w:pPr>
        <w:spacing w:after="0" w:line="187" w:lineRule="exact"/>
        <w:rPr>
          <w:rFonts w:ascii="Arial" w:cs="Arial" w:eastAsia="Arial" w:hAnsi="Arial"/>
          <w:sz w:val="18"/>
          <w:szCs w:val="18"/>
          <w:color w:val="auto"/>
        </w:rPr>
      </w:pPr>
    </w:p>
    <w:p>
      <w:pPr>
        <w:ind w:left="820" w:hanging="384"/>
        <w:spacing w:after="0"/>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Judgments entered against the Borrower or any Subsidiary to the extent not constituting an Event of Default;</w:t>
      </w:r>
    </w:p>
    <w:p>
      <w:pPr>
        <w:spacing w:after="0" w:line="225" w:lineRule="exact"/>
        <w:rPr>
          <w:rFonts w:ascii="Arial" w:cs="Arial" w:eastAsia="Arial" w:hAnsi="Arial"/>
          <w:sz w:val="18"/>
          <w:szCs w:val="18"/>
          <w:color w:val="auto"/>
        </w:rPr>
      </w:pPr>
    </w:p>
    <w:p>
      <w:pPr>
        <w:ind w:right="140" w:firstLine="436"/>
        <w:spacing w:after="0" w:line="277" w:lineRule="auto"/>
        <w:tabs>
          <w:tab w:leader="none" w:pos="79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Indebtedness or Guarantees incurred in the ordinary course of business in connection with Banking Services and other cash pooling, netting and cash management arrangements consisting of overdrafts or similar arrangements;</w:t>
      </w:r>
    </w:p>
    <w:p>
      <w:pPr>
        <w:spacing w:after="0" w:line="170" w:lineRule="exact"/>
        <w:rPr>
          <w:rFonts w:ascii="Arial" w:cs="Arial" w:eastAsia="Arial" w:hAnsi="Arial"/>
          <w:sz w:val="18"/>
          <w:szCs w:val="18"/>
          <w:color w:val="auto"/>
        </w:rPr>
      </w:pPr>
    </w:p>
    <w:p>
      <w:pPr>
        <w:ind w:left="880" w:hanging="444"/>
        <w:spacing w:after="0"/>
        <w:tabs>
          <w:tab w:leader="none" w:pos="8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Indebtedness of Foreign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aggregate outstanding principal amount of such Indebtedness shall not exceed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 million (or the equivalent thereof outstanding at such time) at any time;</w:t>
      </w:r>
    </w:p>
    <w:p>
      <w:pPr>
        <w:spacing w:after="0" w:line="211" w:lineRule="exact"/>
        <w:rPr>
          <w:sz w:val="20"/>
          <w:szCs w:val="20"/>
          <w:color w:val="auto"/>
        </w:rPr>
      </w:pPr>
    </w:p>
    <w:p>
      <w:pPr>
        <w:ind w:left="820" w:hanging="384"/>
        <w:spacing w:after="0"/>
        <w:tabs>
          <w:tab w:leader="none" w:pos="8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owed to sellers constituting consideration for Permitted Acquisitions;</w:t>
      </w:r>
    </w:p>
    <w:p>
      <w:pPr>
        <w:spacing w:after="0" w:line="225" w:lineRule="exact"/>
        <w:rPr>
          <w:rFonts w:ascii="Arial" w:cs="Arial" w:eastAsia="Arial" w:hAnsi="Arial"/>
          <w:sz w:val="18"/>
          <w:szCs w:val="18"/>
          <w:color w:val="auto"/>
        </w:rPr>
      </w:pPr>
    </w:p>
    <w:p>
      <w:pPr>
        <w:ind w:firstLine="436"/>
        <w:spacing w:after="0" w:line="275" w:lineRule="auto"/>
        <w:tabs>
          <w:tab w:leader="none" w:pos="83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Indebtedness of a Person or Indebtedness attaching to assets of a Person that, in either case, becomes a Subsidiary or Indebtedness attaching to assets that are acquired by Borrower or any of its Subsidiaries, in each case as the result of a Permitted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existed at the time such Person became a Subsidiary or at the time such assets were acquired and, in each case, was not created in anticipation thereof and (ii) (x) such Indebtedness incurred in connection with any single Permitted Acquisition shall not exceed $3.0 million and (y) the aggregate amount of such Indebtedness permitted to be incurred shall under this </w:t>
      </w:r>
      <w:r>
        <w:rPr>
          <w:rFonts w:ascii="Arial" w:cs="Arial" w:eastAsia="Arial" w:hAnsi="Arial"/>
          <w:sz w:val="17"/>
          <w:szCs w:val="17"/>
          <w:u w:val="single" w:color="auto"/>
          <w:color w:val="auto"/>
        </w:rPr>
        <w:t>clause (o)</w:t>
      </w:r>
      <w:r>
        <w:rPr>
          <w:rFonts w:ascii="Arial" w:cs="Arial" w:eastAsia="Arial" w:hAnsi="Arial"/>
          <w:sz w:val="17"/>
          <w:szCs w:val="17"/>
          <w:color w:val="auto"/>
        </w:rPr>
        <w:t xml:space="preserve"> not exceed $9.0 million;</w:t>
      </w:r>
    </w:p>
    <w:p>
      <w:pPr>
        <w:spacing w:after="0" w:line="176" w:lineRule="exact"/>
        <w:rPr>
          <w:rFonts w:ascii="Arial" w:cs="Arial" w:eastAsia="Arial" w:hAnsi="Arial"/>
          <w:sz w:val="17"/>
          <w:szCs w:val="17"/>
          <w:color w:val="auto"/>
        </w:rPr>
      </w:pPr>
    </w:p>
    <w:p>
      <w:pPr>
        <w:ind w:firstLine="436"/>
        <w:spacing w:after="0" w:line="263" w:lineRule="auto"/>
        <w:tabs>
          <w:tab w:leader="none" w:pos="83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of the Borrower or any Subsidiary in connection with any Guarantees given by them, or any letters of credit or bank guarantees issued by any bank or financial institution, in favor of any Governmental Authority to secure the payment of Taxes owed by the Borrower or any Subsidiary to such Governmental Authorities;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4" w:right="479" w:bottom="1440" w:gutter="0" w:footer="0" w:header="0"/>
        </w:sectPr>
      </w:pPr>
    </w:p>
    <w:bookmarkStart w:id="87" w:name="page88"/>
    <w:bookmarkEnd w:id="87"/>
    <w:p>
      <w:pPr>
        <w:ind w:left="4" w:right="160" w:firstLine="436"/>
        <w:spacing w:after="0" w:line="277" w:lineRule="auto"/>
        <w:tabs>
          <w:tab w:leader="none" w:pos="834" w:val="left"/>
        </w:tabs>
        <w:numPr>
          <w:ilvl w:val="1"/>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of the Borrower or any Subsidiary owed to sublessees in respect of security deposits or advances held by the Borrower or any Subsidiary in connection with the subletting sublessees of any leasehold interests of the Borrower or any Subsidiary;</w:t>
      </w:r>
    </w:p>
    <w:p>
      <w:pPr>
        <w:spacing w:after="0" w:line="170" w:lineRule="exact"/>
        <w:rPr>
          <w:rFonts w:ascii="Arial" w:cs="Arial" w:eastAsia="Arial" w:hAnsi="Arial"/>
          <w:sz w:val="18"/>
          <w:szCs w:val="18"/>
          <w:color w:val="auto"/>
        </w:rPr>
      </w:pPr>
    </w:p>
    <w:p>
      <w:pPr>
        <w:ind w:left="4" w:right="760" w:firstLine="436"/>
        <w:spacing w:after="0" w:line="263" w:lineRule="auto"/>
        <w:tabs>
          <w:tab w:leader="none" w:pos="80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the extent categorized as Indebtedness, contingent chargeback obligations arising from the Borrower or its Subsidiaries acting as “merchant of record” under applicable credit card payment processes, as incurred in the ordinary course of business of the Borrower and its Subsidiaries;</w:t>
      </w:r>
    </w:p>
    <w:p>
      <w:pPr>
        <w:spacing w:after="0" w:line="183" w:lineRule="exact"/>
        <w:rPr>
          <w:rFonts w:ascii="Arial" w:cs="Arial" w:eastAsia="Arial" w:hAnsi="Arial"/>
          <w:sz w:val="18"/>
          <w:szCs w:val="18"/>
          <w:color w:val="auto"/>
        </w:rPr>
      </w:pPr>
    </w:p>
    <w:p>
      <w:pPr>
        <w:ind w:left="804" w:hanging="364"/>
        <w:spacing w:after="0"/>
        <w:tabs>
          <w:tab w:leader="none" w:pos="80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unsecured Indebtedness of the Borrower (and any extensions, renewals and replacements of any such Indebtedness in accordance with </w:t>
      </w:r>
      <w:r>
        <w:rPr>
          <w:rFonts w:ascii="Arial" w:cs="Arial" w:eastAsia="Arial" w:hAnsi="Arial"/>
          <w:sz w:val="16"/>
          <w:szCs w:val="16"/>
          <w:u w:val="single" w:color="auto"/>
          <w:color w:val="auto"/>
        </w:rPr>
        <w:t>clause</w:t>
      </w:r>
    </w:p>
    <w:p>
      <w:pPr>
        <w:spacing w:after="0" w:line="46" w:lineRule="exact"/>
        <w:rPr>
          <w:rFonts w:ascii="Arial" w:cs="Arial" w:eastAsia="Arial" w:hAnsi="Arial"/>
          <w:sz w:val="16"/>
          <w:szCs w:val="16"/>
          <w:color w:val="auto"/>
        </w:rPr>
      </w:pPr>
    </w:p>
    <w:p>
      <w:pPr>
        <w:ind w:left="4" w:hanging="4"/>
        <w:spacing w:after="0" w:line="281" w:lineRule="auto"/>
        <w:tabs>
          <w:tab w:leader="none" w:pos="229" w:val="left"/>
        </w:tabs>
        <w:numPr>
          <w:ilvl w:val="0"/>
          <w:numId w:val="105"/>
        </w:numPr>
        <w:rPr>
          <w:rFonts w:ascii="Arial" w:cs="Arial" w:eastAsia="Arial" w:hAnsi="Arial"/>
          <w:sz w:val="16"/>
          <w:szCs w:val="16"/>
          <w:u w:val="single" w:color="auto"/>
          <w:color w:val="auto"/>
        </w:rPr>
      </w:pPr>
      <w:r>
        <w:rPr>
          <w:rFonts w:ascii="Arial" w:cs="Arial" w:eastAsia="Arial" w:hAnsi="Arial"/>
          <w:sz w:val="16"/>
          <w:szCs w:val="16"/>
          <w:color w:val="auto"/>
        </w:rPr>
        <w:t xml:space="preserve">hereof) in an aggregate principal amount not to exceed $150.0 million at any time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(i) after giving effect to the incurrence thereof, the Borrower shall be in pro forma compliance with the Financial Covenant for the most recently ended Reference Period for which financial statements have been (or were required to be) delivered to the Administrative Agent and the Borrower shall have delivered to the Administrative Agent reasonably detailed calculations demonstrating such compliance, (ii) the final maturity of any such unsecured Indebtedness shall be no earlier than one hundred eighty (180) days following the latest Maturity Date at the time of incurrence, (iii) such Indebtedness shall not be guaranteed by any Person that is not a Loan Guarantor, (iv) such Indebtedness shall not include any amortization, (v) at the time of incurrence, issuance or obtainment of such Indebtedness no Event of Default has occurred and is continuing or would immediately result therefrom, (vi) to the extent subordinated, such unsecured Indebtedness shall be subordinated to the Secured Obligations on terms reasonably satisfactory to the Administrative Agent and (vii) the terms and conditions of such Indebtedness (other than pricing, premiums and optional prepayment or optional redemption provisions) are, when taken as a whole</w:t>
      </w:r>
    </w:p>
    <w:p>
      <w:pPr>
        <w:spacing w:after="0" w:line="5" w:lineRule="exact"/>
        <w:rPr>
          <w:rFonts w:ascii="Arial" w:cs="Arial" w:eastAsia="Arial" w:hAnsi="Arial"/>
          <w:sz w:val="16"/>
          <w:szCs w:val="16"/>
          <w:u w:val="single" w:color="auto"/>
          <w:color w:val="auto"/>
        </w:rPr>
      </w:pPr>
    </w:p>
    <w:p>
      <w:pPr>
        <w:ind w:left="4" w:right="340"/>
        <w:spacing w:after="0" w:line="255" w:lineRule="auto"/>
        <w:rPr>
          <w:rFonts w:ascii="Arial" w:cs="Arial" w:eastAsia="Arial" w:hAnsi="Arial"/>
          <w:sz w:val="16"/>
          <w:szCs w:val="16"/>
          <w:u w:val="single" w:color="auto"/>
          <w:color w:val="auto"/>
        </w:rPr>
      </w:pPr>
      <w:r>
        <w:rPr>
          <w:rFonts w:ascii="Arial" w:cs="Arial" w:eastAsia="Arial" w:hAnsi="Arial"/>
          <w:sz w:val="18"/>
          <w:szCs w:val="18"/>
          <w:color w:val="auto"/>
        </w:rPr>
        <w:t>(A) substantially identical to or (B) not materially more favorable to the lenders or holders providing such Indebtedness than those applicable to this Agreement or other provisions applicable only to periods after the Maturity Date in effect at the time of incurrence, issuance or obtainment of such Indebtedness;</w:t>
      </w:r>
    </w:p>
    <w:p>
      <w:pPr>
        <w:spacing w:after="0" w:line="189" w:lineRule="exact"/>
        <w:rPr>
          <w:rFonts w:ascii="Arial" w:cs="Arial" w:eastAsia="Arial" w:hAnsi="Arial"/>
          <w:sz w:val="16"/>
          <w:szCs w:val="16"/>
          <w:u w:val="single" w:color="auto"/>
          <w:color w:val="auto"/>
        </w:rPr>
      </w:pPr>
    </w:p>
    <w:p>
      <w:pPr>
        <w:ind w:left="784" w:hanging="344"/>
        <w:spacing w:after="0"/>
        <w:tabs>
          <w:tab w:leader="none" w:pos="78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Indebtedness in respect of letters of credit or bankers’ acceptances supporting facility leases;</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Indebtedness representing installment insurance premiums owing in the ordinary course of business; and</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other Indebtedness in an aggregate principal amount not exceeding $10.0 million at any time outstanding.</w:t>
      </w:r>
    </w:p>
    <w:p>
      <w:pPr>
        <w:spacing w:after="0" w:line="22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76" w:lineRule="exact"/>
        <w:rPr>
          <w:sz w:val="20"/>
          <w:szCs w:val="20"/>
          <w:color w:val="auto"/>
        </w:rPr>
      </w:pPr>
    </w:p>
    <w:p>
      <w:pPr>
        <w:ind w:left="824" w:hanging="384"/>
        <w:spacing w:after="0"/>
        <w:tabs>
          <w:tab w:leader="none" w:pos="82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Liens created pursuant to any Loan Document;</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or any Subsidiary existing on the date hereof and set forth in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46" w:lineRule="exact"/>
        <w:rPr>
          <w:rFonts w:ascii="Arial" w:cs="Arial" w:eastAsia="Arial" w:hAnsi="Arial"/>
          <w:sz w:val="16"/>
          <w:szCs w:val="16"/>
          <w:color w:val="auto"/>
        </w:rPr>
      </w:pPr>
    </w:p>
    <w:p>
      <w:pPr>
        <w:jc w:val="both"/>
        <w:ind w:left="4" w:right="120" w:hanging="4"/>
        <w:spacing w:after="0" w:line="255" w:lineRule="auto"/>
        <w:tabs>
          <w:tab w:leader="none" w:pos="21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such Lien shall not apply to any property or asset of the Borrower or such Subsidiary other than the properties and assets to which such Lien applies on the date hereof and (ii) such Lien shall secure only those obligations which it secures on the date hereof and extensions, renewals and replacements thereof that do not increase the outstanding principal amount thereof;</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88" w:name="page89"/>
    <w:bookmarkEnd w:id="88"/>
    <w:p>
      <w:pPr>
        <w:ind w:right="140" w:firstLine="436"/>
        <w:spacing w:after="0" w:line="293" w:lineRule="auto"/>
        <w:tabs>
          <w:tab w:leader="none" w:pos="830" w:val="left"/>
        </w:tabs>
        <w:numPr>
          <w:ilvl w:val="0"/>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Lien existing on any property or asset prior to the acquisition thereof (including by way of any Permitted Acquisition) by the Borrower or any Subsidiary or existing on any property or asset of any Person that becomes a Subsidiary after the Effective Date prior to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that (i) such Lien is not created in contemplation of or in connection with such acquisition or such Person becoming a Subsidiary,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64" w:lineRule="exact"/>
        <w:rPr>
          <w:rFonts w:ascii="Arial" w:cs="Arial" w:eastAsia="Arial" w:hAnsi="Arial"/>
          <w:sz w:val="16"/>
          <w:szCs w:val="16"/>
          <w:color w:val="auto"/>
        </w:rPr>
      </w:pPr>
    </w:p>
    <w:p>
      <w:pPr>
        <w:ind w:firstLine="436"/>
        <w:spacing w:after="0" w:line="255" w:lineRule="auto"/>
        <w:tabs>
          <w:tab w:leader="none" w:pos="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(including any accessions, additions, parts, fixtures, improvements and attachments thereto and the proceeds thereof) acquired, constructed or improved by the Borrower or any Subsidiary; provided, that (i) such security interests secure Indebtedness permitted by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(ii) such security interests and the Indebtedness secured thereby are incurred prior to or within ninety (90) days after such acquisition or the completion of such construction or improvement, (iii) the Indebtedness secured thereby does not exceed 110% of the cost of acquiring, constructing or improving such fixed or capital assets and (iv) such security interests shall not apply to any other property or assets of the Borrower or Subsidiary;</w:t>
      </w:r>
    </w:p>
    <w:p>
      <w:pPr>
        <w:spacing w:after="0" w:line="192" w:lineRule="exact"/>
        <w:rPr>
          <w:rFonts w:ascii="Arial" w:cs="Arial" w:eastAsia="Arial" w:hAnsi="Arial"/>
          <w:sz w:val="18"/>
          <w:szCs w:val="18"/>
          <w:color w:val="auto"/>
        </w:rPr>
      </w:pPr>
    </w:p>
    <w:p>
      <w:pPr>
        <w:ind w:right="260" w:firstLine="436"/>
        <w:spacing w:after="0" w:line="277" w:lineRule="auto"/>
        <w:tabs>
          <w:tab w:leader="none" w:pos="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170" w:lineRule="exact"/>
        <w:rPr>
          <w:rFonts w:ascii="Arial" w:cs="Arial" w:eastAsia="Arial" w:hAnsi="Arial"/>
          <w:sz w:val="18"/>
          <w:szCs w:val="18"/>
          <w:color w:val="auto"/>
        </w:rPr>
      </w:pPr>
    </w:p>
    <w:p>
      <w:pPr>
        <w:ind w:right="300" w:firstLine="436"/>
        <w:spacing w:after="0" w:line="277" w:lineRule="auto"/>
        <w:tabs>
          <w:tab w:leader="none" w:pos="83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granted by a Subsidiary that is not a Loan Party in favor of the Borrower or another Loan Party in respect of Indebtedness owed by such Subsidiary;</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Liens arising by operation of law under Article 2 of the Uniform Commercial Code in favor of a reclaiming seller of goods or buyer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goods;</w:t>
      </w:r>
    </w:p>
    <w:p>
      <w:pPr>
        <w:spacing w:after="0" w:line="210" w:lineRule="exact"/>
        <w:rPr>
          <w:rFonts w:ascii="Arial" w:cs="Arial" w:eastAsia="Arial" w:hAnsi="Arial"/>
          <w:sz w:val="17"/>
          <w:szCs w:val="17"/>
          <w:color w:val="auto"/>
        </w:rPr>
      </w:pPr>
    </w:p>
    <w:p>
      <w:pPr>
        <w:ind w:right="20" w:firstLine="436"/>
        <w:spacing w:after="0" w:line="296" w:lineRule="auto"/>
        <w:tabs>
          <w:tab w:leader="none" w:pos="79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broker’s Liens, bankers’ Liens, rights of setoff and other similar Liens existing solely with respect to cash and Cash Equivalents on deposit in one or more accounts maintained by the Borrower or any Subsidiary, in each case, granted in the ordinary course of business in favor of the bank or banks with which such accounts are maintained, including any such Liens or rights of setoff securing amounts owing in the ordinary course of business to such bank with respect to cash management and operating account arrangements, including those involving pooled accounts and netting arrangements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aggregate amount of cash collateral under this clause (i) shall not exceed $3.0 million in the aggregate at any one time;</w:t>
      </w:r>
    </w:p>
    <w:p>
      <w:pPr>
        <w:spacing w:after="0" w:line="161" w:lineRule="exact"/>
        <w:rPr>
          <w:rFonts w:ascii="Arial" w:cs="Arial" w:eastAsia="Arial" w:hAnsi="Arial"/>
          <w:sz w:val="16"/>
          <w:szCs w:val="16"/>
          <w:color w:val="auto"/>
        </w:rPr>
      </w:pPr>
    </w:p>
    <w:p>
      <w:pPr>
        <w:ind w:right="40" w:firstLine="436"/>
        <w:spacing w:after="0" w:line="259" w:lineRule="auto"/>
        <w:tabs>
          <w:tab w:leader="none" w:pos="79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non-exclusive licenses of intellectual property or an assignment of, the right to commercialize intellectual property (including the rights to make, have made, use, sell, offer for sale and import intellectual property and any associated goodwill) and other licenses, sub-licenses and other similar encumbrances incurred in the ordinary course of business that do not materially detract from the value of the property subject thereto or materially interfere with the ordinary conduct of the business of the Borrower or any Subsidiary;</w:t>
      </w:r>
    </w:p>
    <w:p>
      <w:pPr>
        <w:spacing w:after="0" w:line="186" w:lineRule="exact"/>
        <w:rPr>
          <w:rFonts w:ascii="Arial" w:cs="Arial" w:eastAsia="Arial" w:hAnsi="Arial"/>
          <w:sz w:val="18"/>
          <w:szCs w:val="18"/>
          <w:color w:val="auto"/>
        </w:rPr>
      </w:pPr>
    </w:p>
    <w:p>
      <w:pPr>
        <w:ind w:left="820" w:hanging="384"/>
        <w:spacing w:after="0"/>
        <w:tabs>
          <w:tab w:leader="none" w:pos="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Liens on assets of Foreign Subsidiaries to secure Indebtedness of such Foreign Subsidiaries permitted under </w:t>
      </w:r>
      <w:r>
        <w:rPr>
          <w:rFonts w:ascii="Arial" w:cs="Arial" w:eastAsia="Arial" w:hAnsi="Arial"/>
          <w:sz w:val="18"/>
          <w:szCs w:val="18"/>
          <w:u w:val="single" w:color="auto"/>
          <w:color w:val="auto"/>
        </w:rPr>
        <w:t>Section 6.01(m)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20" w:firstLine="436"/>
        <w:spacing w:after="0" w:line="277" w:lineRule="auto"/>
        <w:tabs>
          <w:tab w:leader="none" w:pos="79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in the nature of the right of setoff in favor of counterparties to contractual agreements not otherwise prohibited hereunder with the Borrower or any other Subsidiary in the ordinary course of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89" w:name="page90"/>
    <w:bookmarkEnd w:id="89"/>
    <w:p>
      <w:pPr>
        <w:ind w:left="4" w:right="360" w:firstLine="436"/>
        <w:spacing w:after="0" w:line="263" w:lineRule="auto"/>
        <w:tabs>
          <w:tab w:leader="none" w:pos="884"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cash collateral to secure obligations of Borrower or any Subsidiary under any Swap Agreement (other than Swap Agreement Obligations) permitted under Section 6.06, so long as the aggregate amount of such cash collateral does not, as of any date of determination, exceed $3.0 million;</w:t>
      </w:r>
    </w:p>
    <w:p>
      <w:pPr>
        <w:spacing w:after="0" w:line="183" w:lineRule="exact"/>
        <w:rPr>
          <w:rFonts w:ascii="Arial" w:cs="Arial" w:eastAsia="Arial" w:hAnsi="Arial"/>
          <w:sz w:val="18"/>
          <w:szCs w:val="18"/>
          <w:color w:val="auto"/>
        </w:rPr>
      </w:pPr>
    </w:p>
    <w:p>
      <w:pPr>
        <w:ind w:left="4" w:right="320" w:firstLine="436"/>
        <w:spacing w:after="0" w:line="277" w:lineRule="auto"/>
        <w:tabs>
          <w:tab w:leader="none" w:pos="83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deemed to exist in connection with the sale or transfer of any assets in a transaction not prohibited hereunder, customary rights and restrictions contained in agreements relating to such sale or transfer pending the completion thereof;</w:t>
      </w:r>
    </w:p>
    <w:p>
      <w:pPr>
        <w:spacing w:after="0" w:line="170" w:lineRule="exact"/>
        <w:rPr>
          <w:rFonts w:ascii="Arial" w:cs="Arial" w:eastAsia="Arial" w:hAnsi="Arial"/>
          <w:sz w:val="18"/>
          <w:szCs w:val="18"/>
          <w:color w:val="auto"/>
        </w:rPr>
      </w:pPr>
    </w:p>
    <w:p>
      <w:pPr>
        <w:ind w:left="4" w:right="440" w:firstLine="436"/>
        <w:spacing w:after="0" w:line="277" w:lineRule="auto"/>
        <w:tabs>
          <w:tab w:leader="none" w:pos="83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securing Indebtedness to finance insurance premiums owing in the ordinary course of business to the extent such financing is not prohibited hereunder;</w:t>
      </w:r>
    </w:p>
    <w:p>
      <w:pPr>
        <w:spacing w:after="0" w:line="170" w:lineRule="exact"/>
        <w:rPr>
          <w:rFonts w:ascii="Arial" w:cs="Arial" w:eastAsia="Arial" w:hAnsi="Arial"/>
          <w:sz w:val="18"/>
          <w:szCs w:val="18"/>
          <w:color w:val="auto"/>
        </w:rPr>
      </w:pPr>
    </w:p>
    <w:p>
      <w:pPr>
        <w:ind w:left="4" w:firstLine="436"/>
        <w:spacing w:after="0" w:line="277" w:lineRule="auto"/>
        <w:tabs>
          <w:tab w:leader="none" w:pos="83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on cash or Cash Equivalents constituting earnest money deposits made by the Borrower or any Subsidiary in connection with any letter of intent or purchase agreement for a Permitted Acquisition; and</w:t>
      </w:r>
    </w:p>
    <w:p>
      <w:pPr>
        <w:spacing w:after="0" w:line="170" w:lineRule="exact"/>
        <w:rPr>
          <w:rFonts w:ascii="Arial" w:cs="Arial" w:eastAsia="Arial" w:hAnsi="Arial"/>
          <w:sz w:val="18"/>
          <w:szCs w:val="18"/>
          <w:color w:val="auto"/>
        </w:rPr>
      </w:pPr>
    </w:p>
    <w:p>
      <w:pPr>
        <w:ind w:left="824" w:hanging="384"/>
        <w:spacing w:after="0"/>
        <w:tabs>
          <w:tab w:leader="none" w:pos="8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other Liens in an aggregate amount not exceeding $10.0 million at any time outstanding.</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Notwithstanding anything herein to the contrary, neither the Borrower nor any of its Subsidiaries shall permit any consensual Lien in respect of any of its owned real property other than the Liens securing the Secured Obligations.</w:t>
      </w:r>
    </w:p>
    <w:p>
      <w:pPr>
        <w:spacing w:after="0" w:line="170"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225" w:lineRule="exact"/>
        <w:rPr>
          <w:sz w:val="20"/>
          <w:szCs w:val="20"/>
          <w:color w:val="auto"/>
        </w:rPr>
      </w:pPr>
    </w:p>
    <w:p>
      <w:pPr>
        <w:ind w:left="4" w:right="40" w:firstLine="436"/>
        <w:spacing w:after="0" w:line="284" w:lineRule="auto"/>
        <w:tabs>
          <w:tab w:leader="none" w:pos="824" w:val="left"/>
        </w:tabs>
        <w:numPr>
          <w:ilvl w:val="1"/>
          <w:numId w:val="110"/>
        </w:numPr>
        <w:rPr>
          <w:rFonts w:ascii="Arial" w:cs="Arial" w:eastAsia="Arial" w:hAnsi="Arial"/>
          <w:sz w:val="16"/>
          <w:szCs w:val="16"/>
          <w:color w:val="auto"/>
        </w:rPr>
      </w:pPr>
      <w:r>
        <w:rPr>
          <w:rFonts w:ascii="Arial" w:cs="Arial" w:eastAsia="Arial" w:hAnsi="Arial"/>
          <w:sz w:val="16"/>
          <w:szCs w:val="16"/>
          <w:color w:val="auto"/>
        </w:rPr>
        <w:t>No Loan Party will, nor will it permit any Subsidiary to, merge into or consolidate with any other Person, or permit any other Person to merge into or consolidate with it, consummate a Division as the Dividing Person, or otherwise sell, transfer, lease or otherwise dispose of (in one transaction or in a series of transactions)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corporation, (ii) any Subsidiary may merge into any Loan Party in a transaction in which the surviving entity is a Loan Party,</w:t>
      </w:r>
    </w:p>
    <w:p>
      <w:pPr>
        <w:spacing w:after="0" w:line="4" w:lineRule="exact"/>
        <w:rPr>
          <w:rFonts w:ascii="Arial" w:cs="Arial" w:eastAsia="Arial" w:hAnsi="Arial"/>
          <w:sz w:val="16"/>
          <w:szCs w:val="16"/>
          <w:color w:val="auto"/>
        </w:rPr>
      </w:pPr>
    </w:p>
    <w:p>
      <w:pPr>
        <w:ind w:left="4" w:hanging="4"/>
        <w:spacing w:after="0" w:line="267" w:lineRule="auto"/>
        <w:tabs>
          <w:tab w:leader="none" w:pos="31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any Person may merge into any Loan Party or any of its Subsidiaries in connection with a Permitted Acquisition or any Investment permitted under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so long as, in the case of a merger involving any Loan Party, such Loan Party is the surviving entity (or the surviving entity becomes a Loan Party in accordance with this Agreement), (iv) the Borrower or any Subsidiary may sell, transfer, lease or otherwise dispose of its assets to the Borrower or to a Loan Party, (v) any Subsidiary that is not a Loan Party may merge into any other Subsidiary that is not a Loan Party, (vi) any Subsidiary that is a Loan Party may consummate a Division as the Dividing Person if, immediately upon the consummation of the Division, the assets of the applicable Dividing Person are held by one or more Loan Parties at such time and the applicable parties shall have complied with the obligations set forth in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and each of the other further assurances obligations set forth in the Loan Documents and (vii) any Subsidiary may liquidate or dissolve if the Borrower reasonably determines in good faith that such liquidation or dissolution is in the best interests of the Borrower and its Subsidiaries, and is not materially disadvantageous to the Lenders and, in the case of a Loan Party, its assets are transferred to another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merger involving a Person that is not a wholly owned Subsidiary immediately prior to such merger shall not be permitted unless also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Notwithstanding the foregoing, any Disposition permitted by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shall be permitted under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(including any Disposition by way of merger or consolidation of a Subsidiary into another Person).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4"/>
          </w:cols>
          <w:pgMar w:left="436" w:top="274" w:right="459" w:bottom="1440" w:gutter="0" w:footer="0" w:header="0"/>
        </w:sectPr>
      </w:pPr>
    </w:p>
    <w:bookmarkStart w:id="90" w:name="page91"/>
    <w:bookmarkEnd w:id="90"/>
    <w:p>
      <w:pPr>
        <w:ind w:right="3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in the foregoing, each Loan Party and each of its Subsidiaries shall be permitted to enter into an agreement to effect any transaction of merger or consolidation that is not otherwise permitted under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at a future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shall be conditioned on (i) obtaining requisite approvals permitting the respective transaction (and any related financing or other transactions) in accordance with the requirements of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or (ii) Payment in Full.</w:t>
      </w:r>
    </w:p>
    <w:p>
      <w:pPr>
        <w:spacing w:after="0" w:line="171" w:lineRule="exact"/>
        <w:rPr>
          <w:sz w:val="20"/>
          <w:szCs w:val="20"/>
          <w:color w:val="auto"/>
        </w:rPr>
      </w:pPr>
    </w:p>
    <w:p>
      <w:pPr>
        <w:ind w:right="40" w:firstLine="436"/>
        <w:spacing w:after="0" w:line="286" w:lineRule="auto"/>
        <w:tabs>
          <w:tab w:leader="none" w:pos="83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 Loan Party will, nor will it permit any of its Subsidiaries to, engage to any material extent in any business other than businesses of the type conducted by the Borrower and its Subsidiaries on the date of execution of this Agreement and businesses which are, in the good faith judgment of the Borrower, similar, complementary or substantially related thereto or are reasonable extensions thereof.</w:t>
      </w:r>
    </w:p>
    <w:p>
      <w:pPr>
        <w:spacing w:after="0" w:line="1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No Loan Party will, nor will it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(each such action, an “</w:t>
      </w:r>
      <w:r>
        <w:rPr>
          <w:rFonts w:ascii="Arial" w:cs="Arial" w:eastAsia="Arial" w:hAnsi="Arial"/>
          <w:sz w:val="18"/>
          <w:szCs w:val="18"/>
          <w:u w:val="single" w:color="auto"/>
          <w:color w:val="auto"/>
        </w:rPr>
        <w:t>Investment</w:t>
      </w:r>
      <w:r>
        <w:rPr>
          <w:rFonts w:ascii="Arial" w:cs="Arial" w:eastAsia="Arial" w:hAnsi="Arial"/>
          <w:sz w:val="18"/>
          <w:szCs w:val="18"/>
          <w:color w:val="auto"/>
        </w:rPr>
        <w:t>”), except:</w:t>
      </w:r>
    </w:p>
    <w:p>
      <w:pPr>
        <w:spacing w:after="0" w:line="192" w:lineRule="exact"/>
        <w:rPr>
          <w:sz w:val="20"/>
          <w:szCs w:val="20"/>
          <w:color w:val="auto"/>
        </w:rPr>
      </w:pPr>
    </w:p>
    <w:p>
      <w:pPr>
        <w:ind w:left="820" w:hanging="384"/>
        <w:spacing w:after="0"/>
        <w:tabs>
          <w:tab w:leader="none" w:pos="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right="280" w:firstLine="436"/>
        <w:spacing w:after="0" w:line="263" w:lineRule="auto"/>
        <w:tabs>
          <w:tab w:leader="none" w:pos="8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investments in existence on the date of this Agreement and described in </w:t>
      </w:r>
      <w:r>
        <w:rPr>
          <w:rFonts w:ascii="Arial" w:cs="Arial" w:eastAsia="Arial" w:hAnsi="Arial"/>
          <w:sz w:val="18"/>
          <w:szCs w:val="18"/>
          <w:u w:val="single" w:color="auto"/>
          <w:color w:val="auto"/>
        </w:rPr>
        <w:t>Schedule 6.04</w:t>
      </w:r>
      <w:r>
        <w:rPr>
          <w:rFonts w:ascii="Arial" w:cs="Arial" w:eastAsia="Arial" w:hAnsi="Arial"/>
          <w:sz w:val="18"/>
          <w:szCs w:val="18"/>
          <w:color w:val="auto"/>
        </w:rPr>
        <w:t xml:space="preserve"> and any modification, replacement, renewal, reinvestment or extension thereof; provided, that the amount of the original Investment is not increased except by the terms of such Investment or as otherwise permitted by this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60" w:firstLine="436"/>
        <w:spacing w:after="0" w:line="271" w:lineRule="auto"/>
        <w:tabs>
          <w:tab w:leader="none" w:pos="8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investments by the Borrower and its Subsidiaries in the capital stock of their respective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investments (together with the aggregate amount of loans and advances described in </w:t>
      </w:r>
      <w:r>
        <w:rPr>
          <w:rFonts w:ascii="Arial" w:cs="Arial" w:eastAsia="Arial" w:hAnsi="Arial"/>
          <w:sz w:val="17"/>
          <w:szCs w:val="17"/>
          <w:u w:val="single" w:color="auto"/>
          <w:color w:val="auto"/>
        </w:rPr>
        <w:t>Section 6.04(d)</w:t>
      </w:r>
      <w:r>
        <w:rPr>
          <w:rFonts w:ascii="Arial" w:cs="Arial" w:eastAsia="Arial" w:hAnsi="Arial"/>
          <w:sz w:val="17"/>
          <w:szCs w:val="17"/>
          <w:color w:val="auto"/>
        </w:rPr>
        <w:t xml:space="preserve"> (excluding any amounts relating to the processing of payments on the Borrower’s and its Subsidiaries’ payments platform and any intercompany accounts payable in connection therewith) and amounts described in </w:t>
      </w:r>
      <w:r>
        <w:rPr>
          <w:rFonts w:ascii="Arial" w:cs="Arial" w:eastAsia="Arial" w:hAnsi="Arial"/>
          <w:sz w:val="17"/>
          <w:szCs w:val="17"/>
          <w:u w:val="single" w:color="auto"/>
          <w:color w:val="auto"/>
        </w:rPr>
        <w:t>Section 6.04(l)(iv)</w:t>
      </w:r>
      <w:r>
        <w:rPr>
          <w:rFonts w:ascii="Arial" w:cs="Arial" w:eastAsia="Arial" w:hAnsi="Arial"/>
          <w:sz w:val="17"/>
          <w:szCs w:val="17"/>
          <w:color w:val="auto"/>
        </w:rPr>
        <w:t xml:space="preserve"> or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of the definition of “Permitted Acquisition”), as of any date of determination, made by the Borrower or the other Loan Parties in the capital stock of their respective Subsidiaries who are not Loan Parties does not at any time exceed an amount equal to $10.0 million (with the amount of any such investments being the original cost of such investment, less all repayments, returns, dividends and distributions, in each case received in cash in respect of such investment and less all liabilities effectively assumed by a person other than any Loan Party or any Subsidiary thereof in connection with the sale of any such investment);</w:t>
      </w:r>
    </w:p>
    <w:p>
      <w:pPr>
        <w:spacing w:after="0" w:line="178" w:lineRule="exact"/>
        <w:rPr>
          <w:rFonts w:ascii="Arial" w:cs="Arial" w:eastAsia="Arial" w:hAnsi="Arial"/>
          <w:sz w:val="17"/>
          <w:szCs w:val="17"/>
          <w:color w:val="auto"/>
        </w:rPr>
      </w:pPr>
    </w:p>
    <w:p>
      <w:pPr>
        <w:ind w:firstLine="436"/>
        <w:spacing w:after="0" w:line="285" w:lineRule="auto"/>
        <w:tabs>
          <w:tab w:leader="none" w:pos="83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loans or advances made by the Borrower or any of its Subsidiaries to the Borrower or any other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loans and advances, excluding any amounts relating to the processing of payments on the Borrower’s and its Subsidiaries’ payments platform and any intercompany accounts payable in connection therewith, together with the aggregate amount of investments described in </w:t>
      </w:r>
      <w:r>
        <w:rPr>
          <w:rFonts w:ascii="Arial" w:cs="Arial" w:eastAsia="Arial" w:hAnsi="Arial"/>
          <w:sz w:val="16"/>
          <w:szCs w:val="16"/>
          <w:u w:val="single" w:color="auto"/>
          <w:color w:val="auto"/>
        </w:rPr>
        <w:t>Section 6.04(c)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6.04(l)(iv)</w:t>
      </w:r>
      <w:r>
        <w:rPr>
          <w:rFonts w:ascii="Arial" w:cs="Arial" w:eastAsia="Arial" w:hAnsi="Arial"/>
          <w:sz w:val="16"/>
          <w:szCs w:val="16"/>
          <w:color w:val="auto"/>
        </w:rPr>
        <w:t xml:space="preserve"> and amounts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of the definition of “Permitted Acquisition”, made by the Borrower or the other Loan Parties to Subsidiaries who are not Loan Parties that are at any time outstanding does not, as of any date of determination, exceed an amount equal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 million;</w:t>
      </w:r>
    </w:p>
    <w:p>
      <w:pPr>
        <w:spacing w:after="0" w:line="210" w:lineRule="exact"/>
        <w:rPr>
          <w:rFonts w:ascii="Arial" w:cs="Arial" w:eastAsia="Arial" w:hAnsi="Arial"/>
          <w:sz w:val="16"/>
          <w:szCs w:val="16"/>
          <w:color w:val="auto"/>
        </w:rPr>
      </w:pPr>
    </w:p>
    <w:p>
      <w:pPr>
        <w:ind w:right="160" w:firstLine="436"/>
        <w:spacing w:after="0" w:line="277" w:lineRule="auto"/>
        <w:tabs>
          <w:tab w:leader="none" w:pos="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Guarantees constituting Indebtedness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guarantees of ordinary course commercial obligations not constituting Indebtedness;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440" w:top="274" w:right="499" w:bottom="1440" w:gutter="0" w:footer="0" w:header="0"/>
        </w:sectPr>
      </w:pPr>
    </w:p>
    <w:bookmarkStart w:id="91" w:name="page92"/>
    <w:bookmarkEnd w:id="91"/>
    <w:p>
      <w:pPr>
        <w:ind w:right="120" w:firstLine="436"/>
        <w:spacing w:after="0" w:line="263" w:lineRule="auto"/>
        <w:tabs>
          <w:tab w:leader="none" w:pos="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Permitted Acquisitions and (ii) Investments of any Person in existence at the time such Person becomes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Investment was not made in connection with or anticipation of such Person becoming a Subsidiary and any modification, replacement, renewal or extension thereof;</w:t>
      </w:r>
    </w:p>
    <w:p>
      <w:pPr>
        <w:spacing w:after="0" w:line="183" w:lineRule="exact"/>
        <w:rPr>
          <w:rFonts w:ascii="Arial" w:cs="Arial" w:eastAsia="Arial" w:hAnsi="Arial"/>
          <w:sz w:val="18"/>
          <w:szCs w:val="18"/>
          <w:color w:val="auto"/>
        </w:rPr>
      </w:pPr>
    </w:p>
    <w:p>
      <w:pPr>
        <w:ind w:right="280" w:firstLine="436"/>
        <w:spacing w:after="0" w:line="263" w:lineRule="auto"/>
        <w:tabs>
          <w:tab w:leader="none" w:pos="8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loans and advances to employees of the Borrower or any Subsidiaries in the ordinary course of business to finance the purchase of Equity Interests (other than Disqualified Equity Interests) of the Borrower in an aggregate amount for the Borrower and its Subsidiaries not to exceed $5,000,000 at any time outstanding;</w:t>
      </w:r>
    </w:p>
    <w:p>
      <w:pPr>
        <w:spacing w:after="0" w:line="183" w:lineRule="exact"/>
        <w:rPr>
          <w:rFonts w:ascii="Arial" w:cs="Arial" w:eastAsia="Arial" w:hAnsi="Arial"/>
          <w:sz w:val="18"/>
          <w:szCs w:val="18"/>
          <w:color w:val="auto"/>
        </w:rPr>
      </w:pPr>
    </w:p>
    <w:p>
      <w:pPr>
        <w:ind w:right="160" w:firstLine="436"/>
        <w:spacing w:after="0" w:line="277" w:lineRule="auto"/>
        <w:tabs>
          <w:tab w:leader="none" w:pos="8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any Person or in settlement of obligations of, or disputes with, any Person arising in the ordinary course of business;</w:t>
      </w:r>
    </w:p>
    <w:p>
      <w:pPr>
        <w:spacing w:after="0" w:line="170" w:lineRule="exact"/>
        <w:rPr>
          <w:rFonts w:ascii="Arial" w:cs="Arial" w:eastAsia="Arial" w:hAnsi="Arial"/>
          <w:sz w:val="18"/>
          <w:szCs w:val="18"/>
          <w:color w:val="auto"/>
        </w:rPr>
      </w:pPr>
    </w:p>
    <w:p>
      <w:pPr>
        <w:ind w:left="780" w:hanging="344"/>
        <w:spacing w:after="0"/>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Swap Agreements permitted by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436"/>
        <w:spacing w:after="0" w:line="277" w:lineRule="auto"/>
        <w:tabs>
          <w:tab w:leader="none" w:pos="79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the extent constituting investments, performance guarantees of obligations of the Borrower’s Subsidiaries in the ordinary course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ind w:firstLine="436"/>
        <w:spacing w:after="0" w:line="288" w:lineRule="auto"/>
        <w:tabs>
          <w:tab w:leader="none" w:pos="79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other Investments by the Borrower or any of its Subsidiaries so long as, (i) no Event of Default has occurred and is continuing or would result therefrom, (ii) after giving effect to such Investment (including the incurrence, assumption or acquisition of any Indebtedness in connection therewith) the Borrower shall be in pro forma compliance with an Adjusted Quick Ratio of not less than 1.50 to 1.00 for the most recently ended Reference Period for which financial statements have been (or were required to be) delivered to the Administrative Agent and the Borrower shall have delivered to the Administrative Agent reasonably detailed calculations demonstrating such compliance, (iii) either (A) both before and after giving effect to such Investment, the Liquidity of the Borrower and its Subsidiaries is greater than $125.0 million or (B) the aggregate amount of all such Investments that do not satisfy sub-clause (iii)(A) (together with the aggregate amount of Acquisitions described in sub-clause (g)(ii)(B) of the definition of “Permitted Acquisitions”) does not exceed $20.0 million in any fiscal year and (iv) the aggregate amount of all such Investments in any Persons that are not or which do not become Loan Guarantors (together with the aggregate amount of investments, loans or advances described in </w:t>
      </w:r>
      <w:r>
        <w:rPr>
          <w:rFonts w:ascii="Arial" w:cs="Arial" w:eastAsia="Arial" w:hAnsi="Arial"/>
          <w:sz w:val="16"/>
          <w:szCs w:val="16"/>
          <w:u w:val="single" w:color="auto"/>
          <w:color w:val="auto"/>
        </w:rPr>
        <w:t>Sections 6.04(c)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amounts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of the definition of “Permitted Acquisition”) shall not exceed $10.0 million in the aggregate;</w:t>
      </w:r>
    </w:p>
    <w:p>
      <w:pPr>
        <w:spacing w:after="0" w:line="168" w:lineRule="exact"/>
        <w:rPr>
          <w:rFonts w:ascii="Arial" w:cs="Arial" w:eastAsia="Arial" w:hAnsi="Arial"/>
          <w:sz w:val="16"/>
          <w:szCs w:val="16"/>
          <w:color w:val="auto"/>
        </w:rPr>
      </w:pPr>
    </w:p>
    <w:p>
      <w:pPr>
        <w:ind w:left="880" w:hanging="444"/>
        <w:spacing w:after="0"/>
        <w:tabs>
          <w:tab w:leader="none" w:pos="8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Investments made as a result of the receipt of non-cash consideration from Disposition, of any asset in compliance with </w:t>
      </w:r>
      <w:r>
        <w:rPr>
          <w:rFonts w:ascii="Arial" w:cs="Arial" w:eastAsia="Arial" w:hAnsi="Arial"/>
          <w:sz w:val="17"/>
          <w:szCs w:val="17"/>
          <w:u w:val="single" w:color="auto"/>
          <w:color w:val="auto"/>
        </w:rPr>
        <w:t>Section 6.05</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right="100" w:firstLine="436"/>
        <w:spacing w:after="0" w:line="263" w:lineRule="auto"/>
        <w:tabs>
          <w:tab w:leader="none" w:pos="8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payroll, travel and similar advances to directors and employees of the Borrower or any Subsidiary to cover matters that are expected at the time of such advances to be treated as expenses of the Borrower or such Subsidiary for accounting purposes and that are made in the ordinary course of business;</w:t>
      </w:r>
    </w:p>
    <w:p>
      <w:pPr>
        <w:spacing w:after="0" w:line="183" w:lineRule="exact"/>
        <w:rPr>
          <w:rFonts w:ascii="Arial" w:cs="Arial" w:eastAsia="Arial" w:hAnsi="Arial"/>
          <w:sz w:val="18"/>
          <w:szCs w:val="18"/>
          <w:color w:val="auto"/>
        </w:rPr>
      </w:pPr>
    </w:p>
    <w:p>
      <w:pPr>
        <w:ind w:right="60" w:firstLine="436"/>
        <w:spacing w:after="0" w:line="277" w:lineRule="auto"/>
        <w:tabs>
          <w:tab w:leader="none" w:pos="8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in addition to investments otherwise expressly permitted by this </w:t>
      </w:r>
      <w:r>
        <w:rPr>
          <w:rFonts w:ascii="Arial" w:cs="Arial" w:eastAsia="Arial" w:hAnsi="Arial"/>
          <w:sz w:val="18"/>
          <w:szCs w:val="18"/>
          <w:u w:val="single" w:color="auto"/>
          <w:color w:val="auto"/>
        </w:rPr>
        <w:t>Section 6.04</w:t>
      </w:r>
      <w:r>
        <w:rPr>
          <w:rFonts w:ascii="Arial" w:cs="Arial" w:eastAsia="Arial" w:hAnsi="Arial"/>
          <w:sz w:val="18"/>
          <w:szCs w:val="18"/>
          <w:color w:val="auto"/>
        </w:rPr>
        <w:t>, investments, loans and advances by the Borrower or any of its Subsidiaries in an aggregate amount (valued at cost) not to exceed $10.0 million during the term of this Agreement;</w:t>
      </w:r>
    </w:p>
    <w:p>
      <w:pPr>
        <w:spacing w:after="0" w:line="170" w:lineRule="exact"/>
        <w:rPr>
          <w:rFonts w:ascii="Arial" w:cs="Arial" w:eastAsia="Arial" w:hAnsi="Arial"/>
          <w:sz w:val="18"/>
          <w:szCs w:val="18"/>
          <w:color w:val="auto"/>
        </w:rPr>
      </w:pPr>
    </w:p>
    <w:p>
      <w:pPr>
        <w:ind w:right="660" w:firstLine="436"/>
        <w:spacing w:after="0" w:line="263" w:lineRule="auto"/>
        <w:tabs>
          <w:tab w:leader="none" w:pos="8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the extent categorized as an investment, contingent chargeback obligations arising from the Borrower or its Subsidiaries acting as “merchant of record” under applicable credit card payment processes, as incurred in the ordinary course of business of the Borrower and its Subsidiaries;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92" w:name="page93"/>
    <w:bookmarkEnd w:id="92"/>
    <w:p>
      <w:pPr>
        <w:ind w:right="100" w:firstLine="436"/>
        <w:spacing w:after="0" w:line="263" w:lineRule="auto"/>
        <w:tabs>
          <w:tab w:leader="none" w:pos="8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by Borrower in Foreign Subsidiaries, in the ordinary course of business, for ordinary, current and necessary operating expenses that are reasonably expected to be due and payable within thirty (30) days of any such Investment, so long as no Event of Default exists at the time of such investment and would not exist after giving effect to any such investment.</w:t>
      </w:r>
    </w:p>
    <w:p>
      <w:pPr>
        <w:spacing w:after="0" w:line="1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Asset Dispositions; Sale and Leaseback Transactions</w:t>
      </w:r>
      <w:r>
        <w:rPr>
          <w:rFonts w:ascii="Arial" w:cs="Arial" w:eastAsia="Arial" w:hAnsi="Arial"/>
          <w:sz w:val="16"/>
          <w:szCs w:val="16"/>
          <w:color w:val="auto"/>
        </w:rPr>
        <w:t>.</w:t>
      </w:r>
    </w:p>
    <w:p>
      <w:pPr>
        <w:spacing w:after="0" w:line="225" w:lineRule="exact"/>
        <w:rPr>
          <w:sz w:val="20"/>
          <w:szCs w:val="20"/>
          <w:color w:val="auto"/>
        </w:rPr>
      </w:pPr>
    </w:p>
    <w:p>
      <w:pPr>
        <w:ind w:left="820" w:hanging="384"/>
        <w:spacing w:after="0"/>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make any Disposition except:</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Dispositions of obsolete or worn out property, whether now owned or hereafter acquired, in the ordinary course of business;</w:t>
      </w:r>
    </w:p>
    <w:p>
      <w:pPr>
        <w:spacing w:after="0" w:line="128" w:lineRule="exact"/>
        <w:rPr>
          <w:rFonts w:ascii="Arial" w:cs="Arial" w:eastAsia="Arial" w:hAnsi="Arial"/>
          <w:sz w:val="17"/>
          <w:szCs w:val="17"/>
          <w:color w:val="auto"/>
        </w:rPr>
      </w:pPr>
    </w:p>
    <w:p>
      <w:pPr>
        <w:ind w:left="1260" w:hanging="401"/>
        <w:spacing w:after="0"/>
        <w:tabs>
          <w:tab w:leader="none" w:pos="12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117" w:lineRule="exact"/>
        <w:rPr>
          <w:rFonts w:ascii="Arial" w:cs="Arial" w:eastAsia="Arial" w:hAnsi="Arial"/>
          <w:sz w:val="18"/>
          <w:szCs w:val="18"/>
          <w:color w:val="auto"/>
        </w:rPr>
      </w:pPr>
    </w:p>
    <w:p>
      <w:pPr>
        <w:ind w:left="440" w:right="220" w:firstLine="419"/>
        <w:spacing w:after="0" w:line="263" w:lineRule="auto"/>
        <w:tabs>
          <w:tab w:leader="none" w:pos="131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non-exclusive licenses of intellectual property or an assignment of, the right to commercialize intellectual property (including the rights to make, have made, use, sell, offer for sale and import intellectual property and any associated goodwill) and other licenses, sub-licenses and other similar arrangements entered into in the ordinary course of business;</w:t>
      </w:r>
    </w:p>
    <w:p>
      <w:pPr>
        <w:spacing w:after="0" w:line="75" w:lineRule="exact"/>
        <w:rPr>
          <w:rFonts w:ascii="Arial" w:cs="Arial" w:eastAsia="Arial" w:hAnsi="Arial"/>
          <w:sz w:val="18"/>
          <w:szCs w:val="18"/>
          <w:color w:val="auto"/>
        </w:rPr>
      </w:pPr>
    </w:p>
    <w:p>
      <w:pPr>
        <w:jc w:val="both"/>
        <w:ind w:left="440" w:right="220" w:firstLine="419"/>
        <w:spacing w:after="0" w:line="263" w:lineRule="auto"/>
        <w:tabs>
          <w:tab w:leader="none" w:pos="130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Dispositions of equipment or real property to the extent that (A) such property is exchanged for credit against the purchase price of similar replacement property or (B) the proceeds of such Disposition are reasonably promptly applied to the purchase price of such replacement property;</w:t>
      </w:r>
    </w:p>
    <w:p>
      <w:pPr>
        <w:spacing w:after="0" w:line="75" w:lineRule="exact"/>
        <w:rPr>
          <w:rFonts w:ascii="Arial" w:cs="Arial" w:eastAsia="Arial" w:hAnsi="Arial"/>
          <w:sz w:val="18"/>
          <w:szCs w:val="18"/>
          <w:color w:val="auto"/>
        </w:rPr>
      </w:pPr>
    </w:p>
    <w:p>
      <w:pPr>
        <w:ind w:left="440" w:right="260" w:firstLine="419"/>
        <w:spacing w:after="0" w:line="311" w:lineRule="auto"/>
        <w:tabs>
          <w:tab w:leader="none" w:pos="125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Dispositions of property (A) by the Borrower or any Subsidiary to a Loan Party or (B) by any Subsidiary of Borrower that is not a Loan Party to Borrower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property is subject to any Lien under any Collateral Document prior to any such Disposition, such property shall remain subject to valid and perfected Liens under the Collateral Documents after such Disposition;</w:t>
      </w:r>
    </w:p>
    <w:p>
      <w:pPr>
        <w:spacing w:after="0" w:line="40" w:lineRule="exact"/>
        <w:rPr>
          <w:rFonts w:ascii="Arial" w:cs="Arial" w:eastAsia="Arial" w:hAnsi="Arial"/>
          <w:sz w:val="16"/>
          <w:szCs w:val="16"/>
          <w:color w:val="auto"/>
        </w:rPr>
      </w:pPr>
    </w:p>
    <w:p>
      <w:pPr>
        <w:ind w:left="1300" w:hanging="441"/>
        <w:spacing w:after="0"/>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Sections 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6.05(b)</w:t>
      </w:r>
      <w:r>
        <w:rPr>
          <w:rFonts w:ascii="Arial" w:cs="Arial" w:eastAsia="Arial" w:hAnsi="Arial"/>
          <w:sz w:val="18"/>
          <w:szCs w:val="18"/>
          <w:color w:val="auto"/>
        </w:rPr>
        <w:t xml:space="preserve">, </w:t>
      </w:r>
      <w:r>
        <w:rPr>
          <w:rFonts w:ascii="Arial" w:cs="Arial" w:eastAsia="Arial" w:hAnsi="Arial"/>
          <w:sz w:val="18"/>
          <w:szCs w:val="18"/>
          <w:u w:val="single" w:color="auto"/>
          <w:color w:val="auto"/>
        </w:rPr>
        <w:t>6.07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6.08</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40" w:hanging="481"/>
        <w:spacing w:after="0"/>
        <w:tabs>
          <w:tab w:leader="none" w:pos="13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Dispositions of overdue accounts receivable solely in connection with the collection or compromise thereof;</w:t>
      </w:r>
    </w:p>
    <w:p>
      <w:pPr>
        <w:spacing w:after="0" w:line="117" w:lineRule="exact"/>
        <w:rPr>
          <w:rFonts w:ascii="Arial" w:cs="Arial" w:eastAsia="Arial" w:hAnsi="Arial"/>
          <w:sz w:val="18"/>
          <w:szCs w:val="18"/>
          <w:color w:val="auto"/>
        </w:rPr>
      </w:pPr>
    </w:p>
    <w:p>
      <w:pPr>
        <w:ind w:left="440" w:right="720" w:firstLine="419"/>
        <w:spacing w:after="0" w:line="277" w:lineRule="auto"/>
        <w:tabs>
          <w:tab w:leader="none" w:pos="140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Dispositions pursuant to operating leases (not in connection with any sale and leaseback transactions or other Capital Lease Obligations) entered into in the ordinary course of business;</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Dispositions of property and assets subject to condemnation and casualty events;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Dispositions of cash and Cash Equivalents in the ordinary course of business; and</w:t>
      </w:r>
    </w:p>
    <w:p>
      <w:pPr>
        <w:spacing w:after="0" w:line="117" w:lineRule="exact"/>
        <w:rPr>
          <w:rFonts w:ascii="Arial" w:cs="Arial" w:eastAsia="Arial" w:hAnsi="Arial"/>
          <w:sz w:val="18"/>
          <w:szCs w:val="18"/>
          <w:color w:val="auto"/>
        </w:rPr>
      </w:pPr>
    </w:p>
    <w:p>
      <w:pPr>
        <w:jc w:val="both"/>
        <w:ind w:left="440" w:firstLine="419"/>
        <w:spacing w:after="0" w:line="311" w:lineRule="auto"/>
        <w:tabs>
          <w:tab w:leader="none" w:pos="130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Dispositions by Borrower and any Subsidiary not otherwise permitted under this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at the time of such Disposition, no Default shall exist or would result from such Disposition, (B) such Disposition is made for fair market value and (C) the aggregate fair market value or book value of all property Disposed of in reliance on this </w:t>
      </w:r>
      <w:r>
        <w:rPr>
          <w:rFonts w:ascii="Arial" w:cs="Arial" w:eastAsia="Arial" w:hAnsi="Arial"/>
          <w:sz w:val="16"/>
          <w:szCs w:val="16"/>
          <w:u w:val="single" w:color="auto"/>
          <w:color w:val="auto"/>
        </w:rPr>
        <w:t>subclause (xi)</w:t>
      </w:r>
      <w:r>
        <w:rPr>
          <w:rFonts w:ascii="Arial" w:cs="Arial" w:eastAsia="Arial" w:hAnsi="Arial"/>
          <w:sz w:val="16"/>
          <w:szCs w:val="16"/>
          <w:color w:val="auto"/>
        </w:rPr>
        <w:t xml:space="preserve"> in any fiscal year shall not exceed $5.0 million;</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Disposition pursuant to </w:t>
      </w:r>
      <w:r>
        <w:rPr>
          <w:rFonts w:ascii="Arial" w:cs="Arial" w:eastAsia="Arial" w:hAnsi="Arial"/>
          <w:sz w:val="18"/>
          <w:szCs w:val="18"/>
          <w:u w:val="single" w:color="auto"/>
          <w:color w:val="auto"/>
        </w:rPr>
        <w:t>Section 6.05(a)(i)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6.05(a)(vi)</w:t>
      </w:r>
      <w:r>
        <w:rPr>
          <w:rFonts w:ascii="Arial" w:cs="Arial" w:eastAsia="Arial" w:hAnsi="Arial"/>
          <w:sz w:val="18"/>
          <w:szCs w:val="18"/>
          <w:color w:val="auto"/>
        </w:rPr>
        <w:t xml:space="preserve"> (except insofar as it relates to any transaction solely between the Borrower and any Subsidiary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3" w:name="page94"/>
    <w:bookmarkEnd w:id="93"/>
    <w:p>
      <w:pPr>
        <w:ind w:right="4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6.05(a)(vii)</w:t>
      </w:r>
      <w:r>
        <w:rPr>
          <w:rFonts w:ascii="Arial" w:cs="Arial" w:eastAsia="Arial" w:hAnsi="Arial"/>
          <w:sz w:val="18"/>
          <w:szCs w:val="18"/>
          <w:color w:val="auto"/>
        </w:rPr>
        <w:t xml:space="preserve"> (except to the extent determined by the applicable Person making such Disposition in good faith to be appropriate in accordance with its usual practice) and </w:t>
      </w:r>
      <w:r>
        <w:rPr>
          <w:rFonts w:ascii="Arial" w:cs="Arial" w:eastAsia="Arial" w:hAnsi="Arial"/>
          <w:sz w:val="18"/>
          <w:szCs w:val="18"/>
          <w:u w:val="single" w:color="auto"/>
          <w:color w:val="auto"/>
        </w:rPr>
        <w:t>Section 6.05(a)(xi)</w:t>
      </w:r>
      <w:r>
        <w:rPr>
          <w:rFonts w:ascii="Arial" w:cs="Arial" w:eastAsia="Arial" w:hAnsi="Arial"/>
          <w:sz w:val="18"/>
          <w:szCs w:val="18"/>
          <w:color w:val="auto"/>
        </w:rPr>
        <w:t xml:space="preserve"> shall be for fair market value.</w:t>
      </w:r>
    </w:p>
    <w:p>
      <w:pPr>
        <w:spacing w:after="0" w:line="170" w:lineRule="exact"/>
        <w:rPr>
          <w:sz w:val="20"/>
          <w:szCs w:val="20"/>
          <w:color w:val="auto"/>
        </w:rPr>
      </w:pPr>
    </w:p>
    <w:p>
      <w:pPr>
        <w:ind w:firstLine="436"/>
        <w:spacing w:after="0" w:line="255" w:lineRule="auto"/>
        <w:tabs>
          <w:tab w:leader="none" w:pos="8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enter into any arrangement, directly or indirectly, whereby it shall sell or transfer any owned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newly acquired fixed or capital assets by the Borrower or any Subsidiary that is made for cash consideration in an amount not less than the purchase price of such fixed or capital asset and is consummated within ninety (90) days after the completion of the acquisition or construction of such fixed or capital asset.</w:t>
      </w:r>
    </w:p>
    <w:p>
      <w:pPr>
        <w:spacing w:after="0" w:line="192" w:lineRule="exact"/>
        <w:rPr>
          <w:sz w:val="20"/>
          <w:szCs w:val="20"/>
          <w:color w:val="auto"/>
        </w:rPr>
      </w:pPr>
    </w:p>
    <w:p>
      <w:pPr>
        <w:jc w:val="both"/>
        <w:ind w:right="160" w:firstLine="440"/>
        <w:spacing w:after="0" w:line="275"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Swap Agreements</w:t>
      </w:r>
      <w:r>
        <w:rPr>
          <w:rFonts w:ascii="Arial" w:cs="Arial" w:eastAsia="Arial" w:hAnsi="Arial"/>
          <w:sz w:val="17"/>
          <w:szCs w:val="17"/>
          <w:color w:val="auto"/>
        </w:rPr>
        <w:t>. No Loan Party will, nor will it permit any Subsidiary to, enter into any Swap Agreement, except (a) Swap Agreements entered into to hedge or mitigate risks (including foreign currency exchange risks) to which the Borrower or any Subsidiary has actual or reasonably anticipated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spacing w:after="0" w:line="17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Restricted Payments; Prepayments of Junior Debt</w:t>
      </w:r>
      <w:r>
        <w:rPr>
          <w:rFonts w:ascii="Arial" w:cs="Arial" w:eastAsia="Arial" w:hAnsi="Arial"/>
          <w:sz w:val="16"/>
          <w:szCs w:val="16"/>
          <w:color w:val="auto"/>
        </w:rPr>
        <w:t>.</w:t>
      </w:r>
    </w:p>
    <w:p>
      <w:pPr>
        <w:spacing w:after="0" w:line="225" w:lineRule="exact"/>
        <w:rPr>
          <w:sz w:val="20"/>
          <w:szCs w:val="20"/>
          <w:color w:val="auto"/>
        </w:rPr>
      </w:pPr>
    </w:p>
    <w:p>
      <w:pPr>
        <w:ind w:right="380" w:firstLine="436"/>
        <w:spacing w:after="0" w:line="277" w:lineRule="auto"/>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declare or make, or agree to pay or make, directly or indirectly, any Restricted Payment, or incur any obligation (contingent or otherwise) to do so, except:</w:t>
      </w:r>
    </w:p>
    <w:p>
      <w:pPr>
        <w:spacing w:after="0" w:line="62" w:lineRule="exact"/>
        <w:rPr>
          <w:rFonts w:ascii="Arial" w:cs="Arial" w:eastAsia="Arial" w:hAnsi="Arial"/>
          <w:sz w:val="18"/>
          <w:szCs w:val="18"/>
          <w:color w:val="auto"/>
        </w:rPr>
      </w:pPr>
    </w:p>
    <w:p>
      <w:pPr>
        <w:ind w:left="440" w:firstLine="419"/>
        <w:spacing w:after="0" w:line="311" w:lineRule="auto"/>
        <w:tabs>
          <w:tab w:leader="none" w:pos="121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 the Borrower may declare and pay dividends with respect to its common stock payable solely in additional shares of its common stock, and, with respect to its preferred stock (other than Disqualified Equity Interests), payable solely in additional shares of such preferred stock or in shares of its common stock, and (B) Subsidiaries may declare and pay dividends ratably with respect to their Equity Interests;</w:t>
      </w:r>
    </w:p>
    <w:p>
      <w:pPr>
        <w:spacing w:after="0" w:line="40" w:lineRule="exact"/>
        <w:rPr>
          <w:rFonts w:ascii="Arial" w:cs="Arial" w:eastAsia="Arial" w:hAnsi="Arial"/>
          <w:sz w:val="16"/>
          <w:szCs w:val="16"/>
          <w:color w:val="auto"/>
        </w:rPr>
      </w:pPr>
    </w:p>
    <w:p>
      <w:pPr>
        <w:ind w:left="440" w:firstLine="419"/>
        <w:spacing w:after="0" w:line="290" w:lineRule="auto"/>
        <w:tabs>
          <w:tab w:leader="none" w:pos="126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Restricted Payments, so long as (A) no Event of Default has occurred and is continuing or would result therefrom, (B) after giving effect to such Investment (including the incurrence, assumption or acquisition of any Indebtedness in connection therewith) the Borrower shall be in pro forma compliance with an Adjusted Quick Ratio of not less than 1.50 to 1.00 for the most recently ended Reference Period for which financial statements have been (or were required to be) delivered to the Administrative Agent and the Borrower shall have delivered to the Administrative Agent reasonably detailed calculations demonstrating such compliance and (C) either (1) both before and after such Restricted Payment, the Liquidity of the Borrower and its Subsidiaries is greater than $125.0 million and the aggregate amount of all such Restricted Payments under this subclause (a)(ii) does not exceed $50.0 million in any fiscal year or (2) sub-clause (a)(ii)(C)(1) is not satisfied and the aggregate amount of all such Restricted Payments under this subclause (a)(ii) does not exceed $10.0 million in any fiscal year;</w:t>
      </w:r>
    </w:p>
    <w:p>
      <w:pPr>
        <w:spacing w:after="0" w:line="57" w:lineRule="exact"/>
        <w:rPr>
          <w:rFonts w:ascii="Arial" w:cs="Arial" w:eastAsia="Arial" w:hAnsi="Arial"/>
          <w:sz w:val="16"/>
          <w:szCs w:val="16"/>
          <w:color w:val="auto"/>
        </w:rPr>
      </w:pPr>
    </w:p>
    <w:p>
      <w:pPr>
        <w:ind w:left="440" w:right="740" w:firstLine="419"/>
        <w:spacing w:after="0" w:line="277" w:lineRule="auto"/>
        <w:tabs>
          <w:tab w:leader="none" w:pos="131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issuances of Equity Interests (other than Disqualified Equity Interests) to sellers of Permitted Acquisitions in satisfaction of obligations of the type described in </w:t>
      </w:r>
      <w:r>
        <w:rPr>
          <w:rFonts w:ascii="Arial" w:cs="Arial" w:eastAsia="Arial" w:hAnsi="Arial"/>
          <w:sz w:val="18"/>
          <w:szCs w:val="18"/>
          <w:u w:val="single" w:color="auto"/>
          <w:color w:val="auto"/>
        </w:rPr>
        <w:t>Section 6.01(j)</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440" w:top="274" w:right="539" w:bottom="1440" w:gutter="0" w:footer="0" w:header="0"/>
        </w:sectPr>
      </w:pPr>
    </w:p>
    <w:bookmarkStart w:id="94" w:name="page95"/>
    <w:bookmarkEnd w:id="94"/>
    <w:p>
      <w:pPr>
        <w:ind w:left="444" w:right="20" w:firstLine="419"/>
        <w:spacing w:after="0" w:line="277" w:lineRule="auto"/>
        <w:tabs>
          <w:tab w:leader="none" w:pos="1257" w:val="left"/>
        </w:tabs>
        <w:numPr>
          <w:ilvl w:val="1"/>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Restricted Payment made in exchange for, or out of the proceeds of, the substantially concurrent issuance of Equity Interests (other than Disqualified Equity Interests);</w:t>
      </w:r>
    </w:p>
    <w:p>
      <w:pPr>
        <w:spacing w:after="0" w:line="62" w:lineRule="exact"/>
        <w:rPr>
          <w:rFonts w:ascii="Arial" w:cs="Arial" w:eastAsia="Arial" w:hAnsi="Arial"/>
          <w:sz w:val="18"/>
          <w:szCs w:val="18"/>
          <w:color w:val="auto"/>
        </w:rPr>
      </w:pPr>
    </w:p>
    <w:p>
      <w:pPr>
        <w:ind w:left="444" w:right="800" w:firstLine="419"/>
        <w:spacing w:after="0" w:line="277" w:lineRule="auto"/>
        <w:tabs>
          <w:tab w:leader="none" w:pos="130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cash payment, </w:t>
      </w:r>
      <w:r>
        <w:rPr>
          <w:rFonts w:ascii="Arial" w:cs="Arial" w:eastAsia="Arial" w:hAnsi="Arial"/>
          <w:sz w:val="18"/>
          <w:szCs w:val="18"/>
          <w:i w:val="1"/>
          <w:iCs w:val="1"/>
          <w:color w:val="auto"/>
        </w:rPr>
        <w:t>in lieu</w:t>
      </w:r>
      <w:r>
        <w:rPr>
          <w:rFonts w:ascii="Arial" w:cs="Arial" w:eastAsia="Arial" w:hAnsi="Arial"/>
          <w:sz w:val="18"/>
          <w:szCs w:val="18"/>
          <w:color w:val="auto"/>
        </w:rPr>
        <w:t xml:space="preserve"> of issuance of fractional shares in connection with the exercise of warrants, options or other securities convertible into or exchangeable for the Equity Interests of the Borrower or a Subsidiary;</w:t>
      </w:r>
    </w:p>
    <w:p>
      <w:pPr>
        <w:spacing w:after="0" w:line="62" w:lineRule="exact"/>
        <w:rPr>
          <w:rFonts w:ascii="Arial" w:cs="Arial" w:eastAsia="Arial" w:hAnsi="Arial"/>
          <w:sz w:val="18"/>
          <w:szCs w:val="18"/>
          <w:color w:val="auto"/>
        </w:rPr>
      </w:pPr>
    </w:p>
    <w:p>
      <w:pPr>
        <w:jc w:val="both"/>
        <w:ind w:left="444" w:right="100" w:firstLine="419"/>
        <w:spacing w:after="0" w:line="301" w:lineRule="auto"/>
        <w:tabs>
          <w:tab w:leader="none" w:pos="135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repurchases of Equity Interests deemed to occur upon the exercise of stock options, warrants or other convertible or exchangeable securities if such Equity Interests represents a portion of the exercise, conversion or exchange price thereof and repurchases of Equity Interests deemed to occur upon the withholding of a portion of the Equity Interests granted or awarded to a current or former officer, director, employee or consultant to pay for the taxes payable by such Person upon such grant or award (or upon vesting thereof); and</w:t>
      </w:r>
    </w:p>
    <w:p>
      <w:pPr>
        <w:spacing w:after="0" w:line="49" w:lineRule="exact"/>
        <w:rPr>
          <w:rFonts w:ascii="Arial" w:cs="Arial" w:eastAsia="Arial" w:hAnsi="Arial"/>
          <w:sz w:val="16"/>
          <w:szCs w:val="16"/>
          <w:color w:val="auto"/>
        </w:rPr>
      </w:pPr>
    </w:p>
    <w:p>
      <w:pPr>
        <w:ind w:left="444" w:right="100" w:firstLine="419"/>
        <w:spacing w:after="0" w:line="311" w:lineRule="auto"/>
        <w:tabs>
          <w:tab w:leader="none" w:pos="140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the Borrower may repurchase, redeem, retire or otherwise acquire for value Equity Interests (including any stock appreciation rights in respect thereof) of the Borrower from current or former employees, officers, directors or consultants;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aggregate annual cash payments in respect of such repurchases, redemptions, retirements and acquisitions shall not exceed $5.0 million in any fiscal year.</w:t>
      </w:r>
    </w:p>
    <w:p>
      <w:pPr>
        <w:spacing w:after="0" w:line="148" w:lineRule="exact"/>
        <w:rPr>
          <w:rFonts w:ascii="Arial" w:cs="Arial" w:eastAsia="Arial" w:hAnsi="Arial"/>
          <w:sz w:val="16"/>
          <w:szCs w:val="16"/>
          <w:color w:val="auto"/>
        </w:rPr>
      </w:pPr>
    </w:p>
    <w:p>
      <w:pPr>
        <w:ind w:left="4" w:right="540" w:firstLine="436"/>
        <w:spacing w:after="0" w:line="259" w:lineRule="auto"/>
        <w:tabs>
          <w:tab w:leader="none" w:pos="83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make or agree to pay or make, directly or indirectly, any payment or other distribution (whether in cash, securities or other property) of or in respect of principal of or interest on any Junior Debt, or any payment or other distribution (whether in cash, securities or other property), including any sinking fund or similar deposit, on account of the purchase, redemption, retirement, acquisition, cancellation or termination of any Junior Debt, except:</w:t>
      </w:r>
    </w:p>
    <w:p>
      <w:pPr>
        <w:spacing w:after="0" w:line="78" w:lineRule="exact"/>
        <w:rPr>
          <w:rFonts w:ascii="Arial" w:cs="Arial" w:eastAsia="Arial" w:hAnsi="Arial"/>
          <w:sz w:val="18"/>
          <w:szCs w:val="18"/>
          <w:color w:val="auto"/>
        </w:rPr>
      </w:pPr>
    </w:p>
    <w:p>
      <w:pPr>
        <w:ind w:left="444" w:right="460" w:firstLine="419"/>
        <w:spacing w:after="0" w:line="277" w:lineRule="auto"/>
        <w:tabs>
          <w:tab w:leader="none" w:pos="121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payment of regularly scheduled interest, expenses and indemnities as and when due in respect of any Junior Debt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64" w:hanging="401"/>
        <w:spacing w:after="0"/>
        <w:tabs>
          <w:tab w:leader="none" w:pos="126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refinancings of any Junior Debt to the extent permitted by </w:t>
      </w:r>
      <w:r>
        <w:rPr>
          <w:rFonts w:ascii="Arial" w:cs="Arial" w:eastAsia="Arial" w:hAnsi="Arial"/>
          <w:sz w:val="18"/>
          <w:szCs w:val="18"/>
          <w:u w:val="single" w:color="auto"/>
          <w:color w:val="auto"/>
        </w:rPr>
        <w:t>Section 6.01(f)</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4" w:right="240" w:firstLine="419"/>
        <w:spacing w:after="0" w:line="311" w:lineRule="auto"/>
        <w:tabs>
          <w:tab w:leader="none" w:pos="1317" w:val="left"/>
        </w:tabs>
        <w:numPr>
          <w:ilvl w:val="1"/>
          <w:numId w:val="120"/>
        </w:numPr>
        <w:rPr>
          <w:rFonts w:ascii="Arial" w:cs="Arial" w:eastAsia="Arial" w:hAnsi="Arial"/>
          <w:sz w:val="16"/>
          <w:szCs w:val="16"/>
          <w:color w:val="auto"/>
        </w:rPr>
      </w:pPr>
      <w:r>
        <w:rPr>
          <w:rFonts w:ascii="Arial" w:cs="Arial" w:eastAsia="Arial" w:hAnsi="Arial"/>
          <w:sz w:val="16"/>
          <w:szCs w:val="16"/>
          <w:color w:val="auto"/>
        </w:rPr>
        <w:t>purchases and other payments of any Junior Debt made solely with the proceeds of the substantially concurrent issuance of Equity Interests (other than Disqualified Equity Interests) or in the form of Equity Interests (other than Disqualified Equity Interests) of the Borrower together with cash for any fractional shares and cash for any accrued but unpaid interest and any premium payable in connection therewith; and</w:t>
      </w:r>
    </w:p>
    <w:p>
      <w:pPr>
        <w:spacing w:after="0" w:line="40" w:lineRule="exact"/>
        <w:rPr>
          <w:rFonts w:ascii="Arial" w:cs="Arial" w:eastAsia="Arial" w:hAnsi="Arial"/>
          <w:sz w:val="16"/>
          <w:szCs w:val="16"/>
          <w:color w:val="auto"/>
        </w:rPr>
      </w:pPr>
    </w:p>
    <w:p>
      <w:pPr>
        <w:ind w:left="444" w:right="160" w:firstLine="419"/>
        <w:spacing w:after="0" w:line="277" w:lineRule="auto"/>
        <w:tabs>
          <w:tab w:leader="none" w:pos="130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cash settlement upon any conversion of Convertible Debt in accordance with the terms thereof in an aggregate amount not to exceed the principal amount thereof.</w:t>
      </w:r>
    </w:p>
    <w:p>
      <w:pPr>
        <w:spacing w:after="0" w:line="170" w:lineRule="exact"/>
        <w:rPr>
          <w:sz w:val="20"/>
          <w:szCs w:val="20"/>
          <w:color w:val="auto"/>
        </w:rPr>
      </w:pPr>
    </w:p>
    <w:p>
      <w:pPr>
        <w:ind w:left="4" w:right="120" w:firstLine="440"/>
        <w:spacing w:after="0" w:line="285"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Borrower and any Loan Party not involving any other Affiliate, (c) transactions between or among Subsidiaries of Borrower that are not Loan Parties,</w:t>
      </w:r>
    </w:p>
    <w:p>
      <w:pPr>
        <w:spacing w:after="0" w:line="2" w:lineRule="exact"/>
        <w:rPr>
          <w:sz w:val="20"/>
          <w:szCs w:val="20"/>
          <w:color w:val="auto"/>
        </w:rPr>
      </w:pPr>
    </w:p>
    <w:p>
      <w:pPr>
        <w:ind w:left="4" w:hanging="4"/>
        <w:spacing w:after="0" w:line="253" w:lineRule="auto"/>
        <w:tabs>
          <w:tab w:leader="none" w:pos="25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any Restricted Payment permitted by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(e) reasonable and customary director, officer and employee compensation (including bonuses) and other benefits (including retirement, health, stock option and other benefit plans), indemnification arrangements, (f) severance and reimbursement of reasonable and documented costs paid to members of the board of directors of any Loan Party or any of its Subsidiaries and (g) transactions described in </w:t>
      </w:r>
      <w:r>
        <w:rPr>
          <w:rFonts w:ascii="Arial" w:cs="Arial" w:eastAsia="Arial" w:hAnsi="Arial"/>
          <w:sz w:val="18"/>
          <w:szCs w:val="18"/>
          <w:u w:val="single" w:color="auto"/>
          <w:color w:val="auto"/>
        </w:rPr>
        <w:t>Schedule 6.08</w:t>
      </w:r>
      <w:r>
        <w:rPr>
          <w:rFonts w:ascii="Arial" w:cs="Arial" w:eastAsia="Arial" w:hAnsi="Arial"/>
          <w:sz w:val="18"/>
          <w:szCs w:val="18"/>
          <w:color w:val="auto"/>
        </w:rPr>
        <w: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4" w:right="459" w:bottom="1440" w:gutter="0" w:footer="0" w:header="0"/>
        </w:sectPr>
      </w:pPr>
    </w:p>
    <w:bookmarkStart w:id="95" w:name="page96"/>
    <w:bookmarkEnd w:id="95"/>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6.09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of its Subsidiaries to create, incur or permit to exist any Lien upon any of its property or assets, (b) the ability of any Subsidiary to pay dividends or other distributions with respect to any shares of its capital stock or to make or repay loans or advances to the Borrower or any other Subsidiary or to Guarantee Indebtedness of the Borrower or any other Subsidiary or (c) the ability of the Borrower or any other Subsidiary to make any Disposition; except for: (i) such encumbrances or restrictions existing under or by reason of applicable law or any Loan Document; (ii) restrictions and conditions existing on the date hereof identified on </w:t>
      </w:r>
      <w:r>
        <w:rPr>
          <w:rFonts w:ascii="Arial" w:cs="Arial" w:eastAsia="Arial" w:hAnsi="Arial"/>
          <w:sz w:val="16"/>
          <w:szCs w:val="16"/>
          <w:u w:val="single" w:color="auto"/>
          <w:color w:val="auto"/>
        </w:rPr>
        <w:t>Schedule 6.09</w:t>
      </w:r>
      <w:r>
        <w:rPr>
          <w:rFonts w:ascii="Arial" w:cs="Arial" w:eastAsia="Arial" w:hAnsi="Arial"/>
          <w:sz w:val="16"/>
          <w:szCs w:val="16"/>
          <w:color w:val="auto"/>
        </w:rPr>
        <w:t xml:space="preserve"> (but not including any extension or renewal of, or any amendment or modification expanding the scope of any such restriction or condition); (iii) customary restrictions and conditions contained in agreements relating to the sale of a Subsidiary or other property pending such sale, provided such restrictions and conditions apply only to the Subsidiary or other property that is to be sold and such sale is permitted hereunder; (iv) restrictions or conditions imposed by any agreement relating to secured Indebtedness permitted by this Agreement if such restrictions or conditions apply only to the property or assets securing such Indebtedness; (v) customary provisions in leases and other contracts restricting the assignment thereof; (vi) customary restrictions contained in any software licenses; (vii) without affecting the Loan Parties’ obligations under </w:t>
      </w:r>
      <w:r>
        <w:rPr>
          <w:rFonts w:ascii="Arial" w:cs="Arial" w:eastAsia="Arial" w:hAnsi="Arial"/>
          <w:sz w:val="16"/>
          <w:szCs w:val="16"/>
          <w:u w:val="single" w:color="auto"/>
          <w:color w:val="auto"/>
        </w:rPr>
        <w:t>Section 5.09</w:t>
      </w:r>
      <w:r>
        <w:rPr>
          <w:rFonts w:ascii="Arial" w:cs="Arial" w:eastAsia="Arial" w:hAnsi="Arial"/>
          <w:sz w:val="16"/>
          <w:szCs w:val="16"/>
          <w:color w:val="auto"/>
        </w:rPr>
        <w:t xml:space="preserve">, customary provisions in the organizational documents of a Person or asset sale or stock sale agreements or similar agreements which restrict the transfer of ownership in such Person; (viii) in the case of any joint venture permitted hereunder with a Person that is not a Loan Party, restrictions in such Person’s organizational documents or pursuant to any joint venture agreement or stockholders agreement solely to the extent of the Equity Interests of or property held in the subject joint venture; (ix) restrictions imposed by any holder of a Lien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restricting the transfer of the property subject thereto; (x) without affecting the Loan Parties’ obligations under </w:t>
      </w:r>
      <w:r>
        <w:rPr>
          <w:rFonts w:ascii="Arial" w:cs="Arial" w:eastAsia="Arial" w:hAnsi="Arial"/>
          <w:sz w:val="16"/>
          <w:szCs w:val="16"/>
          <w:u w:val="single" w:color="auto"/>
          <w:color w:val="auto"/>
        </w:rPr>
        <w:t>Section 5.09</w:t>
      </w:r>
      <w:r>
        <w:rPr>
          <w:rFonts w:ascii="Arial" w:cs="Arial" w:eastAsia="Arial" w:hAnsi="Arial"/>
          <w:sz w:val="16"/>
          <w:szCs w:val="16"/>
          <w:color w:val="auto"/>
        </w:rPr>
        <w:t xml:space="preserve">, any agreement in effect at the time a Person becomes a Subsidiary of the Borrower (including any amendments thereto that are otherwise permitted by the Loan Documents and that are no more materially restrictive with respect to such encumbrances and restrictions than those prior to such amendment or refinancing), so long as such agreement was not entered into in connection with or in contemplation of such person becoming a Subsidiary of Borrower and imposes restrictions only on such Person and its assets; (xi) restrictions on cash or other deposits required by suppliers or landlords under contracts entered into in the ordinary course of business; (xii) without affecting the Loan Parties’ obligations under </w:t>
      </w:r>
      <w:r>
        <w:rPr>
          <w:rFonts w:ascii="Arial" w:cs="Arial" w:eastAsia="Arial" w:hAnsi="Arial"/>
          <w:sz w:val="16"/>
          <w:szCs w:val="16"/>
          <w:u w:val="single" w:color="auto"/>
          <w:color w:val="auto"/>
        </w:rPr>
        <w:t>Section 5.09</w:t>
      </w:r>
      <w:r>
        <w:rPr>
          <w:rFonts w:ascii="Arial" w:cs="Arial" w:eastAsia="Arial" w:hAnsi="Arial"/>
          <w:sz w:val="16"/>
          <w:szCs w:val="16"/>
          <w:color w:val="auto"/>
        </w:rPr>
        <w:t xml:space="preserve">, restrictions imposed solely on Foreign Subsidiaries pursuant to any Swap Agreement entered into by the Borrower or any Subsidiary and permitted pursuant to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or (xiii) customary restrictions or conditions pursuant to any Indebtedness incurred pursuant to </w:t>
      </w:r>
      <w:r>
        <w:rPr>
          <w:rFonts w:ascii="Arial" w:cs="Arial" w:eastAsia="Arial" w:hAnsi="Arial"/>
          <w:sz w:val="16"/>
          <w:szCs w:val="16"/>
          <w:u w:val="single" w:color="auto"/>
          <w:color w:val="auto"/>
        </w:rPr>
        <w:t>Section 6.01(s)</w:t>
      </w:r>
      <w:r>
        <w:rPr>
          <w:rFonts w:ascii="Arial" w:cs="Arial" w:eastAsia="Arial" w:hAnsi="Arial"/>
          <w:sz w:val="16"/>
          <w:szCs w:val="16"/>
          <w:color w:val="auto"/>
        </w:rPr>
        <w:t>.</w:t>
      </w:r>
    </w:p>
    <w:p>
      <w:pPr>
        <w:spacing w:after="0" w:line="17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Amendment of Material Documents; End of Fiscal Years</w:t>
      </w:r>
      <w:r>
        <w:rPr>
          <w:rFonts w:ascii="Arial" w:cs="Arial" w:eastAsia="Arial" w:hAnsi="Arial"/>
          <w:sz w:val="16"/>
          <w:szCs w:val="16"/>
          <w:color w:val="auto"/>
        </w:rPr>
        <w:t>.</w:t>
      </w:r>
    </w:p>
    <w:p>
      <w:pPr>
        <w:spacing w:after="0" w:line="225" w:lineRule="exact"/>
        <w:rPr>
          <w:sz w:val="20"/>
          <w:szCs w:val="20"/>
          <w:color w:val="auto"/>
        </w:rPr>
      </w:pPr>
    </w:p>
    <w:p>
      <w:pPr>
        <w:jc w:val="both"/>
        <w:ind w:right="220" w:firstLine="436"/>
        <w:spacing w:after="0" w:line="259" w:lineRule="auto"/>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(i) to, amend, modify or waive any of its rights under its certificate of incorporation, by-laws, operating, management or partnership agreement or other organizational documents or (ii) to, amend, modify or waive any provisions of any Junior Debt, in each case, to the extent any such amendment, modification or waiver would be materially adverse to the Administrative Agent or the Lenders.</w:t>
      </w:r>
    </w:p>
    <w:p>
      <w:pPr>
        <w:spacing w:after="0" w:line="186" w:lineRule="exact"/>
        <w:rPr>
          <w:rFonts w:ascii="Arial" w:cs="Arial" w:eastAsia="Arial" w:hAnsi="Arial"/>
          <w:sz w:val="18"/>
          <w:szCs w:val="18"/>
          <w:color w:val="auto"/>
        </w:rPr>
      </w:pPr>
    </w:p>
    <w:p>
      <w:pPr>
        <w:ind w:right="80" w:firstLine="436"/>
        <w:spacing w:after="0" w:line="277" w:lineRule="auto"/>
        <w:tabs>
          <w:tab w:leader="none" w:pos="83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make any material change in its accounting treatment and reporting practices except as required or permitted by GAAP.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96" w:name="page97"/>
    <w:bookmarkEnd w:id="96"/>
    <w:p>
      <w:pPr>
        <w:ind w:right="100" w:firstLine="436"/>
        <w:spacing w:after="0" w:line="342" w:lineRule="auto"/>
        <w:tabs>
          <w:tab w:leader="none" w:pos="817" w:val="left"/>
        </w:tabs>
        <w:numPr>
          <w:ilvl w:val="0"/>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not, nor will it permit any of its Subsidiaries to, change its fiscal year to end on a date other than December 31;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acquired entity that maintains a different end of fiscal year shall have a period not to exceed 180 days to comply with this </w:t>
      </w:r>
      <w:r>
        <w:rPr>
          <w:rFonts w:ascii="Arial" w:cs="Arial" w:eastAsia="Arial" w:hAnsi="Arial"/>
          <w:sz w:val="16"/>
          <w:szCs w:val="16"/>
          <w:u w:val="single" w:color="auto"/>
          <w:color w:val="auto"/>
        </w:rPr>
        <w:t>Section 6.10(c)</w:t>
      </w:r>
      <w:r>
        <w:rPr>
          <w:rFonts w:ascii="Arial" w:cs="Arial" w:eastAsia="Arial" w:hAnsi="Arial"/>
          <w:sz w:val="16"/>
          <w:szCs w:val="16"/>
          <w:color w:val="auto"/>
        </w:rPr>
        <w:t>.</w:t>
      </w:r>
    </w:p>
    <w:p>
      <w:pPr>
        <w:spacing w:after="0" w:line="12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Financial Covenant</w:t>
      </w:r>
      <w:r>
        <w:rPr>
          <w:rFonts w:ascii="Arial" w:cs="Arial" w:eastAsia="Arial" w:hAnsi="Arial"/>
          <w:sz w:val="18"/>
          <w:szCs w:val="18"/>
          <w:color w:val="auto"/>
        </w:rPr>
        <w:t>. The Borrower shall maintain at all times, to be tested as of the last day of each fiscal quarter, an Adjusted Quick Ratio of not less than 1.25 to 1.00.</w:t>
      </w:r>
    </w:p>
    <w:p>
      <w:pPr>
        <w:spacing w:after="0" w:line="17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225" w:lineRule="exact"/>
        <w:rPr>
          <w:sz w:val="20"/>
          <w:szCs w:val="20"/>
          <w:color w:val="auto"/>
        </w:rPr>
      </w:pPr>
    </w:p>
    <w:p>
      <w:pPr>
        <w:ind w:firstLine="436"/>
        <w:spacing w:after="0" w:line="270" w:lineRule="auto"/>
        <w:tabs>
          <w:tab w:leader="none" w:pos="81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With respect to any Plan, the Borrower shall not (i) permit an ERISA Event to occur; (ii) engage, or permit any ERISA Affiliate to engage, in any transaction described in Section 4069 of ERISA, (iii) engage in, or permit any ERISA Affiliate to engage in, any prohibited transaction described in Section 406 of ERISA or 4975 of the Code for which a statutory or class exemption is not available or a private exemption has not previously been obtained from the U.S. Department of Labor that would reasonably be expected to result in liability exceeding $5.0 million, (iv) adopt or permit any ERISA Affiliate to adopt any employee welfare benefit plan within the meaning of Section 3(1) of ERISA which provides benefits to employees after termination of employment other than as required by Section 601 of ERISA or applicable law, (v) fail to make any contribution or payment to any Multiemployer Plan which it or any ERISA Affiliate may be required to make under any agreement relating to such Multiemployer Plan, or any law pertaining thereto, or (vi) fail, or permit any ERISA Affiliate to fail, to pay any required installment or any other payment required under Section 412 of the Code on or before the due date for such installment or other payment.</w:t>
      </w:r>
    </w:p>
    <w:p>
      <w:pPr>
        <w:spacing w:after="0" w:line="180" w:lineRule="exact"/>
        <w:rPr>
          <w:rFonts w:ascii="Arial" w:cs="Arial" w:eastAsia="Arial" w:hAnsi="Arial"/>
          <w:sz w:val="17"/>
          <w:szCs w:val="17"/>
          <w:color w:val="auto"/>
        </w:rPr>
      </w:pPr>
    </w:p>
    <w:p>
      <w:pPr>
        <w:ind w:right="280" w:firstLine="436"/>
        <w:spacing w:after="0" w:line="277" w:lineRule="auto"/>
        <w:tabs>
          <w:tab w:leader="none" w:pos="82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Borrower shall not establish, maintain, contribute to or become obligated to contribute to any Plan, except where such establishment, maintenance, contribution, or obligation could not reasonably be expected to have a Material Adverse Effect.</w:t>
      </w:r>
    </w:p>
    <w:p>
      <w:pPr>
        <w:spacing w:after="0" w:line="170" w:lineRule="exact"/>
        <w:rPr>
          <w:rFonts w:ascii="Arial" w:cs="Arial" w:eastAsia="Arial" w:hAnsi="Arial"/>
          <w:sz w:val="18"/>
          <w:szCs w:val="18"/>
          <w:color w:val="auto"/>
        </w:rPr>
      </w:pPr>
    </w:p>
    <w:p>
      <w:pPr>
        <w:ind w:right="220" w:firstLine="436"/>
        <w:spacing w:after="0" w:line="311" w:lineRule="auto"/>
        <w:tabs>
          <w:tab w:leader="none" w:pos="8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No Loan Party will take any action, omit to take any action or permit any other party to take any action that would result in (i) such Loan Party holding Plan Assets or “plan assets” subject to Similar Law or (ii) any transaction contemplated under the Loan Documents constituting or resulting in a non-exempt prohibited transaction under Section 406 of ERISA or Section 4975 of the Code or any violation of applicable Similar Law.</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 and be continuing:</w:t>
      </w:r>
    </w:p>
    <w:p>
      <w:pPr>
        <w:spacing w:after="0" w:line="117" w:lineRule="exact"/>
        <w:rPr>
          <w:sz w:val="20"/>
          <w:szCs w:val="20"/>
          <w:color w:val="auto"/>
        </w:rPr>
      </w:pPr>
    </w:p>
    <w:p>
      <w:pPr>
        <w:ind w:right="20" w:firstLine="436"/>
        <w:spacing w:after="0" w:line="308" w:lineRule="auto"/>
        <w:tabs>
          <w:tab w:leader="none" w:pos="8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46" w:lineRule="exact"/>
        <w:rPr>
          <w:rFonts w:ascii="Arial" w:cs="Arial" w:eastAsia="Arial" w:hAnsi="Arial"/>
          <w:sz w:val="17"/>
          <w:szCs w:val="17"/>
          <w:color w:val="auto"/>
        </w:rPr>
      </w:pPr>
    </w:p>
    <w:p>
      <w:pPr>
        <w:ind w:right="20" w:firstLine="436"/>
        <w:spacing w:after="0" w:line="263" w:lineRule="auto"/>
        <w:tabs>
          <w:tab w:leader="none" w:pos="83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Borrower shall fail to pay any interest on any Loan or any fee or any other amount (other than an amount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payable under this Agreement, when and as the same shall become due and payable, and such failure shall continue unremedied for a period of five (5) Business Days;</w:t>
      </w:r>
    </w:p>
    <w:p>
      <w:pPr>
        <w:spacing w:after="0" w:line="183" w:lineRule="exact"/>
        <w:rPr>
          <w:rFonts w:ascii="Arial" w:cs="Arial" w:eastAsia="Arial" w:hAnsi="Arial"/>
          <w:sz w:val="18"/>
          <w:szCs w:val="18"/>
          <w:color w:val="auto"/>
        </w:rPr>
      </w:pPr>
    </w:p>
    <w:p>
      <w:pPr>
        <w:ind w:right="200" w:firstLine="436"/>
        <w:spacing w:after="0" w:line="263" w:lineRule="auto"/>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any Loan Party or any Subsidiary in or in connection with this Agreement or any Loan Document or any amendment or modification thereof or waiver thereunder, or in any report, certificate, financial statement or other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97" w:name="page98"/>
    <w:bookmarkEnd w:id="97"/>
    <w:p>
      <w:pPr>
        <w:ind w:left="4"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 furnished pursuant to or in connection with this Agreement or any Loan Document or any amendment or modification thereof or waiver thereunder, shall prove to have been materially incorrect when made or deemed made;</w:t>
      </w:r>
    </w:p>
    <w:p>
      <w:pPr>
        <w:spacing w:after="0" w:line="170" w:lineRule="exact"/>
        <w:rPr>
          <w:sz w:val="20"/>
          <w:szCs w:val="20"/>
          <w:color w:val="auto"/>
        </w:rPr>
      </w:pPr>
    </w:p>
    <w:p>
      <w:pPr>
        <w:ind w:left="4" w:right="380" w:firstLine="436"/>
        <w:spacing w:after="0" w:line="277" w:lineRule="auto"/>
        <w:tabs>
          <w:tab w:leader="none" w:pos="83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any Loan Party shall fail to observe or perform any covenant, condition or agreement contained in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5.03</w:t>
      </w:r>
      <w:r>
        <w:rPr>
          <w:rFonts w:ascii="Arial" w:cs="Arial" w:eastAsia="Arial" w:hAnsi="Arial"/>
          <w:sz w:val="18"/>
          <w:szCs w:val="18"/>
          <w:color w:val="auto"/>
        </w:rPr>
        <w:t xml:space="preserve"> (with respect to maintaining a Loan Party’s existence), </w:t>
      </w:r>
      <w:r>
        <w:rPr>
          <w:rFonts w:ascii="Arial" w:cs="Arial" w:eastAsia="Arial" w:hAnsi="Arial"/>
          <w:sz w:val="18"/>
          <w:szCs w:val="18"/>
          <w:u w:val="single" w:color="auto"/>
          <w:color w:val="auto"/>
        </w:rPr>
        <w:t>5.08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5.09</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firstLine="436"/>
        <w:spacing w:after="0" w:line="293" w:lineRule="auto"/>
        <w:tabs>
          <w:tab w:leader="none" w:pos="82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any Loan Party shall fail to observe or perform any covenant, condition or agreement contained in this Agreement (other than those which constitute a default under another Section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any other Loan Document, and such failure shall continue unremedied for a period of (i) 5 Business Days after the earlier of any Loan Party’s knowledge of such breach or notice thereof from the Administrative Agent (which notice will be given at the request of any Lender) if such breach relates to terms or provisions of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5.03</w:t>
      </w:r>
      <w:r>
        <w:rPr>
          <w:rFonts w:ascii="Arial" w:cs="Arial" w:eastAsia="Arial" w:hAnsi="Arial"/>
          <w:sz w:val="16"/>
          <w:szCs w:val="16"/>
          <w:color w:val="auto"/>
        </w:rPr>
        <w:t xml:space="preserve"> (other than with respect to maintaining a Loan Party’s existence) through </w:t>
      </w:r>
      <w:r>
        <w:rPr>
          <w:rFonts w:ascii="Arial" w:cs="Arial" w:eastAsia="Arial" w:hAnsi="Arial"/>
          <w:sz w:val="16"/>
          <w:szCs w:val="16"/>
          <w:u w:val="single" w:color="auto"/>
          <w:color w:val="auto"/>
        </w:rPr>
        <w:t>5.06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5.15</w:t>
      </w:r>
      <w:r>
        <w:rPr>
          <w:rFonts w:ascii="Arial" w:cs="Arial" w:eastAsia="Arial" w:hAnsi="Arial"/>
          <w:sz w:val="16"/>
          <w:szCs w:val="16"/>
          <w:color w:val="auto"/>
        </w:rPr>
        <w:t xml:space="preserve"> or of this Agreement or (ii) thirty (30) days after the earlier of any Loan Party’s knowledge of such breach or notice thereof from the Administrative Agent (which notice will be given at the request of any Lender);</w:t>
      </w:r>
    </w:p>
    <w:p>
      <w:pPr>
        <w:spacing w:after="0" w:line="164" w:lineRule="exact"/>
        <w:rPr>
          <w:rFonts w:ascii="Arial" w:cs="Arial" w:eastAsia="Arial" w:hAnsi="Arial"/>
          <w:sz w:val="16"/>
          <w:szCs w:val="16"/>
          <w:color w:val="auto"/>
        </w:rPr>
      </w:pPr>
    </w:p>
    <w:p>
      <w:pPr>
        <w:ind w:left="4" w:right="20" w:firstLine="436"/>
        <w:spacing w:after="0" w:line="277" w:lineRule="auto"/>
        <w:tabs>
          <w:tab w:leader="none" w:pos="80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Loan Party or any Subsidiary shall fail to make any payment (whether of principal or interest and regardless of amount) in respect of any Material Indebtedness, when and as the same shall become due and payable beyond any applicable grace period;</w:t>
      </w:r>
    </w:p>
    <w:p>
      <w:pPr>
        <w:spacing w:after="0" w:line="170" w:lineRule="exact"/>
        <w:rPr>
          <w:rFonts w:ascii="Arial" w:cs="Arial" w:eastAsia="Arial" w:hAnsi="Arial"/>
          <w:sz w:val="18"/>
          <w:szCs w:val="18"/>
          <w:color w:val="auto"/>
        </w:rPr>
      </w:pPr>
    </w:p>
    <w:p>
      <w:pPr>
        <w:ind w:left="4" w:right="80" w:firstLine="436"/>
        <w:spacing w:after="0" w:line="270" w:lineRule="auto"/>
        <w:tabs>
          <w:tab w:leader="none" w:pos="834" w:val="left"/>
        </w:tabs>
        <w:numPr>
          <w:ilvl w:val="1"/>
          <w:numId w:val="126"/>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shall not apply to (i) secured Indebtedness that becomes due as a result of the voluntary sale or transfer of the property or assets securing such Indebtedness (ii) with respect to any Material Indebtedness consisting of Swap Agreements, termination events or equivalent events pursuant to the terms of such Swap Agreements and not as a result of any default thereunder by the Borrower or any of its Subsidiaries, (iii) any conversion of exchange of any Convertible Debt and any conversion or exchange trigger that results in such Convertible Debt becoming convertible or exchangeable, as applicable and (iv) to the extent repaid in full upon consummation of the related Permitted Acquisition, any Specified Material Indebtedness;</w:t>
      </w:r>
    </w:p>
    <w:p>
      <w:pPr>
        <w:spacing w:after="0" w:line="180" w:lineRule="exact"/>
        <w:rPr>
          <w:rFonts w:ascii="Arial" w:cs="Arial" w:eastAsia="Arial" w:hAnsi="Arial"/>
          <w:sz w:val="17"/>
          <w:szCs w:val="17"/>
          <w:color w:val="auto"/>
        </w:rPr>
      </w:pPr>
    </w:p>
    <w:p>
      <w:pPr>
        <w:ind w:left="4" w:right="100" w:firstLine="436"/>
        <w:spacing w:after="0" w:line="296" w:lineRule="auto"/>
        <w:tabs>
          <w:tab w:leader="none" w:pos="83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or other relief in respect of a Loan Party or any Material Foreign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Material Foreign Subsidiary or for a substantial part of its assets, and, in any such case, such proceeding or petition shall continue undismissed for sixty (60) days or an order or decree approving or ordering any of the foregoing shall be entered;</w:t>
      </w:r>
    </w:p>
    <w:p>
      <w:pPr>
        <w:spacing w:after="0" w:line="161" w:lineRule="exact"/>
        <w:rPr>
          <w:rFonts w:ascii="Arial" w:cs="Arial" w:eastAsia="Arial" w:hAnsi="Arial"/>
          <w:sz w:val="16"/>
          <w:szCs w:val="16"/>
          <w:color w:val="auto"/>
        </w:rPr>
      </w:pPr>
    </w:p>
    <w:p>
      <w:pPr>
        <w:ind w:left="4" w:right="280" w:firstLine="436"/>
        <w:spacing w:after="0" w:line="291" w:lineRule="auto"/>
        <w:tabs>
          <w:tab w:leader="none" w:pos="79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any Loan Party or any Material Foreign Subsidiary shall (i) voluntarily commence any proceeding or file any petition seeking liquidation, reorganization or other relief under any Federal, state or foreign bankruptcy, insolvency, receivership or similar law now or hereafter in effect,</w:t>
      </w:r>
    </w:p>
    <w:p>
      <w:pPr>
        <w:ind w:left="4" w:right="20" w:hanging="4"/>
        <w:spacing w:after="0" w:line="295" w:lineRule="auto"/>
        <w:tabs>
          <w:tab w:leader="none" w:pos="26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consent to the institution of, or fail to contest in a timely and appropriate manner, any proceeding or petition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(iii) apply for or consent to the appointment of a receiver, trustee, custodian, sequestrator, conservator or similar official for such Loan Party or Material Foreign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4"/>
          </w:cols>
          <w:pgMar w:left="436" w:top="274" w:right="479" w:bottom="1440" w:gutter="0" w:footer="0" w:header="0"/>
        </w:sectPr>
      </w:pPr>
    </w:p>
    <w:bookmarkStart w:id="98" w:name="page99"/>
    <w:bookmarkEnd w:id="98"/>
    <w:p>
      <w:pPr>
        <w:ind w:left="4" w:right="300" w:firstLine="436"/>
        <w:spacing w:after="0" w:line="277" w:lineRule="auto"/>
        <w:tabs>
          <w:tab w:leader="none" w:pos="794" w:val="left"/>
        </w:tabs>
        <w:numPr>
          <w:ilvl w:val="1"/>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Loan Party or any Subsidiary of any Loan Party shall become unable, admit in writing its inability or fail generally to pay its debts as they become due;</w:t>
      </w:r>
    </w:p>
    <w:p>
      <w:pPr>
        <w:spacing w:after="0" w:line="170" w:lineRule="exact"/>
        <w:rPr>
          <w:rFonts w:ascii="Arial" w:cs="Arial" w:eastAsia="Arial" w:hAnsi="Arial"/>
          <w:sz w:val="18"/>
          <w:szCs w:val="18"/>
          <w:color w:val="auto"/>
        </w:rPr>
      </w:pPr>
    </w:p>
    <w:p>
      <w:pPr>
        <w:ind w:left="4" w:right="240" w:firstLine="436"/>
        <w:spacing w:after="0" w:line="291" w:lineRule="auto"/>
        <w:tabs>
          <w:tab w:leader="none" w:pos="83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one or more judgments, orders, court-approved settlements or other settlements (i) for the payment of money in an aggregate amount in excess of $10.0 million (not paid or fully covered by insurance company as to which the relevant insurance company has acknowledged coverage) or</w:t>
      </w:r>
    </w:p>
    <w:p>
      <w:pPr>
        <w:ind w:left="4" w:right="40" w:hanging="4"/>
        <w:spacing w:after="0" w:line="292" w:lineRule="auto"/>
        <w:tabs>
          <w:tab w:leader="none" w:pos="26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that could reasonably be expected to result in a Material Adverse Effect, in each case, shall be rendered against any Loan Party, any Subsidiary of any Loan Party or any combination thereof and the same shall not have been paid, vacated or discharged or effectively stayed or bonded pending appeal within thirty (30) days after the entry thereof or enforcement proceedings shall have been commenced by any creditor upon such judgment, order or court-approved settlement, and such enforcement proceedings have not been effectively stayed, vacated or bonded, or any action shall be legally taken by a judgment creditor to attach or levy upon any assets of any Loan Party or any Subsidiary of any Loan Party to enforce any such judgment;</w:t>
      </w:r>
    </w:p>
    <w:p>
      <w:pPr>
        <w:spacing w:after="0" w:line="162" w:lineRule="exact"/>
        <w:rPr>
          <w:rFonts w:ascii="Arial" w:cs="Arial" w:eastAsia="Arial" w:hAnsi="Arial"/>
          <w:sz w:val="16"/>
          <w:szCs w:val="16"/>
          <w:color w:val="auto"/>
        </w:rPr>
      </w:pPr>
    </w:p>
    <w:p>
      <w:pPr>
        <w:ind w:left="4" w:right="380" w:firstLine="436"/>
        <w:spacing w:after="0" w:line="277" w:lineRule="auto"/>
        <w:tabs>
          <w:tab w:leader="none" w:pos="79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 ERISA Event shall occur that, when taken together with all other ERISA Events that have occurred, could reasonably be expected to, individually or in the aggregate, result in liability of the Loan Parties in excess of $10.0 million;</w:t>
      </w:r>
    </w:p>
    <w:p>
      <w:pPr>
        <w:spacing w:after="0" w:line="170" w:lineRule="exact"/>
        <w:rPr>
          <w:rFonts w:ascii="Arial" w:cs="Arial" w:eastAsia="Arial" w:hAnsi="Arial"/>
          <w:sz w:val="18"/>
          <w:szCs w:val="18"/>
          <w:color w:val="auto"/>
        </w:rPr>
      </w:pPr>
    </w:p>
    <w:p>
      <w:pPr>
        <w:ind w:left="4" w:right="120" w:firstLine="436"/>
        <w:spacing w:after="0" w:line="286" w:lineRule="auto"/>
        <w:tabs>
          <w:tab w:leader="none" w:pos="884"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the present value of the accrued benefit liabilities (whether or not vested) under each Foreign Pension Plan, determined as of the end of the Borrower’s most recently ended fiscal year on the basis of actuarial assumptions, each of which is reasonable, could reasonably be expected to exceed the assets of such Foreign Pension Plans allocable to such benefit liabilities by more than $10.0 million;</w:t>
      </w:r>
    </w:p>
    <w:p>
      <w:pPr>
        <w:spacing w:after="0" w:line="165" w:lineRule="exact"/>
        <w:rPr>
          <w:rFonts w:ascii="Arial" w:cs="Arial" w:eastAsia="Arial" w:hAnsi="Arial"/>
          <w:sz w:val="17"/>
          <w:szCs w:val="17"/>
          <w:color w:val="auto"/>
        </w:rPr>
      </w:pPr>
    </w:p>
    <w:p>
      <w:pPr>
        <w:ind w:left="824" w:hanging="384"/>
        <w:spacing w:after="0"/>
        <w:tabs>
          <w:tab w:leader="none" w:pos="82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left="4" w:right="120" w:firstLine="436"/>
        <w:spacing w:after="0" w:line="263" w:lineRule="auto"/>
        <w:tabs>
          <w:tab w:leader="none" w:pos="83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Loan Guaranty shall fail to remain in full force or effect with respect to each Loan Guarantor or any action shall be taken to discontinue or to assert the invalidity or unenforceability of the Loan Guaranty or any Loan Guarantor shall deny that it has any further liability under the Loan Guaranty to which it is a party, or shall give notice to such effect;</w:t>
      </w:r>
    </w:p>
    <w:p>
      <w:pPr>
        <w:spacing w:after="0" w:line="183" w:lineRule="exact"/>
        <w:rPr>
          <w:rFonts w:ascii="Arial" w:cs="Arial" w:eastAsia="Arial" w:hAnsi="Arial"/>
          <w:sz w:val="18"/>
          <w:szCs w:val="18"/>
          <w:color w:val="auto"/>
        </w:rPr>
      </w:pPr>
    </w:p>
    <w:p>
      <w:pPr>
        <w:ind w:left="4" w:right="60" w:firstLine="436"/>
        <w:spacing w:after="0" w:line="296" w:lineRule="auto"/>
        <w:tabs>
          <w:tab w:leader="none" w:pos="834"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 any Collateral Document shall for any reason fail to create a valid and perfected first priority security interest in any Collateral purported to be covered thereby (other than with respect to Collateral collectively having a book value not exceeding $5.0 million), except as permitted by the terms of any Collateral Document or other Loan Document, (ii) any material provision of any Collateral Document shall fail to remain in full force or effect or (iii) any action shall be taken by any Loan Party to discontinue or to assert the invalidity or unenforceability of any Collateral Document or the failure of such Collateral Document to create a valid and perfected first priority security interest in any Collateral purported to be covered thereby;</w:t>
      </w:r>
    </w:p>
    <w:p>
      <w:pPr>
        <w:spacing w:after="0" w:line="161" w:lineRule="exact"/>
        <w:rPr>
          <w:rFonts w:ascii="Arial" w:cs="Arial" w:eastAsia="Arial" w:hAnsi="Arial"/>
          <w:sz w:val="16"/>
          <w:szCs w:val="16"/>
          <w:color w:val="auto"/>
        </w:rPr>
      </w:pPr>
    </w:p>
    <w:p>
      <w:pPr>
        <w:ind w:left="4" w:firstLine="436"/>
        <w:spacing w:after="0" w:line="259" w:lineRule="auto"/>
        <w:tabs>
          <w:tab w:leader="none" w:pos="83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or</w:t>
      </w:r>
    </w:p>
    <w:p>
      <w:pPr>
        <w:spacing w:after="0" w:line="186" w:lineRule="exact"/>
        <w:rPr>
          <w:rFonts w:ascii="Arial" w:cs="Arial" w:eastAsia="Arial" w:hAnsi="Arial"/>
          <w:sz w:val="18"/>
          <w:szCs w:val="18"/>
          <w:color w:val="auto"/>
        </w:rPr>
      </w:pPr>
    </w:p>
    <w:p>
      <w:pPr>
        <w:ind w:left="4" w:right="260" w:firstLine="436"/>
        <w:spacing w:after="0" w:line="263" w:lineRule="auto"/>
        <w:tabs>
          <w:tab w:leader="none" w:pos="80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Obligations shall cease or any Loan Party has asserted in writing that the Obligations cease to constitute senior indebtedness under the subordination provisions of any document or instrument evidencing Subordinated Indebtedness or any such subordination provision ceases, for any reason, to be a valid, binding and enforceable obligation of the parties hereto,</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84"/>
          </w:cols>
          <w:pgMar w:left="436" w:top="274" w:right="479" w:bottom="1440" w:gutter="0" w:footer="0" w:header="0"/>
        </w:sectPr>
      </w:pPr>
    </w:p>
    <w:bookmarkStart w:id="99" w:name="page100"/>
    <w:bookmarkEnd w:id="99"/>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then, and in every such event (other than an event with respect to the Borrower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(i)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and unpaid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Upon the occurrence and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Appointment</w:t>
      </w:r>
      <w:r>
        <w:rPr>
          <w:rFonts w:ascii="Arial" w:cs="Arial" w:eastAsia="Arial" w:hAnsi="Arial"/>
          <w:sz w:val="17"/>
          <w:szCs w:val="17"/>
          <w:color w:val="auto"/>
        </w:rPr>
        <w:t xml:space="preserve">. Each of the Lenders, on behalf of itself and any of its Affiliates that are Secured Parties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In addition, to the extent required under the laws of any jurisdiction other than the U.S., each of the Lenders and the Issuing Bank hereby grants to the Administrative Agent any required powers of attorney to execute any Collateral Document governed by the laws of such jurisdiction on such Lender’s or Issuing Bank’s behalf. The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are solely for the benefit of the Administrative Agent and the Lenders (including the Issuing Bank), and the Loan Parties shall not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8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Loan Parties or any Subsidiary of a Loan Party or other Affiliate thereof as if it were not the Administrative Agent hereunder.</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Duties and Obligations</w:t>
      </w:r>
      <w:r>
        <w:rPr>
          <w:rFonts w:ascii="Arial" w:cs="Arial" w:eastAsia="Arial" w:hAnsi="Arial"/>
          <w:sz w:val="18"/>
          <w:szCs w:val="18"/>
          <w:color w:val="auto"/>
        </w:rPr>
        <w:t>. The Administrative Agent shall not have any duties or obligations except those expressly set forth in the Loan Documents. Without limiting the generality of the foregoing, (a) the Administrative Agent shall not be subject to any fiduciary or other implied duties,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00" w:name="page101"/>
    <w:bookmarkEnd w:id="10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(c) except as expressly set forth in the Loan Documents, the Administrative Agent shall not have any duty to disclose, and shall not be liable for the failure to disclose, any information relating to any Loan Party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 or (vi)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in any Loan Document, other than to confirm receipt of items expressly required to be delivered to the Administrative Agent. None of the Lenders or other Persons identified on the facing page or signature pages of this Agreement as a “syndication agent,” “documentation agent,” “lead arranger,” “bookrunner” or other similar term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39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Reliance</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Actions through Sub-Agents</w:t>
      </w:r>
      <w:r>
        <w:rPr>
          <w:rFonts w:ascii="Arial" w:cs="Arial" w:eastAsia="Arial" w:hAnsi="Arial"/>
          <w:sz w:val="16"/>
          <w:szCs w:val="16"/>
          <w:color w:val="auto"/>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61"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Resignation</w:t>
      </w:r>
      <w:r>
        <w:rPr>
          <w:rFonts w:ascii="Arial" w:cs="Arial" w:eastAsia="Arial" w:hAnsi="Arial"/>
          <w:sz w:val="16"/>
          <w:szCs w:val="16"/>
          <w:color w:val="auto"/>
        </w:rPr>
        <w:t>. Subject to the appointment and acceptance of a successor Administrative Agent as provided in this paragraph, the Administrative Agent may resign at any time by notifying the Lenders, the Issuing Banks and the Borrower. Upon any such resignation, the Required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1" w:name="page102"/>
    <w:bookmarkEnd w:id="10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Lenders shall have the right, in consultation with the Borrower,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commercial bank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(a) the retiring Administrative Agent shall be discharged from its duties and obligations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w:t>
      </w:r>
    </w:p>
    <w:p>
      <w:pPr>
        <w:spacing w:after="0" w:line="173"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Non-Reliance</w:t>
      </w:r>
      <w:r>
        <w:rPr>
          <w:rFonts w:ascii="Arial" w:cs="Arial" w:eastAsia="Arial" w:hAnsi="Arial"/>
          <w:sz w:val="17"/>
          <w:szCs w:val="17"/>
          <w:color w:val="auto"/>
        </w:rPr>
        <w:t>. 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02" w:name="page103"/>
    <w:bookmarkEnd w:id="102"/>
    <w:p>
      <w:pPr>
        <w:ind w:left="420"/>
        <w:spacing w:after="0"/>
        <w:tabs>
          <w:tab w:leader="none" w:pos="1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8.08</w:t>
      </w:r>
      <w:r>
        <w:rPr>
          <w:sz w:val="20"/>
          <w:szCs w:val="20"/>
          <w:color w:val="auto"/>
        </w:rPr>
        <w:tab/>
      </w:r>
      <w:r>
        <w:rPr>
          <w:rFonts w:ascii="Arial" w:cs="Arial" w:eastAsia="Arial" w:hAnsi="Arial"/>
          <w:sz w:val="16"/>
          <w:szCs w:val="16"/>
          <w:u w:val="single" w:color="auto"/>
          <w:color w:val="auto"/>
        </w:rPr>
        <w:t>Not Partners or Co-Venturers; Administrative Agent as Representative of the Secured Parties</w:t>
      </w:r>
      <w:r>
        <w:rPr>
          <w:rFonts w:ascii="Arial" w:cs="Arial" w:eastAsia="Arial" w:hAnsi="Arial"/>
          <w:sz w:val="16"/>
          <w:szCs w:val="16"/>
          <w:color w:val="auto"/>
        </w:rPr>
        <w:t>.</w:t>
      </w:r>
    </w:p>
    <w:p>
      <w:pPr>
        <w:spacing w:after="0" w:line="225" w:lineRule="exact"/>
        <w:rPr>
          <w:sz w:val="20"/>
          <w:szCs w:val="20"/>
          <w:color w:val="auto"/>
        </w:rPr>
      </w:pPr>
    </w:p>
    <w:p>
      <w:pPr>
        <w:ind w:left="-20" w:right="40" w:firstLine="436"/>
        <w:spacing w:after="0" w:line="259" w:lineRule="auto"/>
        <w:tabs>
          <w:tab w:leader="none" w:pos="79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6" w:lineRule="exact"/>
        <w:rPr>
          <w:rFonts w:ascii="Arial" w:cs="Arial" w:eastAsia="Arial" w:hAnsi="Arial"/>
          <w:sz w:val="18"/>
          <w:szCs w:val="18"/>
          <w:color w:val="auto"/>
        </w:rPr>
      </w:pPr>
    </w:p>
    <w:p>
      <w:pPr>
        <w:ind w:left="-20" w:right="20" w:firstLine="436"/>
        <w:spacing w:after="0" w:line="289" w:lineRule="auto"/>
        <w:tabs>
          <w:tab w:leader="none" w:pos="81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its capacity, the Administrative Agent is a “representative” of the Secured Parties within the meaning of the term “secured party” as defined in the New York Uniform Commercial Code. Each Lender (and other Secured Party by its acceptance of the benefits of the Loan Documents) authorizes the Administrative Agent to enter into each of the Collateral Documents to which it is a party and to take all action contemplated by such documents. Each Lender (and other Secured Party by its acceptance of the benefits of the Loan Documents)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66"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6"/>
          <w:szCs w:val="16"/>
          <w:u w:val="single" w:color="auto"/>
          <w:color w:val="auto"/>
        </w:rPr>
        <w:t>Lenders Not Subject to ERISA</w:t>
      </w:r>
      <w:r>
        <w:rPr>
          <w:rFonts w:ascii="Arial" w:cs="Arial" w:eastAsia="Arial" w:hAnsi="Arial"/>
          <w:sz w:val="16"/>
          <w:szCs w:val="16"/>
          <w:color w:val="auto"/>
        </w:rPr>
        <w:t>.</w:t>
      </w:r>
    </w:p>
    <w:p>
      <w:pPr>
        <w:spacing w:after="0" w:line="225" w:lineRule="exact"/>
        <w:rPr>
          <w:sz w:val="20"/>
          <w:szCs w:val="20"/>
          <w:color w:val="auto"/>
        </w:rPr>
      </w:pPr>
    </w:p>
    <w:p>
      <w:pPr>
        <w:ind w:left="-20" w:right="120" w:firstLine="436"/>
        <w:spacing w:after="0" w:line="311" w:lineRule="auto"/>
        <w:tabs>
          <w:tab w:leader="none" w:pos="8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40" w:lineRule="exact"/>
        <w:rPr>
          <w:rFonts w:ascii="Arial" w:cs="Arial" w:eastAsia="Arial" w:hAnsi="Arial"/>
          <w:sz w:val="16"/>
          <w:szCs w:val="16"/>
          <w:color w:val="auto"/>
        </w:rPr>
      </w:pPr>
    </w:p>
    <w:p>
      <w:pPr>
        <w:ind w:left="420" w:firstLine="419"/>
        <w:spacing w:after="0" w:line="263" w:lineRule="auto"/>
        <w:tabs>
          <w:tab w:leader="none" w:pos="119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420" w:right="120" w:firstLine="419"/>
        <w:spacing w:after="0" w:line="273" w:lineRule="auto"/>
        <w:tabs>
          <w:tab w:leader="none" w:pos="1243"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69" w:lineRule="exact"/>
        <w:rPr>
          <w:rFonts w:ascii="Arial" w:cs="Arial" w:eastAsia="Arial" w:hAnsi="Arial"/>
          <w:sz w:val="17"/>
          <w:szCs w:val="17"/>
          <w:color w:val="auto"/>
        </w:rPr>
      </w:pPr>
    </w:p>
    <w:p>
      <w:pPr>
        <w:ind w:left="420" w:right="120" w:firstLine="419"/>
        <w:spacing w:after="0" w:line="259" w:lineRule="auto"/>
        <w:tabs>
          <w:tab w:leader="none" w:pos="129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60" w:top="274" w:right="459" w:bottom="1440" w:gutter="0" w:footer="0" w:header="0"/>
        </w:sectPr>
      </w:pPr>
    </w:p>
    <w:bookmarkStart w:id="103" w:name="page104"/>
    <w:bookmarkEnd w:id="103"/>
    <w:p>
      <w:pPr>
        <w:ind w:left="444"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41" w:lineRule="exact"/>
        <w:rPr>
          <w:sz w:val="20"/>
          <w:szCs w:val="20"/>
          <w:color w:val="auto"/>
        </w:rPr>
      </w:pPr>
    </w:p>
    <w:p>
      <w:pPr>
        <w:ind w:left="444" w:firstLine="419"/>
        <w:spacing w:after="0" w:line="277" w:lineRule="auto"/>
        <w:tabs>
          <w:tab w:leader="none" w:pos="1307" w:val="left"/>
        </w:tabs>
        <w:numPr>
          <w:ilvl w:val="2"/>
          <w:numId w:val="132"/>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4" w:right="60" w:firstLine="436"/>
        <w:spacing w:after="0" w:line="291" w:lineRule="auto"/>
        <w:tabs>
          <w:tab w:leader="none" w:pos="83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40" w:hanging="4"/>
        <w:spacing w:after="0" w:line="270" w:lineRule="auto"/>
        <w:tabs>
          <w:tab w:leader="none" w:pos="25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u w:val="single" w:color="auto"/>
          <w:color w:val="auto"/>
        </w:rPr>
        <w:t>Erroneous Payment</w:t>
      </w:r>
      <w:r>
        <w:rPr>
          <w:rFonts w:ascii="Arial" w:cs="Arial" w:eastAsia="Arial" w:hAnsi="Arial"/>
          <w:sz w:val="16"/>
          <w:szCs w:val="16"/>
          <w:color w:val="auto"/>
        </w:rPr>
        <w:t>.</w:t>
      </w:r>
    </w:p>
    <w:p>
      <w:pPr>
        <w:spacing w:after="0" w:line="225" w:lineRule="exact"/>
        <w:rPr>
          <w:sz w:val="20"/>
          <w:szCs w:val="20"/>
          <w:color w:val="auto"/>
        </w:rPr>
      </w:pPr>
    </w:p>
    <w:p>
      <w:pPr>
        <w:ind w:left="4" w:firstLine="436"/>
        <w:spacing w:after="0" w:line="286" w:lineRule="auto"/>
        <w:tabs>
          <w:tab w:leader="none" w:pos="82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the Administrative Agent notifies a Lender, Issuing Bank or Secured Party, or any Person who has received funds on behalf of a Lender, Issuing Bank or Secured Party such Lender or Issuing Bank (any such Lender, Issuing Bank, Secured Party or other recipient, a “</w:t>
      </w:r>
      <w:r>
        <w:rPr>
          <w:rFonts w:ascii="Arial" w:cs="Arial" w:eastAsia="Arial" w:hAnsi="Arial"/>
          <w:sz w:val="16"/>
          <w:szCs w:val="16"/>
          <w:u w:val="single" w:color="auto"/>
          <w:color w:val="auto"/>
        </w:rPr>
        <w:t>Payment Recipient</w:t>
      </w:r>
      <w:r>
        <w:rPr>
          <w:rFonts w:ascii="Arial" w:cs="Arial" w:eastAsia="Arial" w:hAnsi="Arial"/>
          <w:sz w:val="16"/>
          <w:szCs w:val="16"/>
          <w:color w:val="auto"/>
        </w:rPr>
        <w:t xml:space="preserve">”) that the Administrative Agent has determined in its sole discretion (whether or not after receipt of any notice under immediately succeeding </w:t>
      </w:r>
      <w:r>
        <w:rPr>
          <w:rFonts w:ascii="Arial" w:cs="Arial" w:eastAsia="Arial" w:hAnsi="Arial"/>
          <w:sz w:val="16"/>
          <w:szCs w:val="16"/>
          <w:u w:val="single" w:color="auto"/>
          <w:color w:val="auto"/>
        </w:rPr>
        <w:t>clause (b)</w:t>
      </w:r>
      <w:r>
        <w:rPr>
          <w:rFonts w:ascii="Arial" w:cs="Arial" w:eastAsia="Arial" w:hAnsi="Arial"/>
          <w:sz w:val="16"/>
          <w:szCs w:val="16"/>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Arial" w:cs="Arial" w:eastAsia="Arial" w:hAnsi="Arial"/>
          <w:sz w:val="16"/>
          <w:szCs w:val="16"/>
          <w:u w:val="single" w:color="auto"/>
          <w:color w:val="auto"/>
        </w:rPr>
        <w:t>Erroneous Payment</w:t>
      </w:r>
      <w:r>
        <w:rPr>
          <w:rFonts w:ascii="Arial" w:cs="Arial" w:eastAsia="Arial" w:hAnsi="Arial"/>
          <w:sz w:val="16"/>
          <w:szCs w:val="16"/>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be conclusive, absent manifest error.</w:t>
      </w:r>
    </w:p>
    <w:p>
      <w:pPr>
        <w:spacing w:after="0" w:line="167" w:lineRule="exact"/>
        <w:rPr>
          <w:rFonts w:ascii="Arial" w:cs="Arial" w:eastAsia="Arial" w:hAnsi="Arial"/>
          <w:sz w:val="16"/>
          <w:szCs w:val="16"/>
          <w:color w:val="auto"/>
        </w:rPr>
      </w:pPr>
    </w:p>
    <w:p>
      <w:pPr>
        <w:ind w:left="4" w:right="240" w:firstLine="436"/>
        <w:spacing w:after="0" w:line="259" w:lineRule="auto"/>
        <w:tabs>
          <w:tab w:leader="none" w:pos="83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Without limiting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each Lender, Issuing Bank or Secured Party, or any Person who has received funds on behalf of a Lender, Issuing Bank or Secured Party such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4"/>
          </w:cols>
          <w:pgMar w:left="436" w:top="274" w:right="479" w:bottom="1440" w:gutter="0" w:footer="0" w:header="0"/>
        </w:sectPr>
      </w:pPr>
    </w:p>
    <w:bookmarkStart w:id="104" w:name="page105"/>
    <w:bookmarkEnd w:id="104"/>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spacing w:after="0" w:line="63" w:lineRule="exact"/>
        <w:rPr>
          <w:sz w:val="20"/>
          <w:szCs w:val="20"/>
          <w:color w:val="auto"/>
        </w:rPr>
      </w:pPr>
    </w:p>
    <w:p>
      <w:pPr>
        <w:jc w:val="both"/>
        <w:ind w:left="440" w:right="60" w:firstLine="419"/>
        <w:spacing w:after="0" w:line="263" w:lineRule="auto"/>
        <w:tabs>
          <w:tab w:leader="none" w:pos="121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(A) in the case of immediately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 error shall be presumed to have been made (absent written confirmation from the Administrative Agent to the contrary) or (B) an error has been made (in the case of immediately preceding </w:t>
      </w:r>
      <w:r>
        <w:rPr>
          <w:rFonts w:ascii="Arial" w:cs="Arial" w:eastAsia="Arial" w:hAnsi="Arial"/>
          <w:sz w:val="18"/>
          <w:szCs w:val="18"/>
          <w:u w:val="single" w:color="auto"/>
          <w:color w:val="auto"/>
        </w:rPr>
        <w:t>clause (z)</w:t>
      </w:r>
      <w:r>
        <w:rPr>
          <w:rFonts w:ascii="Arial" w:cs="Arial" w:eastAsia="Arial" w:hAnsi="Arial"/>
          <w:sz w:val="18"/>
          <w:szCs w:val="18"/>
          <w:color w:val="auto"/>
        </w:rPr>
        <w:t>), in each case, with respect to such payment, prepayment or repayment; and</w:t>
      </w:r>
    </w:p>
    <w:p>
      <w:pPr>
        <w:spacing w:after="0" w:line="75" w:lineRule="exact"/>
        <w:rPr>
          <w:rFonts w:ascii="Arial" w:cs="Arial" w:eastAsia="Arial" w:hAnsi="Arial"/>
          <w:sz w:val="18"/>
          <w:szCs w:val="18"/>
          <w:color w:val="auto"/>
        </w:rPr>
      </w:pPr>
    </w:p>
    <w:p>
      <w:pPr>
        <w:ind w:left="440" w:right="200" w:firstLine="419"/>
        <w:spacing w:after="0" w:line="259" w:lineRule="auto"/>
        <w:tabs>
          <w:tab w:leader="none" w:pos="126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Arial" w:cs="Arial" w:eastAsia="Arial" w:hAnsi="Arial"/>
          <w:sz w:val="18"/>
          <w:szCs w:val="18"/>
          <w:u w:val="single" w:color="auto"/>
          <w:color w:val="auto"/>
        </w:rPr>
        <w:t>Section 8.10(b)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36"/>
        <w:spacing w:after="0" w:line="259" w:lineRule="auto"/>
        <w:tabs>
          <w:tab w:leader="none" w:pos="8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under the indemnification provisions of this Agreement.</w:t>
      </w:r>
    </w:p>
    <w:p>
      <w:pPr>
        <w:spacing w:after="0" w:line="186" w:lineRule="exact"/>
        <w:rPr>
          <w:rFonts w:ascii="Arial" w:cs="Arial" w:eastAsia="Arial" w:hAnsi="Arial"/>
          <w:sz w:val="18"/>
          <w:szCs w:val="18"/>
          <w:color w:val="auto"/>
        </w:rPr>
      </w:pPr>
    </w:p>
    <w:p>
      <w:pPr>
        <w:ind w:firstLine="436"/>
        <w:spacing w:after="0" w:line="285" w:lineRule="auto"/>
        <w:tabs>
          <w:tab w:leader="none" w:pos="83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In the event that an Erroneous Payment (or portion thereof) is not recovered by the Administrative Agent for any reason, after demand therefor by the Administrative Agent in accordance with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6"/>
          <w:szCs w:val="16"/>
          <w:u w:val="single" w:color="auto"/>
          <w:color w:val="auto"/>
        </w:rPr>
        <w:t>Erroneous Payment Return Deficiency</w:t>
      </w:r>
      <w:r>
        <w:rPr>
          <w:rFonts w:ascii="Arial" w:cs="Arial" w:eastAsia="Arial" w:hAnsi="Arial"/>
          <w:sz w:val="16"/>
          <w:szCs w:val="16"/>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Arial" w:cs="Arial" w:eastAsia="Arial" w:hAnsi="Arial"/>
          <w:sz w:val="16"/>
          <w:szCs w:val="16"/>
          <w:u w:val="single" w:color="auto"/>
          <w:color w:val="auto"/>
        </w:rPr>
        <w:t>Erroneous Payment Impacted Class</w:t>
      </w:r>
      <w:r>
        <w:rPr>
          <w:rFonts w:ascii="Arial" w:cs="Arial" w:eastAsia="Arial" w:hAnsi="Arial"/>
          <w:sz w:val="16"/>
          <w:szCs w:val="16"/>
          <w:color w:val="auto"/>
        </w:rPr>
        <w:t>”) in an amount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6"/>
          <w:szCs w:val="16"/>
          <w:u w:val="single" w:color="auto"/>
          <w:color w:val="auto"/>
        </w:rPr>
        <w:t>Erroneous Payment Deficiency Assignment</w:t>
      </w:r>
      <w:r>
        <w:rPr>
          <w:rFonts w:ascii="Arial" w:cs="Arial" w:eastAsia="Arial" w:hAnsi="Arial"/>
          <w:sz w:val="16"/>
          <w:szCs w:val="16"/>
          <w:color w:val="auto"/>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Electronic System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105" w:name="page106"/>
    <w:bookmarkEnd w:id="10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Arial" w:cs="Arial" w:eastAsia="Arial" w:hAnsi="Arial"/>
          <w:sz w:val="16"/>
          <w:szCs w:val="16"/>
          <w:u w:val="single" w:color="auto"/>
          <w:color w:val="auto"/>
        </w:rPr>
        <w:t>Erroneous Payment Subrogation Rights</w:t>
      </w:r>
      <w:r>
        <w:rPr>
          <w:rFonts w:ascii="Arial" w:cs="Arial" w:eastAsia="Arial" w:hAnsi="Arial"/>
          <w:sz w:val="16"/>
          <w:szCs w:val="16"/>
          <w:color w:val="auto"/>
        </w:rPr>
        <w:t>”).</w:t>
      </w:r>
    </w:p>
    <w:p>
      <w:pPr>
        <w:spacing w:after="0" w:line="165" w:lineRule="exact"/>
        <w:rPr>
          <w:sz w:val="20"/>
          <w:szCs w:val="20"/>
          <w:color w:val="auto"/>
        </w:rPr>
      </w:pPr>
    </w:p>
    <w:p>
      <w:pPr>
        <w:ind w:right="120" w:firstLine="436"/>
        <w:spacing w:after="0" w:line="259" w:lineRule="auto"/>
        <w:tabs>
          <w:tab w:leader="none" w:pos="81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86" w:lineRule="exact"/>
        <w:rPr>
          <w:rFonts w:ascii="Arial" w:cs="Arial" w:eastAsia="Arial" w:hAnsi="Arial"/>
          <w:sz w:val="18"/>
          <w:szCs w:val="18"/>
          <w:color w:val="auto"/>
        </w:rPr>
      </w:pPr>
    </w:p>
    <w:p>
      <w:pPr>
        <w:ind w:right="60" w:firstLine="436"/>
        <w:spacing w:after="0" w:line="259" w:lineRule="auto"/>
        <w:tabs>
          <w:tab w:leader="none" w:pos="79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6" w:lineRule="exact"/>
        <w:rPr>
          <w:rFonts w:ascii="Arial" w:cs="Arial" w:eastAsia="Arial" w:hAnsi="Arial"/>
          <w:sz w:val="18"/>
          <w:szCs w:val="18"/>
          <w:color w:val="auto"/>
        </w:rPr>
      </w:pPr>
    </w:p>
    <w:p>
      <w:pPr>
        <w:ind w:right="140" w:firstLine="436"/>
        <w:spacing w:after="0" w:line="263" w:lineRule="auto"/>
        <w:tabs>
          <w:tab w:leader="none" w:pos="83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Each party’s obligations, agreements and waivers under this </w:t>
      </w: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right="120" w:firstLine="436"/>
        <w:spacing w:after="0" w:line="263" w:lineRule="auto"/>
        <w:tabs>
          <w:tab w:leader="none" w:pos="8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Except in the case of notices and other communications expressly permitted to be given by telephone or Electronic Systems (and subject in each case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fax, as follows:</w:t>
      </w:r>
    </w:p>
    <w:p>
      <w:pPr>
        <w:spacing w:after="0" w:line="75" w:lineRule="exact"/>
        <w:rPr>
          <w:rFonts w:ascii="Arial" w:cs="Arial" w:eastAsia="Arial" w:hAnsi="Arial"/>
          <w:sz w:val="18"/>
          <w:szCs w:val="18"/>
          <w:color w:val="auto"/>
        </w:rPr>
      </w:pPr>
    </w:p>
    <w:p>
      <w:pPr>
        <w:ind w:left="1200" w:hanging="341"/>
        <w:spacing w:after="0"/>
        <w:tabs>
          <w:tab w:leader="none" w:pos="12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to any Loan Party, to the Borrower at:</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Flywire Corporation</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141 Tremont Street,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CFO and General Counsel</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Address: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mellis@flywire.com – CFO</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peter@flywire.com – GC and CCO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6" w:name="page107"/>
    <w:bookmarkEnd w:id="106"/>
    <w:p>
      <w:pPr>
        <w:ind w:left="1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Rutan &amp; Tucker,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18575 Jamboree Road, 9th Floor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Irvine, CA 92612 USA</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Shigenobu Itoh</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Address: sitoh@rutan.com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Number: (714) 546-9035</w:t>
      </w:r>
    </w:p>
    <w:p>
      <w:pPr>
        <w:spacing w:after="0" w:line="103" w:lineRule="exact"/>
        <w:rPr>
          <w:sz w:val="20"/>
          <w:szCs w:val="20"/>
          <w:color w:val="auto"/>
        </w:rPr>
      </w:pPr>
    </w:p>
    <w:p>
      <w:pPr>
        <w:ind w:left="1260" w:hanging="401"/>
        <w:spacing w:after="0"/>
        <w:tabs>
          <w:tab w:leader="none" w:pos="1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to the Administrative Agent or to Citi, in its capacity as Issuing Bank or Swingline Lender, to Citibank, N.A. at:</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John Kjeldgaard</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Address: john.kjeldgaard@citi.com</w:t>
      </w:r>
    </w:p>
    <w:p>
      <w:pPr>
        <w:spacing w:after="0" w:line="10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250 Vesey Street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New York 10281</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Lewis Grimm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Address: lgrimm@jonesday.com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Number: (212) 755-7306</w:t>
      </w:r>
    </w:p>
    <w:p>
      <w:pPr>
        <w:spacing w:after="0" w:line="103" w:lineRule="exact"/>
        <w:rPr>
          <w:sz w:val="20"/>
          <w:szCs w:val="20"/>
          <w:color w:val="auto"/>
        </w:rPr>
      </w:pPr>
    </w:p>
    <w:p>
      <w:pPr>
        <w:ind w:left="1300" w:hanging="441"/>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to any other Lender, to it at its address, e-mail address or fax number set forth in its Administrative Questionnaire.</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not given during normal business hours of the recipient, such notice or communication shall be deemed to have been given at the opening of business on the next Business Day for the recipient or (iii) delivered through Electronic Systems to the extent provided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below shall be effective as provided in such </w:t>
      </w:r>
      <w:r>
        <w:rPr>
          <w:rFonts w:ascii="Arial" w:cs="Arial" w:eastAsia="Arial" w:hAnsi="Arial"/>
          <w:sz w:val="16"/>
          <w:szCs w:val="16"/>
          <w:u w:val="single" w:color="auto"/>
          <w:color w:val="auto"/>
        </w:rPr>
        <w:t>clause (b)</w:t>
      </w:r>
      <w:r>
        <w:rPr>
          <w:rFonts w:ascii="Arial" w:cs="Arial" w:eastAsia="Arial" w:hAnsi="Arial"/>
          <w:sz w:val="16"/>
          <w:szCs w:val="16"/>
          <w:color w:val="auto"/>
        </w:rPr>
        <w:t>.</w:t>
      </w:r>
    </w:p>
    <w:p>
      <w:pPr>
        <w:spacing w:after="0" w:line="157" w:lineRule="exact"/>
        <w:rPr>
          <w:sz w:val="20"/>
          <w:szCs w:val="20"/>
          <w:color w:val="auto"/>
        </w:rPr>
      </w:pPr>
    </w:p>
    <w:p>
      <w:pPr>
        <w:ind w:right="20" w:firstLine="436"/>
        <w:spacing w:after="0" w:line="288" w:lineRule="auto"/>
        <w:tabs>
          <w:tab w:leader="none" w:pos="83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Lenders hereunder may be delivered or furnished by Electronic Systems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to compliance and no Event of Default certificates delivered pursuant to </w:t>
      </w:r>
      <w:r>
        <w:rPr>
          <w:rFonts w:ascii="Arial" w:cs="Arial" w:eastAsia="Arial" w:hAnsi="Arial"/>
          <w:sz w:val="16"/>
          <w:szCs w:val="16"/>
          <w:u w:val="single" w:color="auto"/>
          <w:color w:val="auto"/>
        </w:rPr>
        <w:t>Section 5.01(d)</w:t>
      </w:r>
      <w:r>
        <w:rPr>
          <w:rFonts w:ascii="Arial" w:cs="Arial" w:eastAsia="Arial" w:hAnsi="Arial"/>
          <w:sz w:val="16"/>
          <w:szCs w:val="16"/>
          <w:color w:val="auto"/>
        </w:rPr>
        <w:t xml:space="preserve"> unless otherwise agreed by the Administrative Agent and the applicable Lender. Each of the Administrative Agent and the Borrower (on behalf of the Loan Parties) may, in its discretion, agree to accept notices and other communications to it hereunder by Electronic Systems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Unless the Administrative Agent otherwise proscribes,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40"/>
          </w:cols>
          <w:pgMar w:left="440" w:top="274" w:right="519" w:bottom="1440" w:gutter="0" w:footer="0" w:header="0"/>
        </w:sectPr>
      </w:pPr>
    </w:p>
    <w:bookmarkStart w:id="107" w:name="page108"/>
    <w:bookmarkEnd w:id="107"/>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address as described in the foregoing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49" w:lineRule="exact"/>
        <w:rPr>
          <w:sz w:val="20"/>
          <w:szCs w:val="20"/>
          <w:color w:val="auto"/>
        </w:rPr>
      </w:pPr>
    </w:p>
    <w:p>
      <w:pPr>
        <w:ind w:right="380" w:firstLine="436"/>
        <w:spacing w:after="0" w:line="277" w:lineRule="auto"/>
        <w:tabs>
          <w:tab w:leader="none" w:pos="81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party hereto may change its address, fax number or e-mail address for notices and other communications hereunder by notice to the other parties hereto.</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Electronic Systems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320" w:firstLine="419"/>
        <w:spacing w:after="0" w:line="263" w:lineRule="auto"/>
        <w:tabs>
          <w:tab w:leader="none" w:pos="121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75" w:lineRule="exact"/>
        <w:rPr>
          <w:rFonts w:ascii="Arial" w:cs="Arial" w:eastAsia="Arial" w:hAnsi="Arial"/>
          <w:sz w:val="18"/>
          <w:szCs w:val="18"/>
          <w:color w:val="auto"/>
        </w:rPr>
      </w:pPr>
    </w:p>
    <w:p>
      <w:pPr>
        <w:ind w:left="440" w:firstLine="419"/>
        <w:spacing w:after="0" w:line="287" w:lineRule="auto"/>
        <w:tabs>
          <w:tab w:leader="none" w:pos="1253"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have any liability to the Borrower or the other Loan Parties, any Lender, the Issuing Bank or any other Person or entity for damages of any kind, including direct or indirect, special, incidental or consequential damages, losses or expenses (whether in tort, contract or otherwise) arising out of the Borrower’s, any Loan Party’s, or the Administrative Agent’s transmission of communications through an Electronic System. “</w:t>
      </w:r>
      <w:r>
        <w:rPr>
          <w:rFonts w:ascii="Arial" w:cs="Arial" w:eastAsia="Arial" w:hAnsi="Arial"/>
          <w:sz w:val="16"/>
          <w:szCs w:val="16"/>
          <w:u w:val="single" w:color="auto"/>
          <w:color w:val="auto"/>
        </w:rPr>
        <w:t>Communications</w:t>
      </w:r>
      <w:r>
        <w:rPr>
          <w:rFonts w:ascii="Arial" w:cs="Arial" w:eastAsia="Arial" w:hAnsi="Arial"/>
          <w:sz w:val="16"/>
          <w:szCs w:val="16"/>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w:t>
      </w:r>
      <w:r>
        <w:rPr>
          <w:rFonts w:ascii="Arial" w:cs="Arial" w:eastAsia="Arial" w:hAnsi="Arial"/>
          <w:sz w:val="16"/>
          <w:szCs w:val="16"/>
          <w:u w:val="single" w:color="auto"/>
          <w:color w:val="auto"/>
        </w:rPr>
        <w:t>Section 9.01</w:t>
      </w:r>
      <w:r>
        <w:rPr>
          <w:rFonts w:ascii="Arial" w:cs="Arial" w:eastAsia="Arial" w:hAnsi="Arial"/>
          <w:sz w:val="16"/>
          <w:szCs w:val="16"/>
          <w:color w:val="auto"/>
        </w:rPr>
        <w:t>, including through an Electronic System.</w:t>
      </w:r>
    </w:p>
    <w:p>
      <w:pPr>
        <w:spacing w:after="0" w:line="17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69" w:lineRule="auto"/>
        <w:tabs>
          <w:tab w:leader="none" w:pos="8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No failure or delay by the Administrative Agent, any Swingline Lender,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any Swingline Lender,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9.02</w:t>
      </w:r>
      <w:r>
        <w:rPr>
          <w:rFonts w:ascii="Arial" w:cs="Arial" w:eastAsia="Arial" w:hAnsi="Arial"/>
          <w:sz w:val="17"/>
          <w:szCs w:val="17"/>
          <w:color w:val="auto"/>
        </w:rPr>
        <w:t>, and then such waiver or consent shall be effective only in the specific instance and for the purpose for which given. Without limiting the generality of the foregoing, the making of a Loan (including any Swingline Loan) or issuance of a Letter of Credit shall not be construed as a waiver of any Default, regardless of whether the Administrative Agent, any Lender or any Issuing Bank may have had notice or knowledge of such Default at the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108" w:name="page109"/>
    <w:bookmarkEnd w:id="108"/>
    <w:p>
      <w:pPr>
        <w:ind w:left="4" w:firstLine="436"/>
        <w:spacing w:after="0" w:line="282" w:lineRule="auto"/>
        <w:tabs>
          <w:tab w:leader="none" w:pos="834" w:val="left"/>
        </w:tabs>
        <w:numPr>
          <w:ilvl w:val="1"/>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provided in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2.22</w:t>
      </w:r>
      <w:r>
        <w:rPr>
          <w:rFonts w:ascii="Arial" w:cs="Arial" w:eastAsia="Arial" w:hAnsi="Arial"/>
          <w:sz w:val="16"/>
          <w:szCs w:val="16"/>
          <w:color w:val="auto"/>
        </w:rPr>
        <w:t xml:space="preserve"> (with respect to any commitment increase), </w:t>
      </w:r>
      <w:r>
        <w:rPr>
          <w:rFonts w:ascii="Arial" w:cs="Arial" w:eastAsia="Arial" w:hAnsi="Arial"/>
          <w:sz w:val="16"/>
          <w:szCs w:val="16"/>
          <w:u w:val="single" w:color="auto"/>
          <w:color w:val="auto"/>
        </w:rPr>
        <w:t>2.24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2.25</w:t>
      </w:r>
      <w:r>
        <w:rPr>
          <w:rFonts w:ascii="Arial" w:cs="Arial" w:eastAsia="Arial" w:hAnsi="Arial"/>
          <w:sz w:val="16"/>
          <w:szCs w:val="16"/>
          <w:color w:val="auto"/>
        </w:rPr>
        <w:t xml:space="preserv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(including any such Lender that is a Defaulting Lender), (ii)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(other than as a result of the implementation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2.25</w:t>
      </w:r>
      <w:r>
        <w:rPr>
          <w:rFonts w:ascii="Arial" w:cs="Arial" w:eastAsia="Arial" w:hAnsi="Arial"/>
          <w:sz w:val="16"/>
          <w:szCs w:val="16"/>
          <w:color w:val="auto"/>
        </w:rPr>
        <w:t xml:space="preserve"> or any waiver of any default interest applicable pursuant to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(iv) change </w:t>
      </w:r>
      <w:r>
        <w:rPr>
          <w:rFonts w:ascii="Arial" w:cs="Arial" w:eastAsia="Arial" w:hAnsi="Arial"/>
          <w:sz w:val="16"/>
          <w:szCs w:val="16"/>
          <w:u w:val="single" w:color="auto"/>
          <w:color w:val="auto"/>
        </w:rPr>
        <w:t>Section 2.09(d)</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2.11(c)</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2.18(b) or (d)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2.24(c)</w:t>
      </w:r>
      <w:r>
        <w:rPr>
          <w:rFonts w:ascii="Arial" w:cs="Arial" w:eastAsia="Arial" w:hAnsi="Arial"/>
          <w:sz w:val="16"/>
          <w:szCs w:val="16"/>
          <w:color w:val="auto"/>
        </w:rPr>
        <w:t xml:space="preserve"> in a manner that would alter the manner in which payments or Commitment reductions are shared, without the written consent of each Lender (other than any Defaulting Lender), (v) change any of the provisions of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(vi) change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without the consent of each Lender (other than any Defaulting Lender), (vii) release any Loan Guarantor from its obligation under its Loan Guaranty (except as otherwise expressly permitted herein or in the other Loan Documents), without the written consent of each Lender (other than any Defaulting Lender), (viii) except as provided in </w:t>
      </w:r>
      <w:r>
        <w:rPr>
          <w:rFonts w:ascii="Arial" w:cs="Arial" w:eastAsia="Arial" w:hAnsi="Arial"/>
          <w:sz w:val="16"/>
          <w:szCs w:val="16"/>
          <w:u w:val="single" w:color="auto"/>
          <w:color w:val="auto"/>
        </w:rPr>
        <w:t>clauses</w:t>
      </w:r>
    </w:p>
    <w:p>
      <w:pPr>
        <w:spacing w:after="0" w:line="11" w:lineRule="exact"/>
        <w:rPr>
          <w:rFonts w:ascii="Arial" w:cs="Arial" w:eastAsia="Arial" w:hAnsi="Arial"/>
          <w:sz w:val="16"/>
          <w:szCs w:val="16"/>
          <w:color w:val="auto"/>
        </w:rPr>
      </w:pPr>
    </w:p>
    <w:p>
      <w:pPr>
        <w:ind w:left="4" w:right="100" w:hanging="4"/>
        <w:spacing w:after="0" w:line="269" w:lineRule="auto"/>
        <w:tabs>
          <w:tab w:leader="none" w:pos="249" w:val="left"/>
        </w:tabs>
        <w:numPr>
          <w:ilvl w:val="0"/>
          <w:numId w:val="146"/>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or in any Collateral Document, release all or substantially all of the Collateral, without the written consent of each Lender or (ix) subordinate the Liens on all or substantially all the value of the Collateral to the Liens securing any other Indebtedness, or contractually subordinate with respect to payment any Obligations, without the written consent of each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modify or otherwise affect the rights or duties of the Administrative Agent, Swingline Lenders or the Issuing Banks hereunder without the prior written consent of the Administrative Agent, Swingline Lenders or the Issuing Banks, as the case may be (it being understood that any change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shall require the consent of the Administrative Agent and the Issuing Banks). The Administrative Agent may also amend the </w:t>
      </w:r>
      <w:r>
        <w:rPr>
          <w:rFonts w:ascii="Arial" w:cs="Arial" w:eastAsia="Arial" w:hAnsi="Arial"/>
          <w:sz w:val="17"/>
          <w:szCs w:val="17"/>
          <w:u w:val="single" w:color="auto"/>
          <w:color w:val="auto"/>
        </w:rPr>
        <w:t>Commitment Schedule</w:t>
      </w:r>
      <w:r>
        <w:rPr>
          <w:rFonts w:ascii="Arial" w:cs="Arial" w:eastAsia="Arial" w:hAnsi="Arial"/>
          <w:sz w:val="17"/>
          <w:szCs w:val="17"/>
          <w:color w:val="auto"/>
        </w:rPr>
        <w:t xml:space="preserve"> to reflect assignments entered into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w:t>
      </w:r>
    </w:p>
    <w:p>
      <w:pPr>
        <w:spacing w:after="0" w:line="180" w:lineRule="exact"/>
        <w:rPr>
          <w:rFonts w:ascii="Arial" w:cs="Arial" w:eastAsia="Arial" w:hAnsi="Arial"/>
          <w:sz w:val="17"/>
          <w:szCs w:val="17"/>
          <w:u w:val="single" w:color="auto"/>
          <w:color w:val="auto"/>
        </w:rPr>
      </w:pPr>
    </w:p>
    <w:p>
      <w:pPr>
        <w:ind w:left="4" w:right="20" w:firstLine="436"/>
        <w:spacing w:after="0" w:line="269" w:lineRule="auto"/>
        <w:tabs>
          <w:tab w:leader="none" w:pos="824"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9.02(b)(viii)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9.02(b)(ix)</w:t>
      </w:r>
      <w:r>
        <w:rPr>
          <w:rFonts w:ascii="Arial" w:cs="Arial" w:eastAsia="Arial" w:hAnsi="Arial"/>
          <w:sz w:val="17"/>
          <w:szCs w:val="17"/>
          <w:color w:val="auto"/>
        </w:rPr>
        <w:t xml:space="preserve">, the Lenders hereby irrevocably authorize the Administrative Agent, at its option and in its sole discretion, to release any Liens granted to the Administrative Agent by the Loan Parties on any Collateral (i) upon the termination of the all Commitments, payment and satisfaction in full in cash of all Secured Obligations (other than Unliquidated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Except as provided in the preceding sentence, the Administrative Agent will not release any Liens on Collateral without the prior written</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4"/>
          </w:cols>
          <w:pgMar w:left="436" w:top="274" w:right="459" w:bottom="1440" w:gutter="0" w:footer="0" w:header="0"/>
        </w:sectPr>
      </w:pPr>
    </w:p>
    <w:bookmarkStart w:id="109" w:name="page110"/>
    <w:bookmarkEnd w:id="109"/>
    <w:p>
      <w:pPr>
        <w:ind w:left="4"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authorization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the Administrative Agent may, in its discretion, release its Liens on Collateral valued in the aggregate not in excess of $1.0 million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77" w:lineRule="exact"/>
        <w:rPr>
          <w:sz w:val="20"/>
          <w:szCs w:val="20"/>
          <w:color w:val="auto"/>
        </w:rPr>
      </w:pPr>
    </w:p>
    <w:p>
      <w:pPr>
        <w:ind w:left="4" w:firstLine="436"/>
        <w:spacing w:after="0" w:line="284" w:lineRule="auto"/>
        <w:tabs>
          <w:tab w:leader="none" w:pos="83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Borrower may elect to replace a Non-Consenting Lender as a Lender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concurrently with such replacement, (i) another bank or other entity which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9.04</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4" w:right="60" w:hanging="4"/>
        <w:spacing w:after="0" w:line="269" w:lineRule="auto"/>
        <w:tabs>
          <w:tab w:leader="none" w:pos="26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the Borrower shall pay to such Non-Consenting Lender in same day funds on the day of such replacement (1) all interest, fees and other amounts then accrued but unpaid to such Non-Consenting Lender by the Borrower hereunder to and including the date of termination, including payments due to such Non-Consenting Lender under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(2) an amount, if any, equal to the payment which would have been due to such Lender on the day of such replacement under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had the Loans of such Non-Consenting Lender been prepaid on such date rather than sold to the replacement Lender. Notwithstanding anything herein to the contrary, each party hereto agrees that any assignment pursuant to the terms of this </w:t>
      </w:r>
      <w:r>
        <w:rPr>
          <w:rFonts w:ascii="Arial" w:cs="Arial" w:eastAsia="Arial" w:hAnsi="Arial"/>
          <w:sz w:val="17"/>
          <w:szCs w:val="17"/>
          <w:u w:val="single" w:color="auto"/>
          <w:color w:val="auto"/>
        </w:rPr>
        <w:t>Section 9.20(d)</w:t>
      </w:r>
      <w:r>
        <w:rPr>
          <w:rFonts w:ascii="Arial" w:cs="Arial" w:eastAsia="Arial" w:hAnsi="Arial"/>
          <w:sz w:val="17"/>
          <w:szCs w:val="17"/>
          <w:color w:val="auto"/>
        </w:rPr>
        <w:t xml:space="preserve"> may be effected pursuant to an Assignment and Assumption executed by the Borrower, the Administrative Agent and the assignee and that the Non-Consenting Lender making such assignment need not be a party thereto.</w:t>
      </w:r>
    </w:p>
    <w:p>
      <w:pPr>
        <w:spacing w:after="0" w:line="180" w:lineRule="exact"/>
        <w:rPr>
          <w:rFonts w:ascii="Arial" w:cs="Arial" w:eastAsia="Arial" w:hAnsi="Arial"/>
          <w:sz w:val="17"/>
          <w:szCs w:val="17"/>
          <w:color w:val="auto"/>
        </w:rPr>
      </w:pPr>
    </w:p>
    <w:p>
      <w:pPr>
        <w:ind w:left="4" w:right="140" w:firstLine="436"/>
        <w:spacing w:after="0" w:line="286" w:lineRule="auto"/>
        <w:tabs>
          <w:tab w:leader="none" w:pos="824" w:val="left"/>
        </w:tabs>
        <w:numPr>
          <w:ilvl w:val="1"/>
          <w:numId w:val="148"/>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Administrative Agent may, with the consent of the Borrower only, amend, modify or supplement this Agreement or any of the other Loan Documents to cure any ambiguity, omission, mistake, defect or inconsistency. A copy of any such amendment, modification or supplement shall be promptly delivered by the Administrative Agent to each Lender.</w:t>
      </w:r>
    </w:p>
    <w:p>
      <w:pPr>
        <w:spacing w:after="0" w:line="165" w:lineRule="exact"/>
        <w:rPr>
          <w:rFonts w:ascii="Arial" w:cs="Arial" w:eastAsia="Arial" w:hAnsi="Arial"/>
          <w:sz w:val="17"/>
          <w:szCs w:val="17"/>
          <w:color w:val="auto"/>
        </w:rPr>
      </w:pPr>
    </w:p>
    <w:p>
      <w:pPr>
        <w:ind w:left="4" w:right="60" w:firstLine="436"/>
        <w:spacing w:after="0" w:line="259" w:lineRule="auto"/>
        <w:tabs>
          <w:tab w:leader="none" w:pos="80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From time to time, upon the Borrower’s request, the Lenders party hereto may agree to amend this Agreement to implement the ability for the Borrower to borrow in currencies (other than Dollars) and other modifications related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(i) any such modifications shall be subject to the current policies and procedures of each such Lender and (ii) each Lender may elect to approve such changes in its sole discretion (it being understood that no such additional currencies will be added without the approval of each Lender).</w:t>
      </w:r>
    </w:p>
    <w:p>
      <w:pPr>
        <w:spacing w:after="0" w:line="187"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25" w:lineRule="exact"/>
        <w:rPr>
          <w:sz w:val="20"/>
          <w:szCs w:val="20"/>
          <w:color w:val="auto"/>
        </w:rPr>
      </w:pPr>
    </w:p>
    <w:p>
      <w:pPr>
        <w:ind w:left="4" w:firstLine="436"/>
        <w:spacing w:after="0" w:line="286" w:lineRule="auto"/>
        <w:tabs>
          <w:tab w:leader="none" w:pos="82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Borrower shall pay (i) all reasonable and documented out-of-pocket expenses incurred by the Administrative Agent, the Lead Arranger and their respective Affiliates, including the reasonable and documented fees, charges and disbursements of one outside counsel and one local counsel in each relevant jurisdiction for the Administrative Agent and Lead Arranger (and, solely in the case of an actual</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4"/>
          </w:cols>
          <w:pgMar w:left="436" w:top="274" w:right="459" w:bottom="1440" w:gutter="0" w:footer="0" w:header="0"/>
        </w:sectPr>
      </w:pPr>
    </w:p>
    <w:bookmarkStart w:id="110" w:name="page111"/>
    <w:bookmarkEnd w:id="11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perceived conflict of interest, one additional counsel (and, if reasonably necessary, (x) one firm of local counsel in each relevant jurisdiction and</w:t>
      </w:r>
    </w:p>
    <w:p>
      <w:pPr>
        <w:spacing w:after="0" w:line="46" w:lineRule="exact"/>
        <w:rPr>
          <w:sz w:val="20"/>
          <w:szCs w:val="20"/>
          <w:color w:val="auto"/>
        </w:rPr>
      </w:pPr>
    </w:p>
    <w:p>
      <w:pPr>
        <w:ind w:left="4" w:hanging="4"/>
        <w:spacing w:after="0" w:line="285" w:lineRule="auto"/>
        <w:tabs>
          <w:tab w:leader="none" w:pos="25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any special or regulatory counsel) and any other counsel retained with the Borrower’s consent, such consent not to be unreasonably withheld or delayed), in connection with the syndication and distribution (including via the internet or through an Electronic System)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documented out-of-pocket expenses incurred by the Administrative Agent, Swingline Lenders, any Issuing Bank or any Lender, including the fees, charges and disbursements of any outside counsel for the Administrative Agent, Swingline Lenders, any Issuing Bank or any Lender, in connection with the enforcement, collection or protection of its rights in connection with the Loan Documents, including its rights under this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or in connection with the Loans made or Letters of Credit issued hereunder, including all such out-of-pocket expenses incurred during any workout, restructuring or negotiations in respect of such Loans or Letters of Credit. Expenses being reimbursed by the Borrower under this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include, without limiting the generality of the foregoing, costs and expenses incurred in connection with:</w:t>
      </w:r>
    </w:p>
    <w:p>
      <w:pPr>
        <w:spacing w:after="0" w:line="66" w:lineRule="exact"/>
        <w:rPr>
          <w:rFonts w:ascii="Arial" w:cs="Arial" w:eastAsia="Arial" w:hAnsi="Arial"/>
          <w:sz w:val="16"/>
          <w:szCs w:val="16"/>
          <w:color w:val="auto"/>
        </w:rPr>
      </w:pPr>
    </w:p>
    <w:p>
      <w:pPr>
        <w:ind w:left="444" w:right="200" w:firstLine="419"/>
        <w:spacing w:after="0" w:line="277" w:lineRule="auto"/>
        <w:tabs>
          <w:tab w:leader="none" w:pos="121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taxes, fees and other charges for (A) lien searches and (B) filing financing statements and continuations, and other actions to perfect, protect, and continue the Administrative Agent’s Liens;</w:t>
      </w:r>
    </w:p>
    <w:p>
      <w:pPr>
        <w:spacing w:after="0" w:line="62" w:lineRule="exact"/>
        <w:rPr>
          <w:rFonts w:ascii="Arial" w:cs="Arial" w:eastAsia="Arial" w:hAnsi="Arial"/>
          <w:sz w:val="18"/>
          <w:szCs w:val="18"/>
          <w:color w:val="auto"/>
        </w:rPr>
      </w:pPr>
    </w:p>
    <w:p>
      <w:pPr>
        <w:ind w:left="1264" w:hanging="401"/>
        <w:spacing w:after="0"/>
        <w:tabs>
          <w:tab w:leader="none" w:pos="126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sums paid or incurred to take any action required of any Loan Party under the Loan Documents that such Loan Party fails to pay or</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take; and</w:t>
      </w:r>
    </w:p>
    <w:p>
      <w:pPr>
        <w:spacing w:after="0" w:line="102" w:lineRule="exact"/>
        <w:rPr>
          <w:rFonts w:ascii="Arial" w:cs="Arial" w:eastAsia="Arial" w:hAnsi="Arial"/>
          <w:sz w:val="16"/>
          <w:szCs w:val="16"/>
          <w:color w:val="auto"/>
        </w:rPr>
      </w:pPr>
    </w:p>
    <w:p>
      <w:pPr>
        <w:ind w:left="1304" w:hanging="441"/>
        <w:spacing w:after="0"/>
        <w:tabs>
          <w:tab w:leader="none" w:pos="130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forwarding loan proceeds, collecting checks and other items of payment, and costs and expenses of preserving and protecting the</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Collateral.</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All of the foregoing costs and expenses may be charged to the Borrower as Loans or to another deposit account, all as described in </w:t>
      </w:r>
      <w:r>
        <w:rPr>
          <w:rFonts w:ascii="Arial" w:cs="Arial" w:eastAsia="Arial" w:hAnsi="Arial"/>
          <w:sz w:val="16"/>
          <w:szCs w:val="16"/>
          <w:u w:val="single" w:color="auto"/>
          <w:color w:val="auto"/>
        </w:rPr>
        <w:t>Section 2.18(c)</w:t>
      </w:r>
      <w:r>
        <w:rPr>
          <w:rFonts w:ascii="Arial" w:cs="Arial" w:eastAsia="Arial" w:hAnsi="Arial"/>
          <w:sz w:val="16"/>
          <w:szCs w:val="16"/>
          <w:color w:val="auto"/>
        </w:rPr>
        <w:t>.</w:t>
      </w:r>
    </w:p>
    <w:p>
      <w:pPr>
        <w:spacing w:after="0" w:line="248" w:lineRule="exact"/>
        <w:rPr>
          <w:sz w:val="20"/>
          <w:szCs w:val="20"/>
          <w:color w:val="auto"/>
        </w:rPr>
      </w:pPr>
    </w:p>
    <w:p>
      <w:pPr>
        <w:ind w:left="4" w:firstLine="436"/>
        <w:spacing w:after="0" w:line="286" w:lineRule="auto"/>
        <w:tabs>
          <w:tab w:leader="none" w:pos="83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Swingline Lenders, each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penalties, liabilities and related expenses (except for Taxes, which shall be covered by </w:t>
      </w:r>
      <w:r>
        <w:rPr>
          <w:rFonts w:ascii="Arial" w:cs="Arial" w:eastAsia="Arial" w:hAnsi="Arial"/>
          <w:sz w:val="16"/>
          <w:szCs w:val="16"/>
          <w:u w:val="single" w:color="auto"/>
          <w:color w:val="auto"/>
        </w:rPr>
        <w:t>Section 2.17</w:t>
      </w:r>
      <w:r>
        <w:rPr>
          <w:rFonts w:ascii="Arial" w:cs="Arial" w:eastAsia="Arial" w:hAnsi="Arial"/>
          <w:sz w:val="16"/>
          <w:szCs w:val="16"/>
          <w:color w:val="auto"/>
        </w:rPr>
        <w:t>, other than any Taxes that represent losses, claims, damages, etc. arising from any non-Tax claim), including the reasonable and documented fees, charges and disbursements of one counsel for all Indemnitees (and, if reasonably necessary, a single local counsel for all Indemnitees taken as a whole in each relevant jurisdiction and, solely in the case of an actual or perceived conflict of interest, one additional counsel (and, if reasonably necessary, (x) one firm of local counsel in each relevant jurisdiction and (y) any special or regulatory counsel) to each group of affected Indemnitees similarly situated taken as a whole and any other counsel retained with the Borrower’s consent, such consent not to be unreasonably withheld or delayed),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(including any Swingline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64"/>
          </w:cols>
          <w:pgMar w:left="436" w:top="274" w:right="499" w:bottom="1440" w:gutter="0" w:footer="0" w:header="0"/>
        </w:sectPr>
      </w:pPr>
    </w:p>
    <w:bookmarkStart w:id="111" w:name="page112"/>
    <w:bookmarkEnd w:id="111"/>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Subsidiaries, or any Environmental Liability related in any way to the Borrower or any of its Subsidiaries, (iv) the failure of the Borrower to deliver to the Administrative Agent the required receipts or other required documentary evidence with respect to a payment made by the Borrower for Indemnified Taxes or Other Taxes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(v) any actual or prospective claim, litigation, investigation or proceeding relating to any of the foregoing, whether based on contract, tort or any other theory and regardless of whether any Indemnitee is a party thereto and whether or not such claim, litigation, investigation or proceeding is brought by the Borrower, any of its Subsidiaries or and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indemnity shall not, as to any Indemnitee, be available to the extent that such losses, claims, damages, penalties, liabilities or related expenses (x) are determined by a court of competent jurisdiction by final and nonappealable judgment to have resulted from the gross negligence or willful misconduct of such Indemnitee or</w:t>
      </w:r>
    </w:p>
    <w:p>
      <w:pPr>
        <w:spacing w:after="0" w:line="2" w:lineRule="exact"/>
        <w:rPr>
          <w:sz w:val="20"/>
          <w:szCs w:val="20"/>
          <w:color w:val="auto"/>
        </w:rPr>
      </w:pPr>
    </w:p>
    <w:p>
      <w:pPr>
        <w:ind w:left="4" w:right="320" w:hanging="4"/>
        <w:spacing w:after="0" w:line="290" w:lineRule="auto"/>
        <w:tabs>
          <w:tab w:leader="none" w:pos="25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result from any dispute solely among Indemnitees and does not involve any act or omission by any Loan Party or any of their Subsidiaries (other than claims against the Administrative Agent, Swingline Lenders and Issuing Banks in their respective capacities as such).</w:t>
      </w:r>
    </w:p>
    <w:p>
      <w:pPr>
        <w:spacing w:after="0" w:line="161" w:lineRule="exact"/>
        <w:rPr>
          <w:rFonts w:ascii="Arial" w:cs="Arial" w:eastAsia="Arial" w:hAnsi="Arial"/>
          <w:sz w:val="17"/>
          <w:szCs w:val="17"/>
          <w:color w:val="auto"/>
        </w:rPr>
      </w:pPr>
    </w:p>
    <w:p>
      <w:pPr>
        <w:ind w:left="4" w:right="260" w:firstLine="436"/>
        <w:spacing w:after="0" w:line="275" w:lineRule="auto"/>
        <w:tabs>
          <w:tab w:leader="none" w:pos="821"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To the extent that the Borrower fails to pay any amount required to be paid by it to the Administrative Agent or any Issuing Bank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unreimbursed expense or indemnified loss, claim, damage, penalty, liability or related expense, as the case may be, was incurred by or asserted against the Administrative Agent or such Issuing Bank in its capacity as such.</w:t>
      </w:r>
    </w:p>
    <w:p>
      <w:pPr>
        <w:spacing w:after="0" w:line="176" w:lineRule="exact"/>
        <w:rPr>
          <w:rFonts w:ascii="Arial" w:cs="Arial" w:eastAsia="Arial" w:hAnsi="Arial"/>
          <w:sz w:val="17"/>
          <w:szCs w:val="17"/>
          <w:color w:val="auto"/>
        </w:rPr>
      </w:pPr>
    </w:p>
    <w:p>
      <w:pPr>
        <w:ind w:left="4" w:right="180" w:firstLine="436"/>
        <w:spacing w:after="0" w:line="296" w:lineRule="auto"/>
        <w:tabs>
          <w:tab w:leader="none" w:pos="8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To the extent permitted by applicable law, no Loan Party shall assert, and each hereby waives, any claim against the Administrative Agent, any Swingline Lender, any Issuing Bank and any Lender, and any Related Party of any of the foregoing Persons (each such Person being called an “</w:t>
      </w:r>
      <w:r>
        <w:rPr>
          <w:rFonts w:ascii="Arial" w:cs="Arial" w:eastAsia="Arial" w:hAnsi="Arial"/>
          <w:sz w:val="16"/>
          <w:szCs w:val="16"/>
          <w:u w:val="single" w:color="auto"/>
          <w:color w:val="auto"/>
        </w:rPr>
        <w:t>Excluded Person</w:t>
      </w:r>
      <w:r>
        <w:rPr>
          <w:rFonts w:ascii="Arial" w:cs="Arial" w:eastAsia="Arial" w:hAnsi="Arial"/>
          <w:sz w:val="16"/>
          <w:szCs w:val="16"/>
          <w:color w:val="auto"/>
        </w:rPr>
        <w:t>”) for any damages arising from the use by unintended recipients of information or other materials obtained through telecommunications, electronic or other information transmission systems (including the Internet), except as determined by a court of competent jurisdiction by final and nonappealable judgment to have resulted from the gross negligence or willful misconduct of such Excluded Person.</w:t>
      </w:r>
    </w:p>
    <w:p>
      <w:pPr>
        <w:spacing w:after="0" w:line="161" w:lineRule="exact"/>
        <w:rPr>
          <w:rFonts w:ascii="Arial" w:cs="Arial" w:eastAsia="Arial" w:hAnsi="Arial"/>
          <w:sz w:val="16"/>
          <w:szCs w:val="16"/>
          <w:color w:val="auto"/>
        </w:rPr>
      </w:pPr>
    </w:p>
    <w:p>
      <w:pPr>
        <w:ind w:left="4" w:right="20" w:firstLine="436"/>
        <w:spacing w:after="0" w:line="275" w:lineRule="auto"/>
        <w:tabs>
          <w:tab w:leader="none" w:pos="824"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No Excluded Person nor any Loan Party shall be liable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(including any Swingline Loan) or Letter of Credit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shall relieve any Loan Party of any obligation it may have to indemnify an Indemnitee against special, indirect, consequential or punitive damages asserted against such Indemnitee by a third party.</w:t>
      </w:r>
    </w:p>
    <w:p>
      <w:pPr>
        <w:spacing w:after="0" w:line="176" w:lineRule="exact"/>
        <w:rPr>
          <w:rFonts w:ascii="Arial" w:cs="Arial" w:eastAsia="Arial" w:hAnsi="Arial"/>
          <w:sz w:val="17"/>
          <w:szCs w:val="17"/>
          <w:color w:val="auto"/>
        </w:rPr>
      </w:pPr>
    </w:p>
    <w:p>
      <w:pPr>
        <w:ind w:left="784" w:hanging="344"/>
        <w:spacing w:after="0"/>
        <w:tabs>
          <w:tab w:leader="none" w:pos="78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All amounts due under this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shall be payable promptly after written demand therefor.</w:t>
      </w:r>
    </w:p>
    <w:p>
      <w:pPr>
        <w:spacing w:after="0" w:line="225"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left="4" w:right="120" w:firstLine="436"/>
        <w:spacing w:after="0" w:line="273" w:lineRule="auto"/>
        <w:tabs>
          <w:tab w:leader="none" w:pos="82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or as may be required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9.02(d)</w:t>
      </w:r>
      <w:r>
        <w:rPr>
          <w:rFonts w:ascii="Arial" w:cs="Arial" w:eastAsia="Arial" w:hAnsi="Arial"/>
          <w:sz w:val="17"/>
          <w:szCs w:val="17"/>
          <w:color w:val="auto"/>
        </w:rPr>
        <w:t>. Nothing in this Agreement, expressed or implied, shall be construed to confer upon any Person (other than the parties hereto, their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4"/>
          </w:cols>
          <w:pgMar w:left="436" w:top="274" w:right="459" w:bottom="1440" w:gutter="0" w:footer="0" w:header="0"/>
        </w:sectPr>
      </w:pPr>
    </w:p>
    <w:bookmarkStart w:id="112" w:name="page113"/>
    <w:bookmarkEnd w:id="112"/>
    <w:p>
      <w:pPr>
        <w:ind w:right="2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respective successors and assigns permitted hereby (including any Affiliate of an Issuing Bank that issues any Letter of Credit), Participants (to the extent provided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9.04</w:t>
      </w:r>
      <w:r>
        <w:rPr>
          <w:rFonts w:ascii="Arial" w:cs="Arial" w:eastAsia="Arial" w:hAnsi="Arial"/>
          <w:sz w:val="16"/>
          <w:szCs w:val="16"/>
          <w:color w:val="auto"/>
        </w:rPr>
        <w:t>) and, to the extent expressly contemplated hereby, the Related Parties of each of the Administrative Agent, Swingline Lenders, the Issuing Banks and the Lenders) any legal or equitable right, remedy or claim under or by reason of this Agreement.</w:t>
      </w:r>
    </w:p>
    <w:p>
      <w:pPr>
        <w:spacing w:after="0" w:line="149" w:lineRule="exact"/>
        <w:rPr>
          <w:sz w:val="20"/>
          <w:szCs w:val="20"/>
          <w:color w:val="auto"/>
        </w:rPr>
      </w:pPr>
    </w:p>
    <w:p>
      <w:pPr>
        <w:ind w:right="260" w:firstLine="436"/>
        <w:spacing w:after="0" w:line="263" w:lineRule="auto"/>
        <w:tabs>
          <w:tab w:leader="none" w:pos="83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w:t>
      </w:r>
      <w:r>
        <w:rPr>
          <w:rFonts w:ascii="Arial" w:cs="Arial" w:eastAsia="Arial" w:hAnsi="Arial"/>
          <w:sz w:val="18"/>
          <w:szCs w:val="18"/>
          <w:u w:val="single" w:color="auto"/>
          <w:color w:val="auto"/>
        </w:rPr>
        <w:t>clause (b)(ii)</w:t>
      </w:r>
      <w:r>
        <w:rPr>
          <w:rFonts w:ascii="Arial" w:cs="Arial" w:eastAsia="Arial" w:hAnsi="Arial"/>
          <w:sz w:val="18"/>
          <w:szCs w:val="18"/>
          <w:color w:val="auto"/>
        </w:rPr>
        <w:t xml:space="preserve">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spacing w:after="0" w:line="75" w:lineRule="exact"/>
        <w:rPr>
          <w:rFonts w:ascii="Arial" w:cs="Arial" w:eastAsia="Arial" w:hAnsi="Arial"/>
          <w:sz w:val="18"/>
          <w:szCs w:val="18"/>
          <w:color w:val="auto"/>
        </w:rPr>
      </w:pPr>
    </w:p>
    <w:p>
      <w:pPr>
        <w:jc w:val="both"/>
        <w:ind w:left="980" w:right="100" w:firstLine="408"/>
        <w:spacing w:after="0" w:line="259" w:lineRule="auto"/>
        <w:tabs>
          <w:tab w:leader="none" w:pos="181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consent of the Borrower shall be required for an assignment to a Lender, an Affiliate of a Lender, an Approved Fund or, if an Event of Default has occurred and is continuing, any other assignee;</w:t>
      </w:r>
    </w:p>
    <w:p>
      <w:pPr>
        <w:spacing w:after="0" w:line="78" w:lineRule="exact"/>
        <w:rPr>
          <w:rFonts w:ascii="Arial" w:cs="Arial" w:eastAsia="Arial" w:hAnsi="Arial"/>
          <w:sz w:val="18"/>
          <w:szCs w:val="18"/>
          <w:color w:val="auto"/>
        </w:rPr>
      </w:pPr>
    </w:p>
    <w:p>
      <w:pPr>
        <w:ind w:left="1800" w:hanging="412"/>
        <w:spacing w:after="0"/>
        <w:tabs>
          <w:tab w:leader="none" w:pos="18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7" w:lineRule="exact"/>
        <w:rPr>
          <w:rFonts w:ascii="Arial" w:cs="Arial" w:eastAsia="Arial" w:hAnsi="Arial"/>
          <w:sz w:val="18"/>
          <w:szCs w:val="18"/>
          <w:color w:val="auto"/>
        </w:rPr>
      </w:pPr>
    </w:p>
    <w:p>
      <w:pPr>
        <w:ind w:left="1800" w:hanging="412"/>
        <w:spacing w:after="0"/>
        <w:tabs>
          <w:tab w:leader="none" w:pos="18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 Swingline Lenders; and</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 Issuing Banks.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980" w:right="20" w:firstLine="408"/>
        <w:spacing w:after="0" w:line="255" w:lineRule="auto"/>
        <w:tabs>
          <w:tab w:leader="none" w:pos="181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Approved Fund or an assignment of the entire remaining amount of the assigning Lender’s Commitment or Loans (including any Swingline Loans), the amount of the Commitment or Loans of the assigning Lender subject to each such assignment (determined as of the date the Assignment and Assumption with respect to such assignment is delivered to the Administrative Agent) shall not be less than $1.0 million unless each of the Borrower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consent of the Borrower shall be required if an Event of Default has occurred and is continuing;</w:t>
      </w:r>
    </w:p>
    <w:p>
      <w:pPr>
        <w:spacing w:after="0" w:line="84" w:lineRule="exact"/>
        <w:rPr>
          <w:rFonts w:ascii="Arial" w:cs="Arial" w:eastAsia="Arial" w:hAnsi="Arial"/>
          <w:sz w:val="18"/>
          <w:szCs w:val="18"/>
          <w:color w:val="auto"/>
        </w:rPr>
      </w:pPr>
    </w:p>
    <w:p>
      <w:pPr>
        <w:ind w:left="980" w:right="640" w:firstLine="408"/>
        <w:spacing w:after="0" w:line="277" w:lineRule="auto"/>
        <w:tabs>
          <w:tab w:leader="none" w:pos="1801" w:val="left"/>
        </w:tabs>
        <w:numPr>
          <w:ilvl w:val="2"/>
          <w:numId w:val="154"/>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62" w:lineRule="exact"/>
        <w:rPr>
          <w:rFonts w:ascii="Arial" w:cs="Arial" w:eastAsia="Arial" w:hAnsi="Arial"/>
          <w:sz w:val="18"/>
          <w:szCs w:val="18"/>
          <w:color w:val="auto"/>
        </w:rPr>
      </w:pPr>
    </w:p>
    <w:p>
      <w:pPr>
        <w:ind w:left="980" w:right="60" w:firstLine="408"/>
        <w:spacing w:after="0" w:line="277" w:lineRule="auto"/>
        <w:tabs>
          <w:tab w:leader="none" w:pos="1801" w:val="left"/>
        </w:tabs>
        <w:numPr>
          <w:ilvl w:val="2"/>
          <w:numId w:val="154"/>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Assumption, together with a processing and recordation fee of $3,500 and the tax forms required by </w:t>
      </w:r>
      <w:r>
        <w:rPr>
          <w:rFonts w:ascii="Arial" w:cs="Arial" w:eastAsia="Arial" w:hAnsi="Arial"/>
          <w:sz w:val="18"/>
          <w:szCs w:val="18"/>
          <w:u w:val="single" w:color="auto"/>
          <w:color w:val="auto"/>
        </w:rPr>
        <w:t>Section 2.17(f)</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980" w:firstLine="408"/>
        <w:spacing w:after="0" w:line="257" w:lineRule="auto"/>
        <w:tabs>
          <w:tab w:leader="none" w:pos="181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40"/>
          </w:cols>
          <w:pgMar w:left="440" w:top="274" w:right="519" w:bottom="1440" w:gutter="0" w:footer="0" w:header="0"/>
        </w:sectPr>
      </w:pPr>
    </w:p>
    <w:bookmarkStart w:id="113" w:name="page114"/>
    <w:bookmarkEnd w:id="113"/>
    <w:p>
      <w:pPr>
        <w:ind w:left="420" w:right="60" w:firstLine="419"/>
        <w:spacing w:after="0" w:line="270" w:lineRule="auto"/>
        <w:tabs>
          <w:tab w:leader="none" w:pos="1293" w:val="left"/>
        </w:tabs>
        <w:numPr>
          <w:ilvl w:val="1"/>
          <w:numId w:val="1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acceptance and recording thereof pursuant to </w:t>
      </w:r>
      <w:r>
        <w:rPr>
          <w:rFonts w:ascii="Arial" w:cs="Arial" w:eastAsia="Arial" w:hAnsi="Arial"/>
          <w:sz w:val="17"/>
          <w:szCs w:val="17"/>
          <w:u w:val="single" w:color="auto"/>
          <w:color w:val="auto"/>
        </w:rPr>
        <w:t>clause (b)(iv)</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from and after the effective date specified in each Assignment and Assumption (A) the assignee thereunder shall be a party hereto and, to the extent of the interest assigned by such Assignment and Assumption, have the rights and obligations of a Lender under this Agreement and (B)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(subject to the requirements and limitations therein including the requirements under Section 2.17(f))). Any assignment or transfer by a Lender of rights or obligations under this Agreement that does not comply with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9.04</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420" w:right="40" w:firstLine="419"/>
        <w:spacing w:after="0" w:line="254" w:lineRule="auto"/>
        <w:tabs>
          <w:tab w:leader="none" w:pos="127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Administrative Agent, acting solely for this purpose as a non-fiduciary agent of the Borrower, shall maintain at one of its offices located in the United States a copy of each Assignment and Assumption delivered to it and a register for the recordation of the names and addresses of the Lenders, and the Commitment of, and principal amounts (and stated interest) of the Loans, LC Disbursements and other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Banks and any Lender, at any reasonable time and from time to time upon reasonable prior notice.</w:t>
      </w:r>
    </w:p>
    <w:p>
      <w:pPr>
        <w:spacing w:after="0" w:line="83" w:lineRule="exact"/>
        <w:rPr>
          <w:rFonts w:ascii="Arial" w:cs="Arial" w:eastAsia="Arial" w:hAnsi="Arial"/>
          <w:sz w:val="18"/>
          <w:szCs w:val="18"/>
          <w:color w:val="auto"/>
        </w:rPr>
      </w:pPr>
    </w:p>
    <w:p>
      <w:pPr>
        <w:ind w:left="420" w:firstLine="419"/>
        <w:spacing w:after="0" w:line="269" w:lineRule="auto"/>
        <w:tabs>
          <w:tab w:leader="none" w:pos="1233"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Upon its receipt of (x) a duly completed Assignment and Assumption executed by an assigning Lender (unless the execution thereof is not required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9.02(d)</w:t>
      </w:r>
      <w:r>
        <w:rPr>
          <w:rFonts w:ascii="Arial" w:cs="Arial" w:eastAsia="Arial" w:hAnsi="Arial"/>
          <w:sz w:val="17"/>
          <w:szCs w:val="17"/>
          <w:color w:val="auto"/>
        </w:rPr>
        <w:t xml:space="preserve">) and an assignee or (y) to the extent applicable, an agreement incorporating an Assignment and Assumption by reference pursuant to any applicable electronic platform as to which the Administrative Agent and the parties to the Assignment and Assumption are participants, the assignee’s completed Administrative Questionnaire (unless the assignee shall already be a Lender hereunder), the processing and recordation fee and tax forms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and any written consent to such assignment required by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the Administrative Agent shall accept such Assignment and Assumption and record the information contained therein in the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either the assigning Lender or the assignee shall have failed to make any payment required to be made by it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w:t>
      </w:r>
      <w:r>
        <w:rPr>
          <w:rFonts w:ascii="Arial" w:cs="Arial" w:eastAsia="Arial" w:hAnsi="Arial"/>
          <w:sz w:val="17"/>
          <w:szCs w:val="17"/>
          <w:u w:val="single" w:color="auto"/>
          <w:color w:val="auto"/>
        </w:rPr>
        <w:t>2.06(d)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2.07(b)</w:t>
      </w:r>
      <w:r>
        <w:rPr>
          <w:rFonts w:ascii="Arial" w:cs="Arial" w:eastAsia="Arial" w:hAnsi="Arial"/>
          <w:sz w:val="17"/>
          <w:szCs w:val="17"/>
          <w:color w:val="auto"/>
        </w:rPr>
        <w:t xml:space="preserve">, </w:t>
      </w:r>
      <w:r>
        <w:rPr>
          <w:rFonts w:ascii="Arial" w:cs="Arial" w:eastAsia="Arial" w:hAnsi="Arial"/>
          <w:sz w:val="17"/>
          <w:szCs w:val="17"/>
          <w:u w:val="single" w:color="auto"/>
          <w:color w:val="auto"/>
        </w:rPr>
        <w:t>2.18(d)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9.03(c)</w:t>
      </w:r>
      <w:r>
        <w:rPr>
          <w:rFonts w:ascii="Arial" w:cs="Arial" w:eastAsia="Arial" w:hAnsi="Arial"/>
          <w:sz w:val="17"/>
          <w:szCs w:val="17"/>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1" w:lineRule="exact"/>
        <w:rPr>
          <w:rFonts w:ascii="Arial" w:cs="Arial" w:eastAsia="Arial" w:hAnsi="Arial"/>
          <w:sz w:val="17"/>
          <w:szCs w:val="17"/>
          <w:color w:val="auto"/>
        </w:rPr>
      </w:pPr>
    </w:p>
    <w:p>
      <w:pPr>
        <w:ind w:left="-20" w:right="160" w:firstLine="436"/>
        <w:spacing w:after="0" w:line="273" w:lineRule="auto"/>
        <w:tabs>
          <w:tab w:leader="none" w:pos="79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Lender may, without the consent of the Borrower, the Administrative Agent, any Issuing Bank of the Swingline Lenders, sell participations to one or more banks or other entities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other than an Ineligible Institution in all or a portion of such Lender’s rights and obligations under this Agreement (including all or a portion of its Commitment and the Loans (including any Swingline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that (A) such Lender’s obligations under this Agreement shall remain unchanged, (B) such Lender shall remain solely responsible to the other parties hereto for the performance of such obligations (C) the Borrower, the Administrative Agent, the Swingline Lenders, the Issuing Banks and the other Lenders shall continue to deal solely and directly with such Lender in connection with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60"/>
          </w:cols>
          <w:pgMar w:left="460" w:top="274" w:right="479" w:bottom="1440" w:gutter="0" w:footer="0" w:header="0"/>
        </w:sectPr>
      </w:pPr>
    </w:p>
    <w:bookmarkStart w:id="114" w:name="page115"/>
    <w:bookmarkEnd w:id="114"/>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Lender’s rights and obligations under this Agreement and (D) such Lender shall have provided the Borrower with prior written notice of any such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(subject to the requirements and limitations therein, including the requirements under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(it being understood that the documentation required under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shall be delivered to the participating Lender) to the same extent as if it were a Lender and had acquired its interest by assignment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To the extent permitted by law, each Participant also shall be entitled to the benefits of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as though it were a Lender, provided such Participant (1) agrees to be subject to the provisions of </w:t>
      </w:r>
      <w:r>
        <w:rPr>
          <w:rFonts w:ascii="Arial" w:cs="Arial" w:eastAsia="Arial" w:hAnsi="Arial"/>
          <w:sz w:val="17"/>
          <w:szCs w:val="17"/>
          <w:u w:val="single" w:color="auto"/>
          <w:color w:val="auto"/>
        </w:rPr>
        <w:t>Sections 2.18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as if it were an assignee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and (2) shall not be entitled to receive any greater payment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80"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 xml:space="preserve">Each Lender that sells a participation agrees, at the Borrower’s request and expense, to use reasonable efforts to cooperate with the Borrower to effectuate the provisions of </w:t>
      </w:r>
      <w:r>
        <w:rPr>
          <w:rFonts w:ascii="Arial" w:cs="Arial" w:eastAsia="Arial" w:hAnsi="Arial"/>
          <w:sz w:val="17"/>
          <w:szCs w:val="17"/>
          <w:u w:val="single" w:color="auto"/>
          <w:color w:val="auto"/>
        </w:rPr>
        <w:t>Section 2.19(b)</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as though it were a Lender, provided such Participant agrees to be subject to </w:t>
      </w:r>
      <w:r>
        <w:rPr>
          <w:rFonts w:ascii="Arial" w:cs="Arial" w:eastAsia="Arial" w:hAnsi="Arial"/>
          <w:sz w:val="17"/>
          <w:szCs w:val="17"/>
          <w:u w:val="single" w:color="auto"/>
          <w:color w:val="auto"/>
        </w:rPr>
        <w:t>Section 2.18(d)</w:t>
      </w:r>
      <w:r>
        <w:rPr>
          <w:rFonts w:ascii="Arial" w:cs="Arial" w:eastAsia="Arial" w:hAnsi="Arial"/>
          <w:sz w:val="17"/>
          <w:szCs w:val="17"/>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LC Disbursements or other Obligations under this Agreement or any other Loan Document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(other than the Borrower to the extent required in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of the proviso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except to the extent that such disclosure is necessary to establish that such Commitment, Loan, Letter of Credit or other Obligation is in registered form under Section 5f.103-1(c) or proposed Section 1.163-5(b)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4" w:lineRule="exact"/>
        <w:rPr>
          <w:sz w:val="20"/>
          <w:szCs w:val="20"/>
          <w:color w:val="auto"/>
        </w:rPr>
      </w:pPr>
    </w:p>
    <w:p>
      <w:pPr>
        <w:ind w:right="120" w:firstLine="436"/>
        <w:spacing w:after="0" w:line="279" w:lineRule="auto"/>
        <w:tabs>
          <w:tab w:leader="none" w:pos="8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pledge or assignment of a security interest shall release a Lender from any of its obligations hereunder or substitute any such pledgee or assignee for such Lender as a party hereto.</w:t>
      </w:r>
    </w:p>
    <w:p>
      <w:pPr>
        <w:spacing w:after="0" w:line="17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Survival</w:t>
      </w:r>
      <w:r>
        <w:rPr>
          <w:rFonts w:ascii="Arial" w:cs="Arial" w:eastAsia="Arial" w:hAnsi="Arial"/>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4" w:right="459" w:bottom="1440" w:gutter="0" w:footer="0" w:header="0"/>
        </w:sectPr>
      </w:pPr>
    </w:p>
    <w:bookmarkStart w:id="115" w:name="page116"/>
    <w:bookmarkEnd w:id="115"/>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78"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w:t>
      </w:r>
    </w:p>
    <w:p>
      <w:pPr>
        <w:spacing w:after="0" w:line="225" w:lineRule="exact"/>
        <w:rPr>
          <w:sz w:val="20"/>
          <w:szCs w:val="20"/>
          <w:color w:val="auto"/>
        </w:rPr>
      </w:pPr>
    </w:p>
    <w:p>
      <w:pPr>
        <w:ind w:right="40" w:firstLine="436"/>
        <w:spacing w:after="0" w:line="272" w:lineRule="auto"/>
        <w:tabs>
          <w:tab w:leader="none" w:pos="81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77" w:lineRule="exact"/>
        <w:rPr>
          <w:rFonts w:ascii="Arial" w:cs="Arial" w:eastAsia="Arial" w:hAnsi="Arial"/>
          <w:sz w:val="17"/>
          <w:szCs w:val="17"/>
          <w:color w:val="auto"/>
        </w:rPr>
      </w:pPr>
    </w:p>
    <w:p>
      <w:pPr>
        <w:ind w:right="20" w:firstLine="436"/>
        <w:spacing w:after="0" w:line="271" w:lineRule="auto"/>
        <w:tabs>
          <w:tab w:leader="none" w:pos="83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or such Loan Guarantor against any of and all the Secured Obligations held by such Lender, irrespective of whether or not such Lender shall have made any demand under the Loan Documents and although such obligations may be unmatured. The applicable Lender shall notify the Borrower and the Administrative Agent of such setoff or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or application under this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The rights of each Lender under this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are in addition to other rights and remedies (including other rights of setoff) which such Lender may have.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0"/>
          </w:cols>
          <w:pgMar w:left="440" w:top="274" w:right="479" w:bottom="1440" w:gutter="0" w:footer="0" w:header="0"/>
        </w:sectPr>
      </w:pPr>
    </w:p>
    <w:bookmarkStart w:id="116" w:name="page117"/>
    <w:bookmarkEnd w:id="116"/>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225" w:lineRule="exact"/>
        <w:rPr>
          <w:sz w:val="20"/>
          <w:szCs w:val="20"/>
          <w:color w:val="auto"/>
        </w:rPr>
      </w:pPr>
    </w:p>
    <w:p>
      <w:pPr>
        <w:ind w:right="640" w:firstLine="436"/>
        <w:spacing w:after="0" w:line="277" w:lineRule="auto"/>
        <w:tabs>
          <w:tab w:leader="none" w:pos="81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Loan Documents (other than those containing a contrary express choice of law provision) shall be governed by and construed in accordance with the laws of the State of New York.</w:t>
      </w:r>
    </w:p>
    <w:p>
      <w:pPr>
        <w:spacing w:after="0" w:line="170" w:lineRule="exact"/>
        <w:rPr>
          <w:rFonts w:ascii="Arial" w:cs="Arial" w:eastAsia="Arial" w:hAnsi="Arial"/>
          <w:sz w:val="18"/>
          <w:szCs w:val="18"/>
          <w:color w:val="auto"/>
        </w:rPr>
      </w:pPr>
    </w:p>
    <w:p>
      <w:pPr>
        <w:ind w:firstLine="436"/>
        <w:spacing w:after="0" w:line="269" w:lineRule="auto"/>
        <w:tabs>
          <w:tab w:leader="none" w:pos="83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Each Loan Party hereby irrevocably and unconditionally submits, for itself and its property, to the exclusive jurisdiction of any U.S. Federal or New York State court sitting in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Each party hereto agrees that the Administrative Agent and the Secured Parties retain the right to bring proceedings against any Loan Party in the courts of any other jurisdiction solely in connection with the exercise of any rights under any Collateral Document.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85" w:lineRule="exact"/>
        <w:rPr>
          <w:rFonts w:ascii="Arial" w:cs="Arial" w:eastAsia="Arial" w:hAnsi="Arial"/>
          <w:sz w:val="17"/>
          <w:szCs w:val="17"/>
          <w:color w:val="auto"/>
        </w:rPr>
      </w:pPr>
    </w:p>
    <w:p>
      <w:pPr>
        <w:ind w:firstLine="436"/>
        <w:spacing w:after="0" w:line="279" w:lineRule="auto"/>
        <w:tabs>
          <w:tab w:leader="none" w:pos="8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9.09</w:t>
      </w:r>
      <w:r>
        <w:rPr>
          <w:rFonts w:ascii="Arial" w:cs="Arial" w:eastAsia="Arial" w:hAnsi="Arial"/>
          <w:sz w:val="17"/>
          <w:szCs w:val="17"/>
          <w:color w:val="auto"/>
        </w:rPr>
        <w:t>. Each of the parties hereto hereby irrevocably waives, to the fullest extent permitted by law, the defense of an inconvenient forum to the maintenance of such action or proceeding in any such court.</w:t>
      </w:r>
    </w:p>
    <w:p>
      <w:pPr>
        <w:spacing w:after="0" w:line="171" w:lineRule="exact"/>
        <w:rPr>
          <w:rFonts w:ascii="Arial" w:cs="Arial" w:eastAsia="Arial" w:hAnsi="Arial"/>
          <w:sz w:val="17"/>
          <w:szCs w:val="17"/>
          <w:color w:val="auto"/>
        </w:rPr>
      </w:pPr>
    </w:p>
    <w:p>
      <w:pPr>
        <w:ind w:right="200" w:firstLine="436"/>
        <w:spacing w:after="0" w:line="342" w:lineRule="auto"/>
        <w:tabs>
          <w:tab w:leader="none" w:pos="83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Each party to this Agreement irrevocably consents to service of process in the manner provided for notices in </w:t>
      </w:r>
      <w:r>
        <w:rPr>
          <w:rFonts w:ascii="Arial" w:cs="Arial" w:eastAsia="Arial" w:hAnsi="Arial"/>
          <w:sz w:val="16"/>
          <w:szCs w:val="16"/>
          <w:u w:val="single" w:color="auto"/>
          <w:color w:val="auto"/>
        </w:rPr>
        <w:t>Section 9.01</w:t>
      </w:r>
      <w:r>
        <w:rPr>
          <w:rFonts w:ascii="Arial" w:cs="Arial" w:eastAsia="Arial" w:hAnsi="Arial"/>
          <w:sz w:val="16"/>
          <w:szCs w:val="16"/>
          <w:color w:val="auto"/>
        </w:rPr>
        <w:t>. Nothing in this Agreement or any other Loan Document will affect the right of any party to this Agreement to serve process in any other manner permitted by law.</w:t>
      </w:r>
    </w:p>
    <w:p>
      <w:pPr>
        <w:spacing w:after="0" w:line="12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17"/>
          <w:szCs w:val="17"/>
          <w:u w:val="single" w:color="auto"/>
          <w:color w:val="auto"/>
        </w:rPr>
        <w:t>SECTION 9.10</w:t>
      </w:r>
      <w:r>
        <w:rPr>
          <w:rFonts w:ascii="Arial" w:cs="Arial" w:eastAsia="Arial" w:hAnsi="Arial"/>
          <w:sz w:val="17"/>
          <w:szCs w:val="17"/>
          <w:color w:val="auto"/>
        </w:rPr>
        <w:t>.</w:t>
      </w:r>
    </w:p>
    <w:p>
      <w:pPr>
        <w:spacing w:after="0" w:line="17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Banks and the Lenders agrees to maintain the confidentiality of the Information (as defined below), except that Information may be disclosed (a) to its and its Affiliates’ respective officers, directors, employees, legal</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4" w:right="459" w:bottom="1440" w:gutter="0" w:footer="0" w:header="0"/>
        </w:sectPr>
      </w:pPr>
    </w:p>
    <w:bookmarkStart w:id="117" w:name="page118"/>
    <w:bookmarkEnd w:id="11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counsel, independent auditors and other experts or agents who need to know such information in connection with the transactions contemplated hereby and are informed of the confidential nature of such information, (b) upon the request or demand of any regulatory authority having jurisdiction over it or any of its Affiliates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(c) pursuant to the order of any court or administrative agency, in any pending legal, judicial or administrative proceeding or as otherwise required by applicable law or regulation or as requested by a governmental authority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or otherwise reasonably acceptable to the Borrower, to (i) any assignee of or Participant in, or any prospective assignee of or Participant in, any of its rights or obligations under this Agreement (and any of their respective advisors) or (ii) any actual or prospective counterparty (or its advisors) to any swap or derivative transaction relating to the Loan Parties and their obligations, (g) with the consent of the Borrower, (h) [reserved], (i) to the extent that such information is independently developed by it or its Affiliates, in each case, so long as not based on information obtained in a manner that would otherwise violate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(j) for purposes of establishing a “due diligence” defense, (k) to ratings agencies or (l) to the extent such Information (i) becomes publicly available other than as a result of a breach of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or (ii) becomes available to the Administrative Agent, any Issuing Bank or any Lender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 For the purposes of this </w:t>
      </w:r>
      <w:r>
        <w:rPr>
          <w:rFonts w:ascii="Arial" w:cs="Arial" w:eastAsia="Arial" w:hAnsi="Arial"/>
          <w:sz w:val="16"/>
          <w:szCs w:val="16"/>
          <w:u w:val="single" w:color="auto"/>
          <w:color w:val="auto"/>
        </w:rPr>
        <w:t>Section 9.12</w:t>
      </w:r>
      <w:r>
        <w:rPr>
          <w:rFonts w:ascii="Arial" w:cs="Arial" w:eastAsia="Arial" w:hAnsi="Arial"/>
          <w:sz w:val="16"/>
          <w:szCs w:val="16"/>
          <w:color w:val="auto"/>
        </w:rPr>
        <w:t>,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 relating to the Borrower or their business, other than any such information that is available to the Administrative Agent, any Issuing Bank or any Lender on a non-confidential basis prior to disclosure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1"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b w:val="1"/>
          <w:bCs w:val="1"/>
          <w:color w:val="auto"/>
        </w:rPr>
        <w:t xml:space="preserve">EACH LENDER ACKNOWLEDGES THAT INFORMATION AS DEFINED IN </w:t>
      </w:r>
      <w:r>
        <w:rPr>
          <w:rFonts w:ascii="Arial" w:cs="Arial" w:eastAsia="Arial" w:hAnsi="Arial"/>
          <w:sz w:val="18"/>
          <w:szCs w:val="18"/>
          <w:b w:val="1"/>
          <w:bCs w:val="1"/>
          <w:u w:val="single" w:color="auto"/>
          <w:color w:val="auto"/>
        </w:rPr>
        <w:t>SECTION 9.12</w:t>
      </w:r>
      <w:r>
        <w:rPr>
          <w:rFonts w:ascii="Arial" w:cs="Arial" w:eastAsia="Arial" w:hAnsi="Arial"/>
          <w:sz w:val="18"/>
          <w:szCs w:val="18"/>
          <w:b w:val="1"/>
          <w:bCs w:val="1"/>
          <w:color w:val="auto"/>
        </w:rPr>
        <w:t xml:space="preserve"> FURNISHED TO IT PURSUANT TO THIS AGREEMENT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274" w:right="459" w:bottom="1440" w:gutter="0" w:footer="0" w:header="0"/>
        </w:sectPr>
      </w:pPr>
    </w:p>
    <w:bookmarkStart w:id="118" w:name="page119"/>
    <w:bookmarkEnd w:id="118"/>
    <w:p>
      <w:pPr>
        <w:ind w:firstLine="44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6"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Several Obligations; Nonreliance; Violation of Law</w:t>
      </w:r>
      <w:r>
        <w:rPr>
          <w:rFonts w:ascii="Arial" w:cs="Arial" w:eastAsia="Arial" w:hAnsi="Arial"/>
          <w:sz w:val="17"/>
          <w:szCs w:val="17"/>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no Issuing Bank nor any Lender shall be obligated to extend credit to the Borrower in violation of any Requirement of Law.</w:t>
      </w:r>
    </w:p>
    <w:p>
      <w:pPr>
        <w:spacing w:after="0" w:line="17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Disclosure</w:t>
      </w:r>
      <w:r>
        <w:rPr>
          <w:rFonts w:ascii="Arial" w:cs="Arial" w:eastAsia="Arial" w:hAnsi="Arial"/>
          <w:sz w:val="18"/>
          <w:szCs w:val="18"/>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84"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Appointment for Perfection</w:t>
      </w:r>
      <w:r>
        <w:rPr>
          <w:rFonts w:ascii="Arial" w:cs="Arial" w:eastAsia="Arial" w:hAnsi="Arial"/>
          <w:sz w:val="16"/>
          <w:szCs w:val="16"/>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61"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Arial" w:cs="Arial" w:eastAsia="Arial" w:hAnsi="Arial"/>
          <w:sz w:val="16"/>
          <w:szCs w:val="16"/>
          <w:u w:val="single" w:color="auto"/>
          <w:color w:val="auto"/>
        </w:rPr>
        <w:t>Section 9.17</w:t>
      </w:r>
      <w:r>
        <w:rPr>
          <w:rFonts w:ascii="Arial" w:cs="Arial" w:eastAsia="Arial" w:hAnsi="Arial"/>
          <w:sz w:val="16"/>
          <w:szCs w:val="16"/>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0" w:right="459" w:bottom="1440" w:gutter="0" w:footer="0" w:header="0"/>
        </w:sectPr>
      </w:pPr>
    </w:p>
    <w:bookmarkStart w:id="119" w:name="page120"/>
    <w:bookmarkEnd w:id="119"/>
    <w:p>
      <w:pPr>
        <w:ind w:left="4" w:right="14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9.18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acknowledges and agrees that:</w:t>
      </w:r>
    </w:p>
    <w:p>
      <w:pPr>
        <w:ind w:left="4" w:hanging="4"/>
        <w:spacing w:after="0" w:line="267" w:lineRule="auto"/>
        <w:tabs>
          <w:tab w:leader="none" w:pos="21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 the arranging and other services regarding this Agreement provided by the Lenders are arm’s-length commercial transactions between the Borrower and its Affiliates, on the one hand, and the Lenders and their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Borrower and its Affiliates, and no Lender or any of its Affiliates has any obligation to disclose any of such interests to the Borrower or its Affiliates. To the fullest extent permitted by law, the Borrower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184"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 xml:space="preserve">SECTION 9.19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(all such liabilities, the “</w:t>
      </w:r>
      <w:r>
        <w:rPr>
          <w:rFonts w:ascii="Arial" w:cs="Arial" w:eastAsia="Arial" w:hAnsi="Arial"/>
          <w:sz w:val="18"/>
          <w:szCs w:val="18"/>
          <w:u w:val="single" w:color="auto"/>
          <w:color w:val="auto"/>
        </w:rPr>
        <w:t>Covered Liabilities</w:t>
      </w:r>
      <w:r>
        <w:rPr>
          <w:rFonts w:ascii="Arial" w:cs="Arial" w:eastAsia="Arial" w:hAnsi="Arial"/>
          <w:sz w:val="18"/>
          <w:szCs w:val="18"/>
          <w:color w:val="auto"/>
        </w:rPr>
        <w:t>”), may be subject to the Write-Down and Conversion Powers of the applicable Resolution Authority and agrees and consents to, and acknowledges and agrees to be bound by:</w:t>
      </w:r>
    </w:p>
    <w:p>
      <w:pPr>
        <w:spacing w:after="0" w:line="188" w:lineRule="exact"/>
        <w:rPr>
          <w:sz w:val="20"/>
          <w:szCs w:val="20"/>
          <w:color w:val="auto"/>
        </w:rPr>
      </w:pPr>
    </w:p>
    <w:p>
      <w:pPr>
        <w:ind w:left="4" w:right="340" w:firstLine="436"/>
        <w:spacing w:after="0" w:line="277" w:lineRule="auto"/>
        <w:tabs>
          <w:tab w:leader="none" w:pos="8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Covered Liability arising hereunder which may be payable to it by any Lender that is an Affected Financial Institution; and</w:t>
      </w:r>
    </w:p>
    <w:p>
      <w:pPr>
        <w:spacing w:after="0" w:line="170" w:lineRule="exact"/>
        <w:rPr>
          <w:rFonts w:ascii="Arial" w:cs="Arial" w:eastAsia="Arial" w:hAnsi="Arial"/>
          <w:sz w:val="18"/>
          <w:szCs w:val="18"/>
          <w:color w:val="auto"/>
        </w:rPr>
      </w:pPr>
    </w:p>
    <w:p>
      <w:pPr>
        <w:ind w:left="824" w:hanging="384"/>
        <w:spacing w:after="0"/>
        <w:tabs>
          <w:tab w:leader="none" w:pos="8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effects of any Bail-In Action on any such Covered Liability, including, if applicable:</w:t>
      </w:r>
    </w:p>
    <w:p>
      <w:pPr>
        <w:spacing w:after="0" w:line="117" w:lineRule="exact"/>
        <w:rPr>
          <w:rFonts w:ascii="Arial" w:cs="Arial" w:eastAsia="Arial" w:hAnsi="Arial"/>
          <w:sz w:val="18"/>
          <w:szCs w:val="18"/>
          <w:color w:val="auto"/>
        </w:rPr>
      </w:pPr>
    </w:p>
    <w:p>
      <w:pPr>
        <w:ind w:left="1204" w:hanging="341"/>
        <w:spacing w:after="0"/>
        <w:tabs>
          <w:tab w:leader="none" w:pos="120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Covered Liability;</w:t>
      </w:r>
    </w:p>
    <w:p>
      <w:pPr>
        <w:spacing w:after="0" w:line="117" w:lineRule="exact"/>
        <w:rPr>
          <w:rFonts w:ascii="Arial" w:cs="Arial" w:eastAsia="Arial" w:hAnsi="Arial"/>
          <w:sz w:val="18"/>
          <w:szCs w:val="18"/>
          <w:color w:val="auto"/>
        </w:rPr>
      </w:pPr>
    </w:p>
    <w:p>
      <w:pPr>
        <w:ind w:left="444" w:right="60" w:firstLine="419"/>
        <w:spacing w:after="0" w:line="259" w:lineRule="auto"/>
        <w:tabs>
          <w:tab w:leader="none" w:pos="125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 conversion of all, or a portion of, such Covered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Covered Liability under this Agreement or any other Loan Document; or</w:t>
      </w:r>
    </w:p>
    <w:p>
      <w:pPr>
        <w:spacing w:after="0" w:line="78" w:lineRule="exact"/>
        <w:rPr>
          <w:rFonts w:ascii="Arial" w:cs="Arial" w:eastAsia="Arial" w:hAnsi="Arial"/>
          <w:sz w:val="18"/>
          <w:szCs w:val="18"/>
          <w:color w:val="auto"/>
        </w:rPr>
      </w:pPr>
    </w:p>
    <w:p>
      <w:pPr>
        <w:ind w:left="444" w:right="20" w:firstLine="419"/>
        <w:spacing w:after="0" w:line="277" w:lineRule="auto"/>
        <w:tabs>
          <w:tab w:leader="none" w:pos="1313"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variation of the terms of such Covered Liability in connection with the exercise of the Write-Down and Conversion Powers of the applicable Resolution Authority.</w:t>
      </w:r>
    </w:p>
    <w:p>
      <w:pPr>
        <w:spacing w:after="0" w:line="170"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Acknowledgment Regarding any Supported QFCs</w:t>
      </w:r>
      <w:r>
        <w:rPr>
          <w:rFonts w:ascii="Arial" w:cs="Arial" w:eastAsia="Arial" w:hAnsi="Arial"/>
          <w:sz w:val="18"/>
          <w:szCs w:val="18"/>
          <w:color w:val="auto"/>
        </w:rPr>
        <w:t>. To the extent that the Loan Documents provide support, through a guarantee or otherwise, for Swap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84"/>
          </w:cols>
          <w:pgMar w:left="436" w:top="274" w:right="479" w:bottom="1440" w:gutter="0" w:footer="0" w:header="0"/>
        </w:sectPr>
      </w:pPr>
    </w:p>
    <w:bookmarkStart w:id="120" w:name="page121"/>
    <w:bookmarkEnd w:id="12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Dodd-Frank Wall Street Reform and Consumer Protection Act (together with the regulations promulgated thereunder, the “</w:t>
      </w:r>
      <w:r>
        <w:rPr>
          <w:rFonts w:ascii="Arial" w:cs="Arial" w:eastAsia="Arial" w:hAnsi="Arial"/>
          <w:sz w:val="18"/>
          <w:szCs w:val="18"/>
          <w:u w:val="single" w:color="auto"/>
          <w:color w:val="auto"/>
        </w:rPr>
        <w:t>U.S. Special Resolution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79" w:lineRule="exact"/>
        <w:rPr>
          <w:sz w:val="20"/>
          <w:szCs w:val="20"/>
          <w:color w:val="auto"/>
        </w:rPr>
      </w:pPr>
    </w:p>
    <w:p>
      <w:pPr>
        <w:ind w:firstLine="436"/>
        <w:spacing w:after="0" w:line="255" w:lineRule="auto"/>
        <w:tabs>
          <w:tab w:leader="none" w:pos="8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w:t>
      </w:r>
    </w:p>
    <w:p>
      <w:pPr>
        <w:spacing w:after="0" w:line="192" w:lineRule="exact"/>
        <w:rPr>
          <w:rFonts w:ascii="Arial" w:cs="Arial" w:eastAsia="Arial" w:hAnsi="Arial"/>
          <w:sz w:val="18"/>
          <w:szCs w:val="18"/>
          <w:color w:val="auto"/>
        </w:rPr>
      </w:pPr>
    </w:p>
    <w:p>
      <w:pPr>
        <w:ind w:right="260" w:firstLine="436"/>
        <w:spacing w:after="0" w:line="257" w:lineRule="auto"/>
        <w:tabs>
          <w:tab w:leader="none" w:pos="83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87" w:lineRule="exact"/>
        <w:rPr>
          <w:rFonts w:ascii="Arial" w:cs="Arial" w:eastAsia="Arial" w:hAnsi="Arial"/>
          <w:sz w:val="18"/>
          <w:szCs w:val="18"/>
          <w:color w:val="auto"/>
        </w:rPr>
      </w:pPr>
    </w:p>
    <w:p>
      <w:pPr>
        <w:ind w:right="240" w:firstLine="436"/>
        <w:spacing w:after="0" w:line="277" w:lineRule="auto"/>
        <w:tabs>
          <w:tab w:leader="none" w:pos="81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LOAN GUARANTY</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Guaranty</w:t>
      </w:r>
      <w:r>
        <w:rPr>
          <w:rFonts w:ascii="Arial" w:cs="Arial" w:eastAsia="Arial" w:hAnsi="Arial"/>
          <w:sz w:val="16"/>
          <w:szCs w:val="16"/>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and expenses paid or incurred by the Administrative Agent, the Issuing Banks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68"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Guaranty of Payment</w:t>
      </w:r>
      <w:r>
        <w:rPr>
          <w:rFonts w:ascii="Arial" w:cs="Arial" w:eastAsia="Arial" w:hAnsi="Arial"/>
          <w:sz w:val="18"/>
          <w:szCs w:val="18"/>
          <w:color w:val="auto"/>
        </w:rPr>
        <w:t>. This Loan Guaranty is a guaranty of payment and not of collection. Each Loan Guarantor waives any right to require the Administrative Agent, any Issuing Bank or any Lender to sue the Borrower, any Loan Guarantor, any other guarantor, or any other Person obligated for all or any part of the Guaranteed Obligations (each, an “</w:t>
      </w:r>
      <w:r>
        <w:rPr>
          <w:rFonts w:ascii="Arial" w:cs="Arial" w:eastAsia="Arial" w:hAnsi="Arial"/>
          <w:sz w:val="18"/>
          <w:szCs w:val="18"/>
          <w:u w:val="single" w:color="auto"/>
          <w:color w:val="auto"/>
        </w:rPr>
        <w:t>Obligated Party</w:t>
      </w:r>
      <w:r>
        <w:rPr>
          <w:rFonts w:ascii="Arial" w:cs="Arial" w:eastAsia="Arial" w:hAnsi="Arial"/>
          <w:sz w:val="18"/>
          <w:szCs w:val="18"/>
          <w:color w:val="auto"/>
        </w:rPr>
        <w:t>”), or otherwise to enforce its payment against any collateral securing all or any part of the Guaranteed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60"/>
          </w:cols>
          <w:pgMar w:left="440" w:top="274" w:right="499" w:bottom="1440" w:gutter="0" w:footer="0" w:header="0"/>
        </w:sectPr>
      </w:pPr>
    </w:p>
    <w:bookmarkStart w:id="121" w:name="page122"/>
    <w:bookmarkEnd w:id="121"/>
    <w:p>
      <w:pPr>
        <w:ind w:left="444"/>
        <w:spacing w:after="0"/>
        <w:tabs>
          <w:tab w:leader="none" w:pos="18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10.03</w:t>
      </w:r>
      <w:r>
        <w:rPr>
          <w:sz w:val="20"/>
          <w:szCs w:val="20"/>
          <w:color w:val="auto"/>
        </w:rPr>
        <w:tab/>
      </w:r>
      <w:r>
        <w:rPr>
          <w:rFonts w:ascii="Arial" w:cs="Arial" w:eastAsia="Arial" w:hAnsi="Arial"/>
          <w:sz w:val="16"/>
          <w:szCs w:val="16"/>
          <w:u w:val="single" w:color="auto"/>
          <w:color w:val="auto"/>
        </w:rPr>
        <w:t>No Discharge or Diminishment of Loan Guaranty</w:t>
      </w:r>
      <w:r>
        <w:rPr>
          <w:rFonts w:ascii="Arial" w:cs="Arial" w:eastAsia="Arial" w:hAnsi="Arial"/>
          <w:sz w:val="16"/>
          <w:szCs w:val="16"/>
          <w:color w:val="auto"/>
        </w:rPr>
        <w:t>.</w:t>
      </w:r>
    </w:p>
    <w:p>
      <w:pPr>
        <w:spacing w:after="0" w:line="225" w:lineRule="exact"/>
        <w:rPr>
          <w:sz w:val="20"/>
          <w:szCs w:val="20"/>
          <w:color w:val="auto"/>
        </w:rPr>
      </w:pPr>
    </w:p>
    <w:p>
      <w:pPr>
        <w:ind w:left="4" w:right="120" w:firstLine="436"/>
        <w:spacing w:after="0" w:line="285" w:lineRule="auto"/>
        <w:tabs>
          <w:tab w:leader="none" w:pos="82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Except as otherwise provided for herein, to the fullest extent permitted by applicable law, the obligations of each Loan Guarantor hereunder are unconditional and absolute and not subject to any reduction, limitation, impairment or termination for any reason (other than Payment in Full), and the cash collateralization of all Unliquidated Obligations in a manner satisfactory to each affected Lender),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insolvency, bankruptcy, reorganization or other similar proceeding affecting any Obligated Party, or their assets or any resulting release or</w:t>
      </w:r>
    </w:p>
    <w:p>
      <w:pPr>
        <w:spacing w:after="0" w:line="20" w:lineRule="exact"/>
        <w:rPr>
          <w:rFonts w:ascii="Arial" w:cs="Arial" w:eastAsia="Arial" w:hAnsi="Arial"/>
          <w:sz w:val="17"/>
          <w:szCs w:val="17"/>
          <w:color w:val="auto"/>
        </w:rPr>
      </w:pPr>
    </w:p>
    <w:p>
      <w:pPr>
        <w:ind w:left="4" w:right="140"/>
        <w:spacing w:after="0" w:line="255" w:lineRule="auto"/>
        <w:rPr>
          <w:rFonts w:ascii="Arial" w:cs="Arial" w:eastAsia="Arial" w:hAnsi="Arial"/>
          <w:sz w:val="17"/>
          <w:szCs w:val="17"/>
          <w:color w:val="auto"/>
        </w:rPr>
      </w:pPr>
      <w:r>
        <w:rPr>
          <w:rFonts w:ascii="Arial" w:cs="Arial" w:eastAsia="Arial" w:hAnsi="Arial"/>
          <w:sz w:val="18"/>
          <w:szCs w:val="18"/>
          <w:color w:val="auto"/>
        </w:rPr>
        <w:t>discharge of any obligation of any Obligated Party; or (iv) the existence of any claim, setoff or other rights which any Loan Guarantor may have at any time against any Obligated Party, the Administrative Agent, any Issuing Bank, any Lender, or any other Person, whether in connection herewith or in any unrelated transactions.</w:t>
      </w:r>
    </w:p>
    <w:p>
      <w:pPr>
        <w:spacing w:after="0" w:line="189" w:lineRule="exact"/>
        <w:rPr>
          <w:rFonts w:ascii="Arial" w:cs="Arial" w:eastAsia="Arial" w:hAnsi="Arial"/>
          <w:sz w:val="17"/>
          <w:szCs w:val="17"/>
          <w:color w:val="auto"/>
        </w:rPr>
      </w:pPr>
    </w:p>
    <w:p>
      <w:pPr>
        <w:jc w:val="both"/>
        <w:ind w:left="4" w:right="60" w:firstLine="436"/>
        <w:spacing w:after="0" w:line="259" w:lineRule="auto"/>
        <w:tabs>
          <w:tab w:leader="none" w:pos="83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86" w:lineRule="exact"/>
        <w:rPr>
          <w:rFonts w:ascii="Arial" w:cs="Arial" w:eastAsia="Arial" w:hAnsi="Arial"/>
          <w:sz w:val="18"/>
          <w:szCs w:val="18"/>
          <w:color w:val="auto"/>
        </w:rPr>
      </w:pPr>
    </w:p>
    <w:p>
      <w:pPr>
        <w:ind w:left="4" w:firstLine="436"/>
        <w:spacing w:after="0" w:line="285" w:lineRule="auto"/>
        <w:tabs>
          <w:tab w:leader="none" w:pos="824" w:val="left"/>
        </w:tabs>
        <w:numPr>
          <w:ilvl w:val="1"/>
          <w:numId w:val="164"/>
        </w:numPr>
        <w:rPr>
          <w:rFonts w:ascii="Arial" w:cs="Arial" w:eastAsia="Arial" w:hAnsi="Arial"/>
          <w:sz w:val="16"/>
          <w:szCs w:val="16"/>
          <w:color w:val="auto"/>
        </w:rPr>
      </w:pPr>
      <w:r>
        <w:rPr>
          <w:rFonts w:ascii="Arial" w:cs="Arial" w:eastAsia="Arial" w:hAnsi="Arial"/>
          <w:sz w:val="16"/>
          <w:szCs w:val="16"/>
          <w:color w:val="auto"/>
        </w:rPr>
        <w:t xml:space="preserve">Further, to the fullest extent permitted by applicable law, the obligations of any Loan Guarantor hereunder are not discharged or impaired or otherwise affected by: (i) the failure of the Administrative Agent, any Issuing Bank or any Lender to assert any claim or demand or to enforce any remedy with respect to all or any part of the Guaranteed Obligations; (ii) any waiver or modification of or supplement to any provision of any agreement relating to the Guaranteed Obligations (including, without limitation, any Benchmark Replacement Conforming Changes or any other modifications or other amendments delivered or otherwise implemented or effected (automatically or otherwise) in accordance with or in furtherance of </w:t>
      </w:r>
      <w:r>
        <w:rPr>
          <w:rFonts w:ascii="Arial" w:cs="Arial" w:eastAsia="Arial" w:hAnsi="Arial"/>
          <w:sz w:val="16"/>
          <w:szCs w:val="16"/>
          <w:u w:val="single" w:color="auto"/>
          <w:color w:val="auto"/>
        </w:rPr>
        <w:t>Section 2.25</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 w:right="20" w:hanging="4"/>
        <w:spacing w:after="0" w:line="252" w:lineRule="auto"/>
        <w:tabs>
          <w:tab w:leader="none" w:pos="31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any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Payment in Full).</w:t>
      </w:r>
    </w:p>
    <w:p>
      <w:pPr>
        <w:spacing w:after="0" w:line="194"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Defenses Waived</w:t>
      </w:r>
      <w:r>
        <w:rPr>
          <w:rFonts w:ascii="Arial" w:cs="Arial" w:eastAsia="Arial" w:hAnsi="Arial"/>
          <w:sz w:val="16"/>
          <w:szCs w:val="16"/>
          <w:color w:val="auto"/>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Payment in Full.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4"/>
          </w:cols>
          <w:pgMar w:left="436" w:top="274" w:right="459" w:bottom="1440" w:gutter="0" w:footer="0" w:header="0"/>
        </w:sectPr>
      </w:pPr>
    </w:p>
    <w:bookmarkStart w:id="122" w:name="page123"/>
    <w:bookmarkEnd w:id="122"/>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95"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Rights of Subrogation</w:t>
      </w:r>
      <w:r>
        <w:rPr>
          <w:rFonts w:ascii="Arial" w:cs="Arial" w:eastAsia="Arial" w:hAnsi="Arial"/>
          <w:sz w:val="17"/>
          <w:szCs w:val="17"/>
          <w:color w:val="auto"/>
        </w:rPr>
        <w:t>. No Loan Guarantor will assert any right, claim or cause of action, including, without limitation, a claim of subrogation, contribution or indemnification that it has against any Obligated Party, or any collateral, until Payment in Full.</w:t>
      </w:r>
    </w:p>
    <w:p>
      <w:pPr>
        <w:spacing w:after="0" w:line="14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10.06 </w:t>
      </w:r>
      <w:r>
        <w:rPr>
          <w:rFonts w:ascii="Arial" w:cs="Arial" w:eastAsia="Arial" w:hAnsi="Arial"/>
          <w:sz w:val="17"/>
          <w:szCs w:val="17"/>
          <w:u w:val="single" w:color="auto"/>
          <w:color w:val="auto"/>
        </w:rPr>
        <w:t>Reinstatement; Stay of Acceleration</w:t>
      </w:r>
      <w:r>
        <w:rPr>
          <w:rFonts w:ascii="Arial" w:cs="Arial" w:eastAsia="Arial" w:hAnsi="Arial"/>
          <w:sz w:val="17"/>
          <w:szCs w:val="17"/>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any Secured Party in its discretion), each Loan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178"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Information</w:t>
      </w:r>
      <w:r>
        <w:rPr>
          <w:rFonts w:ascii="Arial" w:cs="Arial" w:eastAsia="Arial" w:hAnsi="Arial"/>
          <w:sz w:val="16"/>
          <w:szCs w:val="16"/>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Administrative Agent nor any Issuing Bank nor any Lender shall have any duty to advise any Loan Guarantor of information known to it regarding those circumstances or risks.</w:t>
      </w:r>
    </w:p>
    <w:p>
      <w:pPr>
        <w:spacing w:after="0" w:line="157"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Each of the Lenders and the Issuing Bank may continue to make loans or extend credit to the Borrower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the Guaranteed Obligations. Nothing in this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shall be deemed to constitute a waiver of, or eliminate, limit, reduce or otherwise impair any rights or remedies the Administrative Agent or any Lender may have in respect of, any Default or Event of Default that shall exist under </w:t>
      </w:r>
      <w:r>
        <w:rPr>
          <w:rFonts w:ascii="Arial" w:cs="Arial" w:eastAsia="Arial" w:hAnsi="Arial"/>
          <w:sz w:val="17"/>
          <w:szCs w:val="17"/>
          <w:u w:val="single" w:color="auto"/>
          <w:color w:val="auto"/>
        </w:rPr>
        <w:t>clause (o)</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hereof as a result of any such notice of termination.</w:t>
      </w:r>
    </w:p>
    <w:p>
      <w:pPr>
        <w:spacing w:after="0" w:line="177"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Maximum Liability</w:t>
      </w:r>
      <w:r>
        <w:rPr>
          <w:rFonts w:ascii="Arial" w:cs="Arial" w:eastAsia="Arial" w:hAnsi="Arial"/>
          <w:sz w:val="18"/>
          <w:szCs w:val="18"/>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4" w:right="459" w:bottom="1440" w:gutter="0" w:footer="0" w:header="0"/>
        </w:sectPr>
      </w:pPr>
    </w:p>
    <w:bookmarkStart w:id="123" w:name="page124"/>
    <w:bookmarkEnd w:id="123"/>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84"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54" w:lineRule="auto"/>
        <w:tabs>
          <w:tab w:leader="none" w:pos="81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the extent that any Loan Guarantor shall make a payment under this Loan Guaranty (a “</w:t>
      </w:r>
      <w:r>
        <w:rPr>
          <w:rFonts w:ascii="Arial" w:cs="Arial" w:eastAsia="Arial" w:hAnsi="Arial"/>
          <w:sz w:val="18"/>
          <w:szCs w:val="18"/>
          <w:u w:val="single" w:color="auto"/>
          <w:color w:val="auto"/>
        </w:rPr>
        <w:t>Guarantor Payment</w:t>
      </w:r>
      <w:r>
        <w:rPr>
          <w:rFonts w:ascii="Arial" w:cs="Arial" w:eastAsia="Arial" w:hAnsi="Arial"/>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Payment in Full,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91" w:lineRule="exact"/>
        <w:rPr>
          <w:rFonts w:ascii="Arial" w:cs="Arial" w:eastAsia="Arial" w:hAnsi="Arial"/>
          <w:sz w:val="18"/>
          <w:szCs w:val="18"/>
          <w:color w:val="auto"/>
        </w:rPr>
      </w:pPr>
    </w:p>
    <w:p>
      <w:pPr>
        <w:ind w:right="20" w:firstLine="436"/>
        <w:spacing w:after="0" w:line="257" w:lineRule="auto"/>
        <w:tabs>
          <w:tab w:leader="none" w:pos="8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As of any date of determination, the “</w:t>
      </w:r>
      <w:r>
        <w:rPr>
          <w:rFonts w:ascii="Arial" w:cs="Arial" w:eastAsia="Arial" w:hAnsi="Arial"/>
          <w:sz w:val="18"/>
          <w:szCs w:val="18"/>
          <w:u w:val="single" w:color="auto"/>
          <w:color w:val="auto"/>
        </w:rPr>
        <w:t>Allocable Amount</w:t>
      </w:r>
      <w:r>
        <w:rPr>
          <w:rFonts w:ascii="Arial" w:cs="Arial" w:eastAsia="Arial" w:hAnsi="Arial"/>
          <w:sz w:val="18"/>
          <w:szCs w:val="18"/>
          <w:color w:val="auto"/>
        </w:rPr>
        <w: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7" w:lineRule="exact"/>
        <w:rPr>
          <w:rFonts w:ascii="Arial" w:cs="Arial" w:eastAsia="Arial" w:hAnsi="Arial"/>
          <w:sz w:val="18"/>
          <w:szCs w:val="18"/>
          <w:color w:val="auto"/>
        </w:rPr>
      </w:pPr>
    </w:p>
    <w:p>
      <w:pPr>
        <w:ind w:firstLine="436"/>
        <w:spacing w:after="0" w:line="263" w:lineRule="auto"/>
        <w:tabs>
          <w:tab w:leader="none" w:pos="81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is intended only to define the relative rights of the Loan Guarantors, and nothing set forth in this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is intended to or shall impair the obligations of the Loan Guarantors, jointly and severally, to pay any amounts as and when the same shall become due and payable in accordance with the terms of this Loan Guaranty.</w:t>
      </w:r>
    </w:p>
    <w:p>
      <w:pPr>
        <w:spacing w:after="0" w:line="183" w:lineRule="exact"/>
        <w:rPr>
          <w:rFonts w:ascii="Arial" w:cs="Arial" w:eastAsia="Arial" w:hAnsi="Arial"/>
          <w:sz w:val="18"/>
          <w:szCs w:val="18"/>
          <w:color w:val="auto"/>
        </w:rPr>
      </w:pPr>
    </w:p>
    <w:p>
      <w:pPr>
        <w:ind w:right="20" w:firstLine="436"/>
        <w:spacing w:after="0" w:line="277" w:lineRule="auto"/>
        <w:tabs>
          <w:tab w:leader="none" w:pos="82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Loan Guarantor or Loan Guarantors to which such contribution and indemnification is owing.</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The rights of the indemnifying Loan Guarantors against other Loan Guarantors under this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shall be exercisable upon Payment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Full.</w:t>
      </w:r>
    </w:p>
    <w:p>
      <w:pPr>
        <w:spacing w:after="0" w:line="211"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Liability Cumulative</w:t>
      </w:r>
      <w:r>
        <w:rPr>
          <w:rFonts w:ascii="Arial" w:cs="Arial" w:eastAsia="Arial" w:hAnsi="Arial"/>
          <w:sz w:val="17"/>
          <w:szCs w:val="17"/>
          <w:color w:val="auto"/>
        </w:rPr>
        <w:t xml:space="preserve">. The liability of each Loan Party as a Loan Guarantor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71"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Keepwell</w:t>
      </w:r>
      <w:r>
        <w:rPr>
          <w:rFonts w:ascii="Arial" w:cs="Arial" w:eastAsia="Arial" w:hAnsi="Arial"/>
          <w:sz w:val="16"/>
          <w:szCs w:val="16"/>
          <w:color w:val="auto"/>
        </w:rPr>
        <w:t>. Each Qualified ECP Guarantor hereby jointly and severally absolutely, unconditionally and irrevocably undertakes to provide such funds or other support as may be needed from time to time by each other Loan Party or Loan Guarantor to honor all of its obligations under this Loan Guaranty in respect of a Swap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Qualified ECP Guarantor shall only be liable under this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for the maximum amount of such liability that can be hereby incurred without rendering its obligations under this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or otherwise under this Loan Guaranty, voidable under applicable law relating to fraudulent conveyance or fraudulent transfer, and not for any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80"/>
          </w:cols>
          <w:pgMar w:left="440" w:top="274" w:right="479" w:bottom="1440" w:gutter="0" w:footer="0" w:header="0"/>
        </w:sectPr>
      </w:pPr>
    </w:p>
    <w:bookmarkStart w:id="124" w:name="page125"/>
    <w:bookmarkEnd w:id="12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greater amount). Except as otherwise provided herein, the obligations of each Qualified ECP Guarantor under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shall remain in full force and effect until the termination of all Swap Obligations. Each Qualified ECP Guarantor intends that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constitute, and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shall be deemed to constitute, a “keepwell, support, or other agreement” for the benefit of each other Loan Party for all purposes of Section 1a(18)(A)(v)(II) of the Commodity Exchange Act.</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640"/>
          </w:cols>
          <w:pgMar w:left="440" w:top="274" w:right="819" w:bottom="1440" w:gutter="0" w:footer="0" w:header="0"/>
        </w:sectPr>
      </w:pPr>
    </w:p>
    <w:bookmarkStart w:id="125" w:name="page126"/>
    <w:bookmarkEnd w:id="12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FLYWIRE CORPORATION</w:t>
      </w:r>
      <w:r>
        <w:rPr>
          <w:rFonts w:ascii="Arial" w:cs="Arial" w:eastAsia="Arial" w:hAnsi="Arial"/>
          <w:sz w:val="18"/>
          <w:szCs w:val="18"/>
          <w:color w:val="auto"/>
        </w:rPr>
        <w:t>, a Delaware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LYWIRE</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980"/>
          </w:cols>
          <w:pgMar w:left="440" w:top="274" w:right="479" w:bottom="1440" w:gutter="0" w:footer="0" w:header="0"/>
        </w:sectPr>
      </w:pPr>
    </w:p>
    <w:bookmarkStart w:id="126" w:name="page127"/>
    <w:bookmarkEnd w:id="126"/>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w:t>
      </w:r>
      <w:r>
        <w:rPr>
          <w:rFonts w:ascii="Arial" w:cs="Arial" w:eastAsia="Arial" w:hAnsi="Arial"/>
          <w:sz w:val="17"/>
          <w:szCs w:val="17"/>
          <w:color w:val="auto"/>
        </w:rPr>
        <w:t>, individually as a Lender, as</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Administrative Agent, Swingline Lender and 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Stephanie Epkins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Stephanie Epkins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LYWIRE</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9060"/>
          </w:cols>
          <w:pgMar w:left="1440" w:top="270" w:right="1399" w:bottom="1440" w:gutter="0" w:footer="0" w:header="0"/>
        </w:sectPr>
      </w:pPr>
    </w:p>
    <w:bookmarkStart w:id="127" w:name="page128"/>
    <w:bookmarkEnd w:id="12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SILICON VALLEY BANK, individually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Charles Bradford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Charles Bradford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LYWIRE</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9460"/>
          </w:cols>
          <w:pgMar w:left="1440" w:top="274" w:right="999" w:bottom="1440" w:gutter="0" w:footer="0" w:header="0"/>
        </w:sectPr>
      </w:pPr>
    </w:p>
    <w:bookmarkStart w:id="128" w:name="page129"/>
    <w:bookmarkEnd w:id="12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individually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Lauren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Lauren Daley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LYWIRE</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9480"/>
          </w:cols>
          <w:pgMar w:left="1440" w:top="274" w:right="979" w:bottom="1440" w:gutter="0" w:footer="0" w:header="0"/>
        </w:sectPr>
      </w:pPr>
    </w:p>
    <w:bookmarkStart w:id="129" w:name="page130"/>
    <w:bookmarkEnd w:id="129"/>
    <w:tbl>
      <w:tblPr>
        <w:tblLayout w:type="fixed"/>
        <w:tblInd w:w="7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20" w:type="dxa"/>
            <w:vAlign w:val="bottom"/>
            <w:gridSpan w:val="2"/>
          </w:tcPr>
          <w:p>
            <w:pPr>
              <w:ind w:left="260"/>
              <w:spacing w:after="0"/>
              <w:rPr>
                <w:sz w:val="20"/>
                <w:szCs w:val="20"/>
                <w:color w:val="auto"/>
              </w:rPr>
            </w:pPr>
            <w:r>
              <w:rPr>
                <w:rFonts w:ascii="Arial" w:cs="Arial" w:eastAsia="Arial" w:hAnsi="Arial"/>
                <w:sz w:val="18"/>
                <w:szCs w:val="18"/>
                <w:color w:val="auto"/>
              </w:rPr>
              <w:t>COMMITMENT SCHEDULE</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Lender</w:t>
            </w:r>
          </w:p>
        </w:tc>
        <w:tc>
          <w:tcPr>
            <w:tcW w:w="19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7"/>
              </w:rPr>
              <w:t>Total Commitment</w:t>
            </w:r>
          </w:p>
        </w:tc>
      </w:tr>
      <w:tr>
        <w:trPr>
          <w:trHeight w:val="203"/>
        </w:trPr>
        <w:tc>
          <w:tcPr>
            <w:tcW w:w="2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Citibank, N.A.</w:t>
            </w:r>
          </w:p>
        </w:tc>
        <w:tc>
          <w:tcPr>
            <w:tcW w:w="39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120" w:type="dxa"/>
            <w:vAlign w:val="bottom"/>
            <w:gridSpan w:val="2"/>
          </w:tcPr>
          <w:p>
            <w:pPr>
              <w:ind w:left="39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17,500,000</w:t>
            </w:r>
          </w:p>
        </w:tc>
        <w:tc>
          <w:tcPr>
            <w:tcW w:w="40" w:type="dxa"/>
            <w:vAlign w:val="bottom"/>
          </w:tcPr>
          <w:p>
            <w:pPr>
              <w:spacing w:after="0"/>
              <w:rPr>
                <w:sz w:val="18"/>
                <w:szCs w:val="18"/>
                <w:color w:val="auto"/>
              </w:rPr>
            </w:pP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412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12,500,000</w:t>
            </w:r>
          </w:p>
        </w:tc>
        <w:tc>
          <w:tcPr>
            <w:tcW w:w="40" w:type="dxa"/>
            <w:vAlign w:val="bottom"/>
            <w:shd w:val="clear" w:color="auto" w:fill="CCEEFF"/>
          </w:tcPr>
          <w:p>
            <w:pPr>
              <w:spacing w:after="0"/>
              <w:rPr>
                <w:sz w:val="18"/>
                <w:szCs w:val="18"/>
                <w:color w:val="auto"/>
              </w:rPr>
            </w:pPr>
          </w:p>
        </w:tc>
      </w:tr>
      <w:tr>
        <w:trPr>
          <w:trHeight w:val="223"/>
        </w:trPr>
        <w:tc>
          <w:tcPr>
            <w:tcW w:w="23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3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9019"/>
          </w:cols>
          <w:pgMar w:left="1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 AND SECURITY AGREEMENT</w:t>
      </w:r>
    </w:p>
    <w:p>
      <w:pPr>
        <w:spacing w:after="0" w:line="22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THIS PLEDGE AND SECURITY AGREEMENT (as it may be amended, restated, amended and restated, supplemented or otherwise modified from time to time, this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is entered into as of July 29, 2021, by and among FLYWIRE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of the Borrower’s wholly-owned Material Domestic Subsidiaries party from time to time hereto (together with the Borrower, the “</w:t>
      </w:r>
      <w:r>
        <w:rPr>
          <w:rFonts w:ascii="Arial" w:cs="Arial" w:eastAsia="Arial" w:hAnsi="Arial"/>
          <w:sz w:val="18"/>
          <w:szCs w:val="18"/>
          <w:u w:val="single" w:color="auto"/>
          <w:color w:val="auto"/>
        </w:rPr>
        <w:t>Grantors</w:t>
      </w:r>
      <w:r>
        <w:rPr>
          <w:rFonts w:ascii="Arial" w:cs="Arial" w:eastAsia="Arial" w:hAnsi="Arial"/>
          <w:sz w:val="18"/>
          <w:szCs w:val="18"/>
          <w:color w:val="auto"/>
        </w:rPr>
        <w:t>” and each, a “</w:t>
      </w:r>
      <w:r>
        <w:rPr>
          <w:rFonts w:ascii="Arial" w:cs="Arial" w:eastAsia="Arial" w:hAnsi="Arial"/>
          <w:sz w:val="18"/>
          <w:szCs w:val="18"/>
          <w:u w:val="single" w:color="auto"/>
          <w:color w:val="auto"/>
        </w:rPr>
        <w:t>Grantor</w:t>
      </w:r>
      <w:r>
        <w:rPr>
          <w:rFonts w:ascii="Arial" w:cs="Arial" w:eastAsia="Arial" w:hAnsi="Arial"/>
          <w:sz w:val="18"/>
          <w:szCs w:val="18"/>
          <w:color w:val="auto"/>
        </w:rPr>
        <w:t>”), and Citibank, N.A., a national banking association, in its capacities as administrative agent and collateral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STATEMENTS</w:t>
      </w:r>
    </w:p>
    <w:p>
      <w:pPr>
        <w:spacing w:after="0" w:line="225"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The Grantors, the Administrative Agent, the Lenders from time to time party thereto and the Issuing Banks are entering into a Credit Agreement dated as of the date hereof (as it may be amended, restated, amended and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The Grantors are entering into this Security Agreement in order to induce (a) the Lenders and Issuing Banks to enter into and extend credit to the Borrower under the Credit Agreement and (b) certain other Secured Parties to provide financial accommodations which may from time to time constitute Secured Obligations that each Grantor has agreed to guarantee pursuant to Article X of the Credit Agreement.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Grantors and the Administrative Agent, on behalf of the Secured Parties,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Credit Agreement</w:t>
      </w:r>
      <w:r>
        <w:rPr>
          <w:rFonts w:ascii="Arial" w:cs="Arial" w:eastAsia="Arial" w:hAnsi="Arial"/>
          <w:sz w:val="18"/>
          <w:szCs w:val="18"/>
          <w:color w:val="auto"/>
        </w:rPr>
        <w:t>. All capitalized terms used herein and not otherwise defined (including in the Preliminary Statements above) shall have the meanings assigned to such terms in the Credit Agreement.</w:t>
      </w:r>
    </w:p>
    <w:p>
      <w:pPr>
        <w:spacing w:after="0" w:line="170"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Terms Defined in UCC</w:t>
      </w:r>
      <w:r>
        <w:rPr>
          <w:rFonts w:ascii="Arial" w:cs="Arial" w:eastAsia="Arial" w:hAnsi="Arial"/>
          <w:sz w:val="17"/>
          <w:szCs w:val="17"/>
          <w:color w:val="auto"/>
        </w:rPr>
        <w:t>. The following terms shall have the respective meanings assigned to such terms in the UCC: “Account Debtor”, “Accounts”; “Chattel Paper”; “Commodities Account”; “Deposit Accounts”; “Documents”; “Equipment”; “Fixtures”; “General Intangibles”; “Goods”; “Instruments”; “Inventory”; “Investment Property”; “Letter-of-Credit Rights”; “Securities Account”; “Security”; and “Supporting Obligations”.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Definitions of Certain Terms Used Herein</w:t>
      </w:r>
      <w:r>
        <w:rPr>
          <w:rFonts w:ascii="Arial" w:cs="Arial" w:eastAsia="Arial" w:hAnsi="Arial"/>
          <w:sz w:val="17"/>
          <w:szCs w:val="17"/>
          <w:color w:val="auto"/>
        </w:rPr>
        <w:t>. As used in this Security Agreement, the following terms shall have the following meanings: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 numbered article of this Security Agreement, unless another document is specifically referenced.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as defined in Section 957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of this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Commercial Tort Claims</w:t>
      </w:r>
      <w:r>
        <w:rPr>
          <w:rFonts w:ascii="Arial" w:cs="Arial" w:eastAsia="Arial" w:hAnsi="Arial"/>
          <w:sz w:val="16"/>
          <w:szCs w:val="16"/>
          <w:color w:val="auto"/>
        </w:rPr>
        <w:t xml:space="preserve">” means all existing commercial tort claims, as defined in the UCC, of the Grantors, as specified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w:t>
      </w:r>
    </w:p>
    <w:p>
      <w:pPr>
        <w:sectPr>
          <w:pgSz w:w="11900" w:h="16838" w:orient="portrait"/>
          <w:cols w:equalWidth="0" w:num="1">
            <w:col w:w="11020"/>
          </w:cols>
          <w:pgMar w:left="440" w:top="121" w:right="439" w:bottom="1440" w:gutter="0" w:footer="0" w:header="0"/>
        </w:sectPr>
      </w:pPr>
    </w:p>
    <w:bookmarkStart w:id="131" w:name="page132"/>
    <w:bookmarkEnd w:id="131"/>
    <w:p>
      <w:pPr>
        <w:ind w:left="4" w:right="4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Commodities Account Control Agreement</w:t>
      </w:r>
      <w:r>
        <w:rPr>
          <w:rFonts w:ascii="Arial" w:cs="Arial" w:eastAsia="Arial" w:hAnsi="Arial"/>
          <w:sz w:val="18"/>
          <w:szCs w:val="18"/>
          <w:color w:val="auto"/>
        </w:rPr>
        <w:t>” means a control agreement in respect of Commodities Accounts granting Control thereof to the Administrative Agent and otherwise in form and substance reasonably acceptable to the Administrative Agent.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has the meaning set forth in Article 8 or, if applicable, in Section 9-104, 9-105, 9-106 or 9-107 of Article 9 of the UCC.</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means any Deposit Account Control Agreement, Securities Account Control Agreement or Commodities Account Control Agreement.</w:t>
      </w:r>
    </w:p>
    <w:p>
      <w:pPr>
        <w:spacing w:after="0" w:line="170"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means, with respect to any Person, all of such Person’s right, title, and interest in and to the following: (a) all copyrights, rights and interests in copyrights, works protectable by copyright, copyright registrations, and copyright applications; (b) all renewals of any of the foregoing;</w:t>
      </w:r>
    </w:p>
    <w:p>
      <w:pPr>
        <w:ind w:left="4" w:hanging="4"/>
        <w:spacing w:after="0" w:line="255" w:lineRule="auto"/>
        <w:tabs>
          <w:tab w:leader="none" w:pos="24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pacing w:after="0" w:line="190" w:lineRule="exact"/>
        <w:rPr>
          <w:sz w:val="20"/>
          <w:szCs w:val="20"/>
          <w:color w:val="auto"/>
        </w:rPr>
      </w:pPr>
    </w:p>
    <w:p>
      <w:pPr>
        <w:ind w:left="4" w:right="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 Account Control Agreement</w:t>
      </w:r>
      <w:r>
        <w:rPr>
          <w:rFonts w:ascii="Arial" w:cs="Arial" w:eastAsia="Arial" w:hAnsi="Arial"/>
          <w:sz w:val="16"/>
          <w:szCs w:val="16"/>
          <w:color w:val="auto"/>
        </w:rPr>
        <w:t>” means an agreement, in form and substance reasonably satisfactory to the Administrative Agent and the applicable Grantor, among any Grantor, a banking institution holding such Grantor’s funds, and the Administrative Agent with respect to collection and springing control of all deposits, balances and other assets held in the relevant Deposit Account maintained by such Grantor with such banking institution which shall provide the Administrative Agent with “Control” of such Deposit Account pursuant to Section 9-104 of the UCC.</w:t>
      </w:r>
    </w:p>
    <w:p>
      <w:pPr>
        <w:spacing w:after="0" w:line="15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Grant Date</w:t>
      </w:r>
      <w:r>
        <w:rPr>
          <w:rFonts w:ascii="Arial" w:cs="Arial" w:eastAsia="Arial" w:hAnsi="Arial"/>
          <w:sz w:val="18"/>
          <w:szCs w:val="18"/>
          <w:color w:val="auto"/>
        </w:rPr>
        <w:t>” means (a) with respect to any Grantor party hereto as of the date hereof, the Effective Date and (b) with respect to any Grantor party hereto as of any other date, the date on which the joinder to the Security Agreement executed by such Grantor pursuant to Section 5.09(b) of the Credit Agreement becomes effective in accordance with its terms.</w:t>
      </w:r>
    </w:p>
    <w:p>
      <w:pPr>
        <w:spacing w:after="0" w:line="184" w:lineRule="exact"/>
        <w:rPr>
          <w:sz w:val="20"/>
          <w:szCs w:val="20"/>
          <w:color w:val="auto"/>
        </w:rPr>
      </w:pPr>
    </w:p>
    <w:p>
      <w:pPr>
        <w:ind w:left="4" w:right="2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w:t>
      </w:r>
      <w:r>
        <w:rPr>
          <w:rFonts w:ascii="Arial" w:cs="Arial" w:eastAsia="Arial" w:hAnsi="Arial"/>
          <w:sz w:val="18"/>
          <w:szCs w:val="18"/>
          <w:color w:val="auto"/>
        </w:rPr>
        <w:t xml:space="preserve">” means with respect to any Grantor, (a) any Deposit Account which is funded by, or on behalf or for the benefit of, employees of such Grantor and is to be maintained exclusively for the benefit, directly or indirectly, of such employees (including any Deposit Account which is an employer funded pension account for employees and any account established to pay taxes for and on behalf of employee tax liabilities), (b) any payroll, trust, fiduciary and tax withholding account which is funded in the ordinary course of business, required by applicable law, or required by applicable contractual terms entered into in the ordinary course of business consistent with past practices, (c) any trust account to hold customer deposits, (d) any Deposit Account, Securities Account and/or Commodities Account, as applicable, which is located outside the United States, (e) petty cash accounts, amounts on deposit in which do not exceed $1,000,000 in the aggregate at any one time, (f) any Reserve Account and (g) other Deposit Accounts, Securities Accounts and/or Commodities Accounts in respect of which the average monthly balance therein, in the aggregate, does not exceed </w:t>
      </w:r>
      <w:r>
        <w:rPr>
          <w:rFonts w:ascii="Arial" w:cs="Arial" w:eastAsia="Arial" w:hAnsi="Arial"/>
          <w:sz w:val="18"/>
          <w:szCs w:val="18"/>
          <w:b w:val="1"/>
          <w:bCs w:val="1"/>
          <w:color w:val="auto"/>
        </w:rPr>
        <w:t>$</w:t>
      </w:r>
      <w:r>
        <w:rPr>
          <w:rFonts w:ascii="Arial" w:cs="Arial" w:eastAsia="Arial" w:hAnsi="Arial"/>
          <w:sz w:val="18"/>
          <w:szCs w:val="18"/>
          <w:color w:val="auto"/>
        </w:rPr>
        <w:t>1,000,000.</w:t>
      </w:r>
    </w:p>
    <w:p>
      <w:pPr>
        <w:spacing w:after="0" w:line="19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 specific exhibit to this Security Agreement, unless another document is specifically referenced.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has the meaning given to such term in the definition of “Investment Property.”</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32" w:name="page133"/>
    <w:bookmarkEnd w:id="132"/>
    <w:p>
      <w:pPr>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any Subsidiary that owns no material assets (directly or indirectly) other than capital stock (including any debt instrument treated as equity for U.S. federal income tax purposes) of one or more Foreign Subsidiaries and engages in no material activities other than the ownership of such capital stock.</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means, with respect to any Person, all of such Person’s right, title, and interest in and to (a) any and all licensing agreements or similar arrangements in and to its Patents, Copyrights, or Trademarks,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87"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means, with respect to any Person, all of such Person’s right, title, and interest in and to: (a) any and all patents and patent applications; (b) all inventions and improvements described and claimed therein; (c) all reissues, divisions, continuations, renewals, extensions, and continuations-in-part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 throughout the world.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Liens permitted pursuant to Section 6.02 of the Credit Agreement.</w:t>
      </w:r>
    </w:p>
    <w:p>
      <w:pPr>
        <w:spacing w:after="0" w:line="225" w:lineRule="exact"/>
        <w:rPr>
          <w:sz w:val="20"/>
          <w:szCs w:val="20"/>
          <w:color w:val="auto"/>
        </w:rPr>
      </w:pPr>
    </w:p>
    <w:p>
      <w:pPr>
        <w:ind w:right="6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Collateral</w:t>
      </w:r>
      <w:r>
        <w:rPr>
          <w:rFonts w:ascii="Arial" w:cs="Arial" w:eastAsia="Arial" w:hAnsi="Arial"/>
          <w:sz w:val="17"/>
          <w:szCs w:val="17"/>
          <w:color w:val="auto"/>
        </w:rPr>
        <w:t>” means all Instruments, Securities and other Investment Property of each Grantor to the extent constituting Collateral hereunder, whether or not physically delivered to the Administrative Agent pursuant to this Security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land, buildings, and other kinds of fixed or immovable property, whether owned or leased.</w:t>
      </w:r>
    </w:p>
    <w:p>
      <w:pPr>
        <w:spacing w:after="0" w:line="225"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w:t>
      </w:r>
      <w:r>
        <w:rPr>
          <w:rFonts w:ascii="Arial" w:cs="Arial" w:eastAsia="Arial" w:hAnsi="Arial"/>
          <w:sz w:val="17"/>
          <w:szCs w:val="17"/>
          <w:color w:val="auto"/>
        </w:rPr>
        <w:t>” means, to the extent constituting Collateral hereunder, the Accounts, Chattel Paper, Documents, Investment Property, Instruments and any other rights or claims to receive money which are General Intangibles or which are otherwise included as Collateral.</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Security Agreement, unless another document is specifically referenced.</w:t>
      </w:r>
    </w:p>
    <w:p>
      <w:pPr>
        <w:spacing w:after="0" w:line="225" w:lineRule="exact"/>
        <w:rPr>
          <w:sz w:val="20"/>
          <w:szCs w:val="20"/>
          <w:color w:val="auto"/>
        </w:rPr>
      </w:pPr>
    </w:p>
    <w:p>
      <w:pPr>
        <w:ind w:right="9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 Control Agreement</w:t>
      </w:r>
      <w:r>
        <w:rPr>
          <w:rFonts w:ascii="Arial" w:cs="Arial" w:eastAsia="Arial" w:hAnsi="Arial"/>
          <w:sz w:val="18"/>
          <w:szCs w:val="18"/>
          <w:color w:val="auto"/>
        </w:rPr>
        <w:t>” means a control agreement in respect of Securities Accounts granting Control thereof to the Administrative Agent and otherwise in form and substance reasonably acceptable to the Administrative Agent.</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Rights</w:t>
      </w:r>
      <w:r>
        <w:rPr>
          <w:rFonts w:ascii="Arial" w:cs="Arial" w:eastAsia="Arial" w:hAnsi="Arial"/>
          <w:sz w:val="18"/>
          <w:szCs w:val="18"/>
          <w:color w:val="auto"/>
        </w:rPr>
        <w:t>” means all dividends, instruments or other distributions and any other right or property which each Grantor shall receive or shall become entitled to receive for any reason whatsoever with respect to, in substitution for or in exchange for any Equity Interest constituting Collateral, any right to receive an Equity Interest and any right to receive earnings, in which such Grantor now has or hereafter acquires any right, issued by an issuer of such Equity Interest.</w:t>
      </w:r>
    </w:p>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means, with respect to any Person, all of such Person’s right, title, and interest in and to the following: (a) all trademarks (including service marks), trade names, trade dress, and trade styles and the registrations and applications for registration thereof and the goodwill of the business symbolized by the foregoing; (b) all licenses of the foregoing, whether as 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33" w:name="page134"/>
    <w:bookmarkEnd w:id="133"/>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of the State of New York or of any other state the laws of which are required as a result thereof to be applied in connection with the attachment, perfection or priority of, or remedies with respect to, Administrative Agent’s or any other Secured Party’s Lien on any Collateral.</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foregoing definitions shall be equally applicable to both the singular and plural forms of the defined terms. Sections 1.03 and 1.04 of the Credit Agreement are hereby incorporated by reference.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SECURITY INTEREST</w:t>
      </w:r>
    </w:p>
    <w:p>
      <w:pPr>
        <w:spacing w:after="0" w:line="21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Each Grantor hereby pledges, assigns and grants to the Administrative Agent, on behalf of and for the ratable benefit of the Secured Parties, a security interest in all of its right, title and interest in, to and under all personal property and other assets, whether now owned by or owing to, or hereafter acquired by or arising in favor of such Grantor (including under any trade name or derivations thereof), and whether owned or consigned by or to, or leased from or to, such Grantor, and regardless of where located (all of which will be collectively referred to as the “</w:t>
      </w:r>
      <w:r>
        <w:rPr>
          <w:rFonts w:ascii="Arial" w:cs="Arial" w:eastAsia="Arial" w:hAnsi="Arial"/>
          <w:sz w:val="16"/>
          <w:szCs w:val="16"/>
          <w:u w:val="single" w:color="auto"/>
          <w:color w:val="auto"/>
        </w:rPr>
        <w:t>Collateral</w:t>
      </w:r>
      <w:r>
        <w:rPr>
          <w:rFonts w:ascii="Arial" w:cs="Arial" w:eastAsia="Arial" w:hAnsi="Arial"/>
          <w:sz w:val="16"/>
          <w:szCs w:val="16"/>
          <w:color w:val="auto"/>
        </w:rPr>
        <w:t>”), including:</w:t>
      </w:r>
    </w:p>
    <w:p>
      <w:pPr>
        <w:spacing w:after="0" w:line="63" w:lineRule="exact"/>
        <w:rPr>
          <w:sz w:val="20"/>
          <w:szCs w:val="20"/>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Copyrights, Patents and Trademarks;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Goods;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cash and cash equivalents;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letters of credit, Letter-of-Credit Rights and Supporting Obligations;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Deposit Accounts, Securities Accounts and Commodities Accounts;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Commercial Tort Claims;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34" w:name="page135"/>
    <w:bookmarkEnd w:id="134"/>
    <w:p>
      <w:pPr>
        <w:ind w:left="1744" w:right="100" w:hanging="543"/>
        <w:spacing w:after="0" w:line="259" w:lineRule="auto"/>
        <w:tabs>
          <w:tab w:leader="none" w:pos="1744"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accessions to, substitutions for and replacements, proceeds (including Stock Rights), insurance proceeds and products of the foregoing, together with all books and records, customer lists, credit files, computer files, programs, printouts and other computer materials and records related thereto and any General Intangibles at any time evidencing or relating to any of the foregoing;</w:t>
      </w:r>
    </w:p>
    <w:p>
      <w:pPr>
        <w:spacing w:after="0" w:line="187" w:lineRule="exact"/>
        <w:rPr>
          <w:sz w:val="20"/>
          <w:szCs w:val="20"/>
          <w:color w:val="auto"/>
        </w:rPr>
      </w:pPr>
    </w:p>
    <w:p>
      <w:pPr>
        <w:ind w:left="4"/>
        <w:spacing w:after="0" w:line="282" w:lineRule="auto"/>
        <w:rPr>
          <w:sz w:val="20"/>
          <w:szCs w:val="20"/>
          <w:color w:val="auto"/>
        </w:rPr>
      </w:pPr>
      <w:r>
        <w:rPr>
          <w:rFonts w:ascii="Arial" w:cs="Arial" w:eastAsia="Arial" w:hAnsi="Arial"/>
          <w:sz w:val="16"/>
          <w:szCs w:val="16"/>
          <w:color w:val="auto"/>
        </w:rPr>
        <w:t xml:space="preserve">to secure the prompt and complete payment and performance of the Secured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 of the other provisions set forth in this </w:t>
      </w:r>
      <w:r>
        <w:rPr>
          <w:rFonts w:ascii="Arial" w:cs="Arial" w:eastAsia="Arial" w:hAnsi="Arial"/>
          <w:sz w:val="16"/>
          <w:szCs w:val="16"/>
          <w:u w:val="single" w:color="auto"/>
          <w:color w:val="auto"/>
        </w:rPr>
        <w:t>Article II</w:t>
      </w:r>
      <w:r>
        <w:rPr>
          <w:rFonts w:ascii="Arial" w:cs="Arial" w:eastAsia="Arial" w:hAnsi="Arial"/>
          <w:sz w:val="16"/>
          <w:szCs w:val="16"/>
          <w:color w:val="auto"/>
        </w:rPr>
        <w:t>, this Security Agreement shall not constitute a grant of a security interest in (and the Collateral shall not include) (a) any property to the extent that such grant of a security interest is prohibited by any rule of law, statute or regulation, requires a consent not obtained of any government, governmental body or official or is prohibited by, or constitutes a breach or default under or results in the termination of or requires any consent not obtained under, any contract, license, agreement, instrument or other document evidencing or giving rise to such property, except to the extent that such rule of law, statute or regulation or the term in such contract, license, agreement, instrument or other document or shareholder or similar agreement providing for such prohibition, breach, default or termination or requiring such consent is ineffective under applicable law, including any applicable anti-assignment provisions; (b) any Trademark applications filed in the United States Patent and Trademark Office on the basis of such Grantor’s “intent-to-use” such trademark, unless and until acceptable evidence of use of the Trademark has been filed with the United States Patent and Trademark Office pursuant to Section 1(c) or Section 1(d) of the Lanham Act (15 U.S.C. 1051, et seq.), whereupon such Trademark application will be deemed automatically included in the Collateral, to the extent that granting the Security Interest in such Trademark application prior to such filing would adversely affect the enforceability or validity of such Trademark application; (c) any Excluded Account; (d) any property of such Grantor, which is subject to a Permitted Lien of the type described in Section 6.02(e) of the Credit Agreement, pursuant to documents which prohibit such Grantor from granting any other Liens in such property; (e) any Real Property; (f) until an Event of Default has occurred and is continuing and thereafter until otherwise required by the Administrative Agent, with respect to Equity Interests entitled to vote, that portion of Equity Interests exceeding sixty-five percent (65%) of the outstanding Equity Interests entitled to vote that are owned by such Grantor, in each (1) Foreign Subsidiary that is a CFC or</w:t>
      </w:r>
    </w:p>
    <w:p>
      <w:pPr>
        <w:spacing w:after="0" w:line="11" w:lineRule="exact"/>
        <w:rPr>
          <w:sz w:val="20"/>
          <w:szCs w:val="20"/>
          <w:color w:val="auto"/>
        </w:rPr>
      </w:pPr>
    </w:p>
    <w:p>
      <w:pPr>
        <w:ind w:left="4" w:right="200" w:hanging="4"/>
        <w:spacing w:after="0" w:line="253" w:lineRule="auto"/>
        <w:tabs>
          <w:tab w:leader="none" w:pos="25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Foreign Subsidiary Holding Company, in each case, to the extent, and only to the extent, that the grant of a security interest in any such voting Equity Interests would reasonably be expected to result in material adverse U.S. federal tax consequences pursuant to Section 956 of the Code or otherwise; and (g) cars, trucks, trailers, construction and earth moving equipment or other vehicles or assets covered by a certificate of title law of any state.</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Grantor represents and warrants to the Administrative Agent and the other Secured Parties that:</w:t>
      </w:r>
    </w:p>
    <w:p>
      <w:pPr>
        <w:spacing w:after="0" w:line="225" w:lineRule="exact"/>
        <w:rPr>
          <w:sz w:val="20"/>
          <w:szCs w:val="20"/>
          <w:color w:val="auto"/>
        </w:rPr>
      </w:pPr>
    </w:p>
    <w:p>
      <w:pPr>
        <w:ind w:left="4" w:right="140" w:firstLine="440"/>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Title, Perfection and Priority</w:t>
      </w:r>
      <w:r>
        <w:rPr>
          <w:rFonts w:ascii="Arial" w:cs="Arial" w:eastAsia="Arial" w:hAnsi="Arial"/>
          <w:sz w:val="18"/>
          <w:szCs w:val="18"/>
          <w:color w:val="auto"/>
        </w:rPr>
        <w:t xml:space="preserve">. Such Grantor has good and valid rights in or the power to transfer the Collateral and title to the Collateral with respect to which it has purported to grant a security interest hereunder, free and clear of all Liens (other than Permitted Liens), and has all requisite power and authority to grant to the Administrative Agent the security interest in such Collateral pursuant hereto. When financing statements have been filed in the appropriate offices against such Grantor in the locations listed on </w:t>
      </w:r>
      <w:r>
        <w:rPr>
          <w:rFonts w:ascii="Arial" w:cs="Arial" w:eastAsia="Arial" w:hAnsi="Arial"/>
          <w:sz w:val="18"/>
          <w:szCs w:val="18"/>
          <w:u w:val="single" w:color="auto"/>
          <w:color w:val="auto"/>
        </w:rPr>
        <w:t>Exhibit G</w:t>
      </w:r>
      <w:r>
        <w:rPr>
          <w:rFonts w:ascii="Arial" w:cs="Arial" w:eastAsia="Arial" w:hAnsi="Arial"/>
          <w:sz w:val="18"/>
          <w:szCs w:val="18"/>
          <w:color w:val="auto"/>
        </w:rPr>
        <w:t>, the Administrative Agent will have a fully perfected first priority security interest (subject to Permitted Liens) in that Collateral owned by such Grantor in which a security interest may be perfected by such filing.</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35" w:name="page136"/>
    <w:bookmarkEnd w:id="135"/>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Type and Jurisdiction of Organization, Organizational and Identification Numbers</w:t>
      </w:r>
      <w:r>
        <w:rPr>
          <w:rFonts w:ascii="Arial" w:cs="Arial" w:eastAsia="Arial" w:hAnsi="Arial"/>
          <w:sz w:val="18"/>
          <w:szCs w:val="18"/>
          <w:color w:val="auto"/>
        </w:rPr>
        <w:t xml:space="preserve">. As of the Effective Grant Date, the type of entity of such Grantor, its state of organization, the organizational number issued to it by its state of organization, if applicable, and its federal employer identification number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Principal Location</w:t>
      </w:r>
      <w:r>
        <w:rPr>
          <w:rFonts w:ascii="Arial" w:cs="Arial" w:eastAsia="Arial" w:hAnsi="Arial"/>
          <w:sz w:val="18"/>
          <w:szCs w:val="18"/>
          <w:color w:val="auto"/>
        </w:rPr>
        <w:t xml:space="preserve">. As of the Effective Grant Date, such Grantor’s mailing address and the location of its place of business (if it has only one) or its chief executive office (if it has more than one place of business), are disclosed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Collateral Locations</w:t>
      </w:r>
      <w:r>
        <w:rPr>
          <w:rFonts w:ascii="Arial" w:cs="Arial" w:eastAsia="Arial" w:hAnsi="Arial"/>
          <w:sz w:val="18"/>
          <w:szCs w:val="18"/>
          <w:color w:val="auto"/>
        </w:rPr>
        <w:t xml:space="preserve">. As of the Effective Grant Date, all of such Grantor’s locations where Collateral having a book value or fair market value greater than $2,500,000 is located are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of the Effective Grant Date, all of said locations are owned by such Grantor except for locations (i) which are leased by such Grantor as lessee and designated in </w:t>
      </w:r>
      <w:r>
        <w:rPr>
          <w:rFonts w:ascii="Arial" w:cs="Arial" w:eastAsia="Arial" w:hAnsi="Arial"/>
          <w:sz w:val="18"/>
          <w:szCs w:val="18"/>
          <w:u w:val="single" w:color="auto"/>
          <w:color w:val="auto"/>
        </w:rPr>
        <w:t>Part VII(b)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(ii) at which Inventory is held in a public warehouse or is otherwise held by a bailee or on consignment as designated in </w:t>
      </w:r>
      <w:r>
        <w:rPr>
          <w:rFonts w:ascii="Arial" w:cs="Arial" w:eastAsia="Arial" w:hAnsi="Arial"/>
          <w:sz w:val="18"/>
          <w:szCs w:val="18"/>
          <w:u w:val="single" w:color="auto"/>
          <w:color w:val="auto"/>
        </w:rPr>
        <w:t>Part VII(c)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A.</w:t>
      </w:r>
    </w:p>
    <w:p>
      <w:pPr>
        <w:spacing w:after="0" w:line="187" w:lineRule="exact"/>
        <w:rPr>
          <w:sz w:val="20"/>
          <w:szCs w:val="20"/>
          <w:color w:val="auto"/>
        </w:rPr>
      </w:pPr>
    </w:p>
    <w:p>
      <w:pPr>
        <w:jc w:val="both"/>
        <w:ind w:right="560" w:firstLine="440"/>
        <w:spacing w:after="0" w:line="26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Deposit Accounts, Etc</w:t>
      </w:r>
      <w:r>
        <w:rPr>
          <w:rFonts w:ascii="Arial" w:cs="Arial" w:eastAsia="Arial" w:hAnsi="Arial"/>
          <w:sz w:val="18"/>
          <w:szCs w:val="18"/>
          <w:color w:val="auto"/>
        </w:rPr>
        <w:t xml:space="preserve">. As of the Effective Grant Date, all of such Grantor’s Commodities Accounts, Deposit Accounts and Securities Accounts are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together with a description of the type and use of such account and whether or not such account is an Excluded Account.</w:t>
      </w:r>
    </w:p>
    <w:p>
      <w:pPr>
        <w:spacing w:after="0" w:line="184"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Exact Names</w:t>
      </w:r>
      <w:r>
        <w:rPr>
          <w:rFonts w:ascii="Arial" w:cs="Arial" w:eastAsia="Arial" w:hAnsi="Arial"/>
          <w:sz w:val="17"/>
          <w:szCs w:val="17"/>
          <w:color w:val="auto"/>
        </w:rPr>
        <w:t xml:space="preserve">. As of the Effective Grant Date, such Grantor’s name in which it has executed this Security Agreement is the exact name as it appears in such Grantor’s organizational documents, as amended, as filed with such Grantor’s jurisdiction of organization. As of the Effective Grant Date, such Grantor has not, during the past five years, been known by or used any other corporate or fictitious name, or been a party to any merger or consolidation, or been a party to any acquisition except as otherwise noted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Letter-of-Credit Rights and Chattel Paper</w:t>
      </w:r>
      <w:r>
        <w:rPr>
          <w:rFonts w:ascii="Arial" w:cs="Arial" w:eastAsia="Arial" w:hAnsi="Arial"/>
          <w:sz w:val="18"/>
          <w:szCs w:val="18"/>
          <w:color w:val="auto"/>
        </w:rPr>
        <w:t xml:space="preserve">. As of the Effective Grant Date,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lists all Letter-of-Credit Rights and Chattel Paper of such Grantor.</w:t>
      </w:r>
    </w:p>
    <w:p>
      <w:pPr>
        <w:spacing w:after="0" w:line="170"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xml:space="preserve">. As of the Effective Grant Date,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lists all federally registered Patents (other than Patent applications for which no public notice has been published), federally registered Trademarks, material unregistered Trademarks, and federally registered Copyrights owned by such Grantor and all material Licenses to which such Grantor is a party. This Security Agreement is effective to create a valid and continuing Lien and, upon filing of appropriate financing statements in the offices listed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and the grant of copyright security interest set forth on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with the United States Copyright Office and the notices of grant of security interest in trademarks and patents set forth on </w:t>
      </w:r>
      <w:r>
        <w:rPr>
          <w:rFonts w:ascii="Arial" w:cs="Arial" w:eastAsia="Arial" w:hAnsi="Arial"/>
          <w:sz w:val="16"/>
          <w:szCs w:val="16"/>
          <w:u w:val="single" w:color="auto"/>
          <w:color w:val="auto"/>
        </w:rPr>
        <w:t>Exhibits 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K</w:t>
      </w:r>
      <w:r>
        <w:rPr>
          <w:rFonts w:ascii="Arial" w:cs="Arial" w:eastAsia="Arial" w:hAnsi="Arial"/>
          <w:sz w:val="16"/>
          <w:szCs w:val="16"/>
          <w:color w:val="auto"/>
        </w:rPr>
        <w:t>, respectively, with the United States Patent and Trademark Office, fully perfected first priority security interests in favor of the Administrative Agent on such Grantor’s federally registered U.S. Patents, U.S. Trademarks and U.S. Copyrights, such perfected security interests are enforceable as such as against any and all creditors of and purchasers from such Grantor; and all action necessary or desirable to protect and perfect the Administrative Agent’s Lien on such Grantor’s federally registered U.S. Patents, U.S. Trademarks or U.S. Copyrights shall have been duly taken.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36" w:name="page137"/>
    <w:bookmarkEnd w:id="13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3.9. </w:t>
      </w:r>
      <w:r>
        <w:rPr>
          <w:rFonts w:ascii="Arial" w:cs="Arial" w:eastAsia="Arial" w:hAnsi="Arial"/>
          <w:sz w:val="18"/>
          <w:szCs w:val="18"/>
          <w:u w:val="single" w:color="auto"/>
          <w:color w:val="auto"/>
        </w:rPr>
        <w:t>Pledged Collateral</w:t>
      </w:r>
      <w:r>
        <w:rPr>
          <w:rFonts w:ascii="Arial" w:cs="Arial" w:eastAsia="Arial" w:hAnsi="Arial"/>
          <w:sz w:val="18"/>
          <w:szCs w:val="18"/>
          <w:color w:val="auto"/>
        </w:rPr>
        <w:t>.</w:t>
      </w:r>
    </w:p>
    <w:p>
      <w:pPr>
        <w:spacing w:after="0" w:line="225" w:lineRule="exact"/>
        <w:rPr>
          <w:sz w:val="20"/>
          <w:szCs w:val="20"/>
          <w:color w:val="auto"/>
        </w:rPr>
      </w:pPr>
    </w:p>
    <w:p>
      <w:pPr>
        <w:ind w:left="4" w:right="140" w:firstLine="987"/>
        <w:spacing w:after="0" w:line="288" w:lineRule="auto"/>
        <w:tabs>
          <w:tab w:leader="none" w:pos="1240"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sets forth, as of the date hereof, a complete and accurate list of all of the Pledged Collateral constituting Indebtedness owing to a Grantor of, or Equity Interests held by a Grantor in, any Grantor’s Subsidiaries. As of the Effective Grant Date, such Grantor is the direct, sole beneficial owner and sole holder of record of the Pledged Collateral listed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(as such Exhibit may be updated pursuant to Schedule 5.11) as being owned by it, free and clear of any Liens, except for Permitted Liens. Such Grantor further represents and warrants that (i) all Pledged Collateral constituting an Equity Interest of a Subsidiary has been (to the extent such concepts are relevant with respect to such Pledged Collateral) duly authorized, validly issued, are fully paid and non-assessable, (ii) with respect to any certificates delivered to the Administrative Agent representing an Equity Interest, either such certificates are Securities as defined in Article 8 of the UCC as a result of actions by the issuer or otherwise, or, if such certificates are not Securities, or, alternatively, evidence Equity Interests in a Foreign Subsidiary of such Grantor, such Grantor has so informed the Administrative Agent and (iii) all Pledged Collateral which represents Indebtedness of a Subsidiary owed to such Grantor has been duly authorized, authenticated or issued and delivered by the issuer of such Indebtedness, and is the legal, valid and binding obligation of such issuer.</w:t>
      </w:r>
    </w:p>
    <w:p>
      <w:pPr>
        <w:spacing w:after="0" w:line="168" w:lineRule="exact"/>
        <w:rPr>
          <w:rFonts w:ascii="Arial" w:cs="Arial" w:eastAsia="Arial" w:hAnsi="Arial"/>
          <w:sz w:val="16"/>
          <w:szCs w:val="16"/>
          <w:color w:val="auto"/>
        </w:rPr>
      </w:pPr>
    </w:p>
    <w:p>
      <w:pPr>
        <w:ind w:left="4" w:right="60" w:firstLine="987"/>
        <w:spacing w:after="0" w:line="291" w:lineRule="auto"/>
        <w:tabs>
          <w:tab w:leader="none" w:pos="125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In addition, with respect to the Pledged Collateral constituting an Equity Interest of a Subsidiary (i) none has been issued or transferred in violation of the securities registration, securities disclosure or similar laws of any jurisdiction to which such issuance or transfer may be subject,</w:t>
      </w:r>
    </w:p>
    <w:p>
      <w:pPr>
        <w:ind w:left="4" w:right="100" w:hanging="4"/>
        <w:spacing w:after="0" w:line="270" w:lineRule="auto"/>
        <w:tabs>
          <w:tab w:leader="none" w:pos="26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there are existing no options, warrants, calls or commitments of any character whatsoever relating to such Pledged Collateral or which obligate the issuer of any Equity Interest included in such Pledged Collateral to issue additional Equity Interests and (iii) no consent, approval, authorization, or other action by, and no giving of notice, filing with, any Governmental Authority or any other Person is required for the pledge by such Grantor of such Pledged Collateral pursuant to this Security Agreement or for the execution, delivery and performance of this Security Agreement by such Grantor, or for the exercise by the Administrative Agent of the voting or other rights provided for in this Security Agreement or for the remedies in respect of such Pledged Collateral pursuant to this Security Agreement, except as may be required by applicable law.</w:t>
      </w:r>
    </w:p>
    <w:p>
      <w:pPr>
        <w:spacing w:after="0" w:line="178" w:lineRule="exact"/>
        <w:rPr>
          <w:rFonts w:ascii="Arial" w:cs="Arial" w:eastAsia="Arial" w:hAnsi="Arial"/>
          <w:sz w:val="17"/>
          <w:szCs w:val="17"/>
          <w:color w:val="auto"/>
        </w:rPr>
      </w:pPr>
    </w:p>
    <w:p>
      <w:pPr>
        <w:ind w:left="4" w:right="20" w:firstLine="987"/>
        <w:spacing w:after="0" w:line="279" w:lineRule="auto"/>
        <w:tabs>
          <w:tab w:leader="none" w:pos="12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(as such Exhibit may be updated pursuant to Schedule 5.11), such Grantor owns 100% of the issued and outstanding Equity Interests of a Subsidiary which constitute Pledged Collateral and none of the Pledged Collateral which represents Indebtedness of a Subsidiary owed to such Grantor is subordinated in right of payment to other Indebtedness (other than Indebtedness under the Credit Agreement or as otherwise expressly permitted under the Credit Agreement) or subject to the terms of an indenture.</w:t>
      </w:r>
    </w:p>
    <w:p>
      <w:pPr>
        <w:spacing w:after="0" w:line="171" w:lineRule="exact"/>
        <w:rPr>
          <w:rFonts w:ascii="Arial" w:cs="Arial" w:eastAsia="Arial" w:hAnsi="Arial"/>
          <w:sz w:val="17"/>
          <w:szCs w:val="17"/>
          <w:color w:val="auto"/>
        </w:rPr>
      </w:pPr>
    </w:p>
    <w:p>
      <w:pPr>
        <w:ind w:left="4" w:right="260" w:firstLine="987"/>
        <w:spacing w:after="0" w:line="277" w:lineRule="auto"/>
        <w:tabs>
          <w:tab w:leader="none" w:pos="125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All Equity Interests constituting Pledged Collateral held by such Grantor on the date hereof are uncertificated Equity Interests of the issuer and are not represented in the form of a share certificate.</w:t>
      </w:r>
    </w:p>
    <w:p>
      <w:pPr>
        <w:spacing w:after="0" w:line="382" w:lineRule="exact"/>
        <w:rPr>
          <w:sz w:val="20"/>
          <w:szCs w:val="20"/>
          <w:color w:val="auto"/>
        </w:rPr>
      </w:pPr>
    </w:p>
    <w:p>
      <w:pPr>
        <w:ind w:left="4984"/>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4944"/>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From the date of this Security Agreement, and thereafter until this Security Agreement is terminated pursuant to the terms hereof, each Grantor agrees that: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70" w:lineRule="auto"/>
        <w:tabs>
          <w:tab w:leader="none" w:pos="1240"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Authorization to File Financing Statements; Ratification</w:t>
      </w:r>
      <w:r>
        <w:rPr>
          <w:rFonts w:ascii="Arial" w:cs="Arial" w:eastAsia="Arial" w:hAnsi="Arial"/>
          <w:sz w:val="17"/>
          <w:szCs w:val="17"/>
          <w:color w:val="auto"/>
        </w:rPr>
        <w:t>. Such Grantor hereby authorizes the Administrative Agent to file, and if requested will deliver to the Administrative Agent, all financing statements and other documents and take such other actions as may from time to time be requested by the Administrative Agent in order to maintain a perfected security interest in and, if applicable, Control of, the Collateral located within the United States of America (subject in priority only to Permitted Liens). Any financing statement filed by the Administrative Agent may be filed in any filing office in any UCC jurisdiction and may (i) indicate the Collateral as all assets of such Grantor or words of similar effect or any subset thereof, regardless of whether any particular asset comprised in the Collateral falls within the scope of Article 9 of the UCC of such jurisdiction and (ii) contain any other information required by part 5 of Article 9 of the UCC for the sufficiency or filing office acceptance of any financing statement or amendment, including whether such Grantor is an organization, the type of organization and any organization identification number issued to such Grantor. Such Grantor also agrees to furnish any such information to the Administrative Agent promptly upon request.</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137" w:name="page138"/>
    <w:bookmarkEnd w:id="137"/>
    <w:p>
      <w:pPr>
        <w:ind w:left="4" w:right="180" w:firstLine="987"/>
        <w:spacing w:after="0" w:line="296" w:lineRule="auto"/>
        <w:tabs>
          <w:tab w:leader="none" w:pos="125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Assurances</w:t>
      </w:r>
      <w:r>
        <w:rPr>
          <w:rFonts w:ascii="Arial" w:cs="Arial" w:eastAsia="Arial" w:hAnsi="Arial"/>
          <w:sz w:val="16"/>
          <w:szCs w:val="16"/>
          <w:color w:val="auto"/>
        </w:rPr>
        <w:t>. Such Grantor will, if so requested by the Administrative Agent, furnish to the Administrative Agent, as often as the Administrative Agent reasonably requests, statements and schedules further identifying and describing the Collateral and such other reports and information in connection with the Collateral as the Administrative Agent may reasonably request, all in such detail as the Administrative Agent may reasonably specify. Such Grantor also agrees to take any and all actions reasonably necessary to defend title to the Collateral against all persons and to defend the security interest of the Administrative Agent in the Collateral and the priority thereof against any Lien except for Permitted Liens.</w:t>
      </w:r>
    </w:p>
    <w:p>
      <w:pPr>
        <w:spacing w:after="0" w:line="161"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Delivery of Instruments, Securities and Documents</w:t>
      </w:r>
      <w:r>
        <w:rPr>
          <w:rFonts w:ascii="Arial" w:cs="Arial" w:eastAsia="Arial" w:hAnsi="Arial"/>
          <w:sz w:val="16"/>
          <w:szCs w:val="16"/>
          <w:color w:val="auto"/>
        </w:rPr>
        <w:t>. Such Grantor will (a) except for Dispositions and other actions with respect thereto which are expressly permitted hereunder or under the Credit Agreement, hold in trust for the Administrative Agent upon receipt any Securities and Instruments included in the Collateral, (b) within five (5) Business Days after the Administrative Agent’s request therefor (or such later date as agreed to by the Administrative Agent), deliver to the Administrative Agent all Securities and Instruments, if any, constituting Equity Interests or Indebtedness of Subsidiaries or which are otherwise material to such Grantor, in each case to the extent constituting Collateral (if any then exist), and (c) within five</w:t>
      </w:r>
    </w:p>
    <w:p>
      <w:pPr>
        <w:spacing w:after="0" w:line="2" w:lineRule="exact"/>
        <w:rPr>
          <w:sz w:val="20"/>
          <w:szCs w:val="20"/>
          <w:color w:val="auto"/>
        </w:rPr>
      </w:pPr>
    </w:p>
    <w:p>
      <w:pPr>
        <w:ind w:left="4" w:right="560" w:hanging="4"/>
        <w:spacing w:after="0" w:line="323" w:lineRule="auto"/>
        <w:tabs>
          <w:tab w:leader="none" w:pos="25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Business Days after the Administrative Agent’s request therefor (or such later date as agreed to by the Administrative Agent), deliver to the Administrative Agent (and prior to such delivery hold in trust for the Administrative Agent) any Document evidencing or constituting Collateral.</w:t>
      </w:r>
    </w:p>
    <w:p>
      <w:pPr>
        <w:spacing w:after="0" w:line="1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Uncertificated Pledged Collateral</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57" w:lineRule="auto"/>
        <w:tabs>
          <w:tab w:leader="none" w:pos="12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Following the occurrence and during the continuance of an Event of Default, the Grantor will permit the Administrative Agent from time to time to cause the appropriate issuers (and, if held with a securities intermediary, such securities intermediary) of uncertificated securities or other types of Pledged Collateral not represented by certificates to mark their books and records with the numbers and face amounts of all such uncertificated securities or other types of Pledged Collateral not represented by certificates and all rollovers and replacements therefor to reflect the Lien of the Administrative Agent granted pursuant to this Security Agreement.</w:t>
      </w:r>
    </w:p>
    <w:p>
      <w:pPr>
        <w:spacing w:after="0" w:line="187" w:lineRule="exact"/>
        <w:rPr>
          <w:rFonts w:ascii="Arial" w:cs="Arial" w:eastAsia="Arial" w:hAnsi="Arial"/>
          <w:sz w:val="18"/>
          <w:szCs w:val="18"/>
          <w:color w:val="auto"/>
        </w:rPr>
      </w:pPr>
    </w:p>
    <w:p>
      <w:pPr>
        <w:ind w:left="4" w:right="160" w:firstLine="987"/>
        <w:spacing w:after="0" w:line="263" w:lineRule="auto"/>
        <w:tabs>
          <w:tab w:leader="none" w:pos="125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any issuer of uncertificated Equity Interests constituting Pledged Collateral issues any share certificate in respect of such Pledged Collateral, such Grantor shall promptly deliver to the Administrative Agent such share certificate, together with an undated stock power for such share certificate executed in blank by a duly authorized officer of such Grantor.</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Pledged Collateral</w:t>
      </w:r>
      <w:r>
        <w:rPr>
          <w:rFonts w:ascii="Arial" w:cs="Arial" w:eastAsia="Arial" w:hAnsi="Arial"/>
          <w:sz w:val="18"/>
          <w:szCs w:val="18"/>
          <w:color w:val="auto"/>
        </w:rPr>
        <w:t>.</w:t>
      </w:r>
    </w:p>
    <w:p>
      <w:pPr>
        <w:spacing w:after="0" w:line="225" w:lineRule="exact"/>
        <w:rPr>
          <w:sz w:val="20"/>
          <w:szCs w:val="20"/>
          <w:color w:val="auto"/>
        </w:rPr>
      </w:pPr>
    </w:p>
    <w:p>
      <w:pPr>
        <w:jc w:val="both"/>
        <w:ind w:left="4" w:right="100" w:firstLine="987"/>
        <w:spacing w:after="0" w:line="301" w:lineRule="auto"/>
        <w:tabs>
          <w:tab w:leader="none" w:pos="1240"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Changes in Capital Structure of Issuers.</w:t>
      </w:r>
      <w:r>
        <w:rPr>
          <w:rFonts w:ascii="Arial" w:cs="Arial" w:eastAsia="Arial" w:hAnsi="Arial"/>
          <w:sz w:val="16"/>
          <w:szCs w:val="16"/>
          <w:color w:val="auto"/>
        </w:rPr>
        <w:t xml:space="preserve"> Such Grantor will not (i) permit or suffer any issuer of an Equity Interest constituting Pledged Collateral which is a Subsidiary to dissolve, merge, liquidate, retire any of its Equity Interests or other Instruments or Securities evidencing ownership, reduce its capital, sell or encumber all or substantially all of its assets or merge or consolidate with any other entity (in each case except as permitted under the Credit Agreement), or (ii) vote any Pledged Collateral in favor of any of the foregoing (except as permitted under the Credit Agreement).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38" w:name="page139"/>
    <w:bookmarkEnd w:id="138"/>
    <w:p>
      <w:pPr>
        <w:ind w:right="340" w:firstLine="987"/>
        <w:spacing w:after="0" w:line="263" w:lineRule="auto"/>
        <w:tabs>
          <w:tab w:leader="none" w:pos="124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of Pledged Collateral</w:t>
      </w:r>
      <w:r>
        <w:rPr>
          <w:rFonts w:ascii="Arial" w:cs="Arial" w:eastAsia="Arial" w:hAnsi="Arial"/>
          <w:sz w:val="18"/>
          <w:szCs w:val="18"/>
          <w:color w:val="auto"/>
        </w:rPr>
        <w:t>. Such Grantor will permit any registerable Pledged Collateral to be registered in the name of the Administrative Agent or its nominee at any time following the occurrence and during the continuation of an Event of Default at the option of the Required Lenders.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Exercise of Rights in Pledged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948"/>
        <w:spacing w:after="0" w:line="259" w:lineRule="auto"/>
        <w:tabs>
          <w:tab w:leader="none" w:pos="160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Without in any way limiting the foregoing and subject to clause (ii) below, such Grantor shall have the right to exercise all voting rights or other rights relating to the Pledged Collateral for all purposes not inconsistent with this Security Agreement, the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or other right shall be exercised or action taken which would have the effect of impairing the rights of the Administrative Agent hereunder in respect of the Pledged Collateral.</w:t>
      </w:r>
    </w:p>
    <w:p>
      <w:pPr>
        <w:spacing w:after="0" w:line="78" w:lineRule="exact"/>
        <w:rPr>
          <w:rFonts w:ascii="Arial" w:cs="Arial" w:eastAsia="Arial" w:hAnsi="Arial"/>
          <w:sz w:val="18"/>
          <w:szCs w:val="18"/>
          <w:color w:val="auto"/>
        </w:rPr>
      </w:pPr>
    </w:p>
    <w:p>
      <w:pPr>
        <w:ind w:left="440" w:right="60" w:firstLine="948"/>
        <w:spacing w:after="0" w:line="259" w:lineRule="auto"/>
        <w:tabs>
          <w:tab w:leader="none" w:pos="165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Such Grantor will permit the Administrative Agent or its nominee at any time after the occurrence and during the continuation of an Event of Default, without notice, to exercise all voting rights or other rights relating to Pledged Collateral, including, without limitation, exchange, subscription or any other rights, privileges, or options pertaining to any Equity Interest or Investment Property constituting Pledged Collateral as if it were the absolute owner thereof.</w:t>
      </w:r>
    </w:p>
    <w:p>
      <w:pPr>
        <w:spacing w:after="0" w:line="78" w:lineRule="exact"/>
        <w:rPr>
          <w:rFonts w:ascii="Arial" w:cs="Arial" w:eastAsia="Arial" w:hAnsi="Arial"/>
          <w:sz w:val="18"/>
          <w:szCs w:val="18"/>
          <w:color w:val="auto"/>
        </w:rPr>
      </w:pPr>
    </w:p>
    <w:p>
      <w:pPr>
        <w:ind w:left="440" w:right="300" w:firstLine="948"/>
        <w:spacing w:after="0" w:line="277" w:lineRule="auto"/>
        <w:tabs>
          <w:tab w:leader="none" w:pos="170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To the extent not in violation of the Credit Agreement, such Grantor shall be entitled to collect and receive for its own use all cash dividends and interest paid in respect of the Pledged Collateral; and</w:t>
      </w:r>
    </w:p>
    <w:p>
      <w:pPr>
        <w:spacing w:after="0" w:line="62" w:lineRule="exact"/>
        <w:rPr>
          <w:rFonts w:ascii="Arial" w:cs="Arial" w:eastAsia="Arial" w:hAnsi="Arial"/>
          <w:sz w:val="18"/>
          <w:szCs w:val="18"/>
          <w:color w:val="auto"/>
        </w:rPr>
      </w:pPr>
    </w:p>
    <w:p>
      <w:pPr>
        <w:ind w:left="440" w:right="100" w:firstLine="948"/>
        <w:spacing w:after="0" w:line="279" w:lineRule="auto"/>
        <w:tabs>
          <w:tab w:leader="none" w:pos="1697"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All distributions in respect of any of the Pledged Collateral which are not permitted under the Credit Agreement, whenever paid or made, shall be delivered to the Administrative Agent to hold as Pledged Collateral and shall, if received by such Grantor, be received in trust for the benefit of the Administrative Agent, be segregated from the other property or funds of such Grantor, and be forthwith delivered to the Administrative Agent as Pledged Collateral in the same form as so received (with any necessary endorsement).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right="160" w:firstLine="987"/>
        <w:spacing w:after="0" w:line="263" w:lineRule="auto"/>
        <w:tabs>
          <w:tab w:leader="none" w:pos="123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Such Grantor will use commercially reasonable efforts to secure all consents and approvals necessary or appropriate for the collateral assignment to or benefit of the Administrative Agent of any material License held by such Grantor and to enforce the security interests granted hereunder.</w:t>
      </w:r>
    </w:p>
    <w:p>
      <w:pPr>
        <w:spacing w:after="0" w:line="183" w:lineRule="exact"/>
        <w:rPr>
          <w:rFonts w:ascii="Arial" w:cs="Arial" w:eastAsia="Arial" w:hAnsi="Arial"/>
          <w:sz w:val="18"/>
          <w:szCs w:val="18"/>
          <w:color w:val="auto"/>
        </w:rPr>
      </w:pPr>
    </w:p>
    <w:p>
      <w:pPr>
        <w:ind w:firstLine="987"/>
        <w:spacing w:after="0" w:line="254" w:lineRule="auto"/>
        <w:tabs>
          <w:tab w:leader="none" w:pos="12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Such Grantor shall notify the Administrative Agent promptly if it knows that any application or registration relating to any Patent (other than Patent applications for which no public notice has been published), Trademark or Copyright (now or hereafter existing) owned by such Grantor has become abandoned or dedicated to the public domain, or of any adverse determination or development (including the institution of, or any such determination or development in, any adversarial proceeding in the United States Patent and Trademark Office, the United States Copyright Office or any court) regarding such Grantor’s ownership of any Patent, Trademark or Copyright, its right to register the same, or to keep and maintain the same, unless such Grantor shall reasonably determine that such Patent, Trademark or Copyright is not material to the conduct of such Grantor’s business or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9" w:name="page140"/>
    <w:bookmarkEnd w:id="139"/>
    <w:p>
      <w:pPr>
        <w:ind w:right="60" w:firstLine="987"/>
        <w:spacing w:after="0" w:line="291" w:lineRule="auto"/>
        <w:tabs>
          <w:tab w:leader="none" w:pos="1236" w:val="left"/>
        </w:tabs>
        <w:numPr>
          <w:ilvl w:val="0"/>
          <w:numId w:val="1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(i) any Grantor, either directly or through any agent, employee, licensee or designee, files an application for the registration of any Patent (other than Patent applications for which no public notice has been published), Trademark or Copyright with the United States Patent and Trademark Office, the United States Copyright Office or any similar office or (ii) any previously unpublished Patent application or registration becomes published, such Grantor shall give the Administrative Agent written notice thereof, such notice being solely on a quarterly basis with respect to the foregoing during the previous quarter and, upon request of the Administrative Agent, such Grantor shall execute and deliver on a quarterly basis any and all security agreements as the Administrative Agent may request to evidence the Administrative Agent’s first priority security interest on such Patent, Trademark or Copyright, and the General Intangibles of such Grantor relating thereto or represented thereby.</w:t>
      </w:r>
    </w:p>
    <w:p>
      <w:pPr>
        <w:spacing w:after="0" w:line="166" w:lineRule="exact"/>
        <w:rPr>
          <w:rFonts w:ascii="Arial" w:cs="Arial" w:eastAsia="Arial" w:hAnsi="Arial"/>
          <w:sz w:val="16"/>
          <w:szCs w:val="16"/>
          <w:color w:val="auto"/>
        </w:rPr>
      </w:pPr>
    </w:p>
    <w:p>
      <w:pPr>
        <w:ind w:right="120" w:firstLine="987"/>
        <w:spacing w:after="0" w:line="279" w:lineRule="auto"/>
        <w:tabs>
          <w:tab w:leader="none" w:pos="1246" w:val="left"/>
        </w:tabs>
        <w:numPr>
          <w:ilvl w:val="0"/>
          <w:numId w:val="180"/>
        </w:numPr>
        <w:rPr>
          <w:rFonts w:ascii="Arial" w:cs="Arial" w:eastAsia="Arial" w:hAnsi="Arial"/>
          <w:sz w:val="17"/>
          <w:szCs w:val="17"/>
          <w:color w:val="auto"/>
        </w:rPr>
      </w:pPr>
      <w:r>
        <w:rPr>
          <w:rFonts w:ascii="Arial" w:cs="Arial" w:eastAsia="Arial" w:hAnsi="Arial"/>
          <w:sz w:val="17"/>
          <w:szCs w:val="17"/>
          <w:color w:val="auto"/>
        </w:rPr>
        <w:t>Such Grantor shall (unless it shall reasonably determine that such Patent, Trademark or Copyright is not material to the conduct of its business or operations) take all actions necessary to maintain and pursue each application, to obtain the relevant registration and to maintain the registration of each of the Patents, Trademarks and Copyrights (now or hereafter existing), including the filing of applications for renewal, affidavits of use, affidavits of noncontestability and opposition and interference and cancellation proceedings.</w:t>
      </w:r>
    </w:p>
    <w:p>
      <w:pPr>
        <w:spacing w:after="0" w:line="171" w:lineRule="exact"/>
        <w:rPr>
          <w:rFonts w:ascii="Arial" w:cs="Arial" w:eastAsia="Arial" w:hAnsi="Arial"/>
          <w:sz w:val="17"/>
          <w:szCs w:val="17"/>
          <w:color w:val="auto"/>
        </w:rPr>
      </w:pPr>
    </w:p>
    <w:p>
      <w:pPr>
        <w:ind w:firstLine="987"/>
        <w:spacing w:after="0" w:line="257" w:lineRule="auto"/>
        <w:tabs>
          <w:tab w:leader="none" w:pos="123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Such Grantor shall (unless it shall reasonably determine that such Patent, Trademark or Copyright is not material to the conduct of its business or operations) take such actions as it reasonably determines are necessary in respect of any infringement, misappropriation or dilution, and shall take such other actions as it shall deem appropriate under the circumstances to protect such Patent, Trademark or Copyright. In the event that such Grantor institutes suit because any of the Patents, Trademarks or Copyrights constituting Collateral is infringed upon, or misappropriated or diluted by a third party, such Grantor shall comply with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8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Such Grantor shall promptly, and in any event within five (5) Business Days (or such later date as agreed to by the Administrative Agent) after the same is acquired by it, notify the Administrative Agent of any commercial tort claim in excess of $1,000,000 individually or $2,500,000 in the aggregate (as defined in the UCC) acquired by it and, unless the Administrative Agent otherwise consents, such Grantor shall enter into an amendment to this Security Agreement,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granting to Administrative Agent a first priority security interest in such commercial tort claim.</w:t>
      </w:r>
    </w:p>
    <w:p>
      <w:pPr>
        <w:spacing w:after="0" w:line="188"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Letter-of-Credit Rights</w:t>
      </w:r>
      <w:r>
        <w:rPr>
          <w:rFonts w:ascii="Arial" w:cs="Arial" w:eastAsia="Arial" w:hAnsi="Arial"/>
          <w:sz w:val="16"/>
          <w:szCs w:val="16"/>
          <w:color w:val="auto"/>
        </w:rPr>
        <w:t>. If such Grantor is or becomes the beneficiary of a letter of credit with a face amount in excess of $1,000,000 individually or $2,500,000 in the aggregate, such Grantor shall promptly, and in any event within five (5) Business Days (or such later date as agreed to by the Administrative Agent) after becoming a beneficiary, notify the Administrative Agent thereof and, upon the Administrative Agent’s request, use commercially reasonable efforts to cause the issuer and/or confirmation bank to (i) consent to the assignment of any Letter-of-Credit Rights to the Administrative Agent and (ii) agree to direct all payments thereunder to a Deposit Account at the Administrative Agent for application to the Secured Obligations, in accordance with Section 2.18 of the Credit Agreement, all in form and substance reasonably satisfactory to the Administrative Agent.</w:t>
      </w:r>
    </w:p>
    <w:p>
      <w:pPr>
        <w:spacing w:after="0" w:line="16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Federal, State or Municipal Claims</w:t>
      </w:r>
      <w:r>
        <w:rPr>
          <w:rFonts w:ascii="Arial" w:cs="Arial" w:eastAsia="Arial" w:hAnsi="Arial"/>
          <w:sz w:val="18"/>
          <w:szCs w:val="18"/>
          <w:color w:val="auto"/>
        </w:rPr>
        <w:t>. Such Grantor will, within five (5) Business Days (or such later date as agreed to by the Administrative Agent) after the acquisition thereof, notify the Administrative Agent of any Collateral with a value in excess of $1,000,000 individually or $2,500,000 in the aggregate, which constitutes a claim against the United States government or any state or local government or any instrumentality or agency thereof, the assignment of which claim is restricted by federal, state or municipal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0" w:name="page141"/>
    <w:bookmarkEnd w:id="140"/>
    <w:p>
      <w:pPr>
        <w:ind w:right="1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4.9. </w:t>
      </w:r>
      <w:r>
        <w:rPr>
          <w:rFonts w:ascii="Arial" w:cs="Arial" w:eastAsia="Arial" w:hAnsi="Arial"/>
          <w:sz w:val="17"/>
          <w:szCs w:val="17"/>
          <w:u w:val="single" w:color="auto"/>
          <w:color w:val="auto"/>
        </w:rPr>
        <w:t>No Interference</w:t>
      </w:r>
      <w:r>
        <w:rPr>
          <w:rFonts w:ascii="Arial" w:cs="Arial" w:eastAsia="Arial" w:hAnsi="Arial"/>
          <w:sz w:val="17"/>
          <w:szCs w:val="17"/>
          <w:color w:val="auto"/>
        </w:rPr>
        <w:t>. Such Grantor agrees that it will not interfere with any right, power and remedy of the Administrative Agent provided for in this Security Agreement or now or hereafter existing at law or in equity or by statute or otherwise, or the exercise or beginning of the exercise by the Administrative Agent of any one or more of such rights, powers or remedies when and to the extent permitted hereunder.</w:t>
      </w:r>
    </w:p>
    <w:p>
      <w:pPr>
        <w:spacing w:after="0" w:line="16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Insurance</w:t>
      </w:r>
      <w:r>
        <w:rPr>
          <w:rFonts w:ascii="Arial" w:cs="Arial" w:eastAsia="Arial" w:hAnsi="Arial"/>
          <w:sz w:val="18"/>
          <w:szCs w:val="18"/>
          <w:color w:val="auto"/>
        </w:rPr>
        <w:t>. (a) All insurance policies issued under U.S. law required hereunder and under Section 5.05 of the Credit Agreement shall name the Administrative Agent (for the benefit of the Secured Parties) as an additional insured or as loss payee (as its interests may appear), as applicable, and shall contain customary loss payable clauses, where applicable, through endorsements in form and substance reasonably satisfactory to the Administrative Agent.</w:t>
      </w:r>
    </w:p>
    <w:p>
      <w:pPr>
        <w:spacing w:after="0" w:line="187" w:lineRule="exact"/>
        <w:rPr>
          <w:sz w:val="20"/>
          <w:szCs w:val="20"/>
          <w:color w:val="auto"/>
        </w:rPr>
      </w:pPr>
    </w:p>
    <w:p>
      <w:pPr>
        <w:ind w:right="100" w:firstLine="987"/>
        <w:spacing w:after="0" w:line="279" w:lineRule="auto"/>
        <w:tabs>
          <w:tab w:leader="none" w:pos="124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All premiums on such insurance shall be paid when due by such Grantor, and, if so requested by the Administrative Agent, copies of the policies delivered to the Administrative Agent. If such Grantor fails to obtain any insurance as required by this Section, the Administrative Agent may obtain such insurance at the Borrower’s expense. By purchasing such insurance, the Administrative Agent shall not be deemed to have waived any Default arising from such Grantor’s failure to maintain such insurance or pay any premiums therefor.</w:t>
      </w:r>
    </w:p>
    <w:p>
      <w:pPr>
        <w:spacing w:after="0" w:line="17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Change of Name or Location</w:t>
      </w:r>
      <w:r>
        <w:rPr>
          <w:rFonts w:ascii="Arial" w:cs="Arial" w:eastAsia="Arial" w:hAnsi="Arial"/>
          <w:sz w:val="18"/>
          <w:szCs w:val="18"/>
          <w:color w:val="auto"/>
        </w:rPr>
        <w:t xml:space="preserve">. Such Grantor shall not (a) change its name as it appears in official filings in the state of its incorporation or organization, (b) change its chief executive office or principal place of business, (c) change the type of entity that it is, (d) change its organization identification number, if any, issued by its state of incorporation or other organization, or (e) change its state of incorporation or organization, in each case, unless the Administrative Agent shall have received at least ten days (or such shorter period as the Administrative Agent may agree) prior written notice of such change and the Administrative Agent shall have acknowledged that either (1) such change will not adversely affect the validity, perfection or priority of the Administrative Agent’s security interest in the Collateral, or (2) any reasonable action requested by the Administrative Agent in connection therewith has been completed or taken (including any action to continue the perfection of any Liens in favor of the Administrative Agent, on behalf of the Secured Parties, in any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that any new chief executive office or principal place of business shall be in the continental U.S.</w:t>
      </w:r>
    </w:p>
    <w:p>
      <w:pPr>
        <w:spacing w:after="0" w:line="196"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Control Agreements</w:t>
      </w:r>
      <w:r>
        <w:rPr>
          <w:rFonts w:ascii="Arial" w:cs="Arial" w:eastAsia="Arial" w:hAnsi="Arial"/>
          <w:sz w:val="16"/>
          <w:szCs w:val="16"/>
          <w:color w:val="auto"/>
        </w:rPr>
        <w:t xml:space="preserve">. Subject to Schedule 5.09 of the Credit Agreement, each Grantor shall execute and deliver to the Administrative Agent Control Agreements for each Commodities Account, Deposit Account and Securities Account from time to time (other than Excluded Accounts); </w:t>
      </w:r>
      <w:r>
        <w:rPr>
          <w:rFonts w:ascii="Arial" w:cs="Arial" w:eastAsia="Arial" w:hAnsi="Arial"/>
          <w:sz w:val="16"/>
          <w:szCs w:val="16"/>
          <w:u w:val="single" w:color="auto"/>
          <w:color w:val="auto"/>
        </w:rPr>
        <w:t>provided</w:t>
      </w:r>
      <w:r>
        <w:rPr>
          <w:rFonts w:ascii="Arial" w:cs="Arial" w:eastAsia="Arial" w:hAnsi="Arial"/>
          <w:sz w:val="16"/>
          <w:szCs w:val="16"/>
          <w:color w:val="auto"/>
        </w:rPr>
        <w:t>, that upon the opening of any new Commodities Account, Deposit Account or Securities Account, the relevant Grantor shall have thirty (30) days from the opening thereof to enter into a Control Agreement therefor (or such longer period as the Administrative Agent may agree).</w:t>
      </w:r>
    </w:p>
    <w:p>
      <w:pPr>
        <w:spacing w:after="0" w:line="36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5.1.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sz w:val="20"/>
          <w:szCs w:val="20"/>
          <w:color w:val="auto"/>
        </w:rPr>
      </w:pPr>
    </w:p>
    <w:p>
      <w:pPr>
        <w:ind w:right="400" w:firstLine="987"/>
        <w:spacing w:after="0" w:line="277" w:lineRule="auto"/>
        <w:tabs>
          <w:tab w:leader="none" w:pos="123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Upon the occurrence and during the continuation of an Event of Default, the Administrative Agent may, and at the direction of the Required Lenders shall, exercise any or all of the following rights and remedies:</w:t>
      </w:r>
    </w:p>
    <w:p>
      <w:pPr>
        <w:spacing w:after="0" w:line="62" w:lineRule="exact"/>
        <w:rPr>
          <w:rFonts w:ascii="Arial" w:cs="Arial" w:eastAsia="Arial" w:hAnsi="Arial"/>
          <w:sz w:val="18"/>
          <w:szCs w:val="18"/>
          <w:color w:val="auto"/>
        </w:rPr>
      </w:pPr>
    </w:p>
    <w:p>
      <w:pPr>
        <w:ind w:left="440" w:right="120" w:firstLine="948"/>
        <w:spacing w:after="0" w:line="263" w:lineRule="auto"/>
        <w:tabs>
          <w:tab w:leader="none" w:pos="160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those rights and remedies provided in this Security Agreement, the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shall not be understood to limit any rights or remedies available to the Administrative Agent and the other Secured Parties prior to an Event of Default;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41" w:name="page142"/>
    <w:bookmarkEnd w:id="141"/>
    <w:p>
      <w:pPr>
        <w:ind w:left="440" w:firstLine="948"/>
        <w:spacing w:after="0" w:line="263" w:lineRule="auto"/>
        <w:tabs>
          <w:tab w:leader="none" w:pos="1657" w:val="left"/>
        </w:tabs>
        <w:numPr>
          <w:ilvl w:val="1"/>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those rights and remedies available to a secured party under the UCC (whether or not the UCC applies to the affected Collateral) or under any other applicable law (including, without limitation, any law governing the exercise of a bank’s right of setoff or bankers’ lien) when a debtor is in default under a security agreement;</w:t>
      </w:r>
    </w:p>
    <w:p>
      <w:pPr>
        <w:spacing w:after="0" w:line="75" w:lineRule="exact"/>
        <w:rPr>
          <w:rFonts w:ascii="Arial" w:cs="Arial" w:eastAsia="Arial" w:hAnsi="Arial"/>
          <w:sz w:val="18"/>
          <w:szCs w:val="18"/>
          <w:color w:val="auto"/>
        </w:rPr>
      </w:pPr>
    </w:p>
    <w:p>
      <w:pPr>
        <w:ind w:left="440" w:right="540" w:firstLine="948"/>
        <w:spacing w:after="0" w:line="277" w:lineRule="auto"/>
        <w:tabs>
          <w:tab w:leader="none" w:pos="170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give notice of sole control or any other instruction under any control agreement with any financial institution or securities intermediary and take any action therein with respect to such Collateral;</w:t>
      </w:r>
    </w:p>
    <w:p>
      <w:pPr>
        <w:spacing w:after="0" w:line="62" w:lineRule="exact"/>
        <w:rPr>
          <w:rFonts w:ascii="Arial" w:cs="Arial" w:eastAsia="Arial" w:hAnsi="Arial"/>
          <w:sz w:val="18"/>
          <w:szCs w:val="18"/>
          <w:color w:val="auto"/>
        </w:rPr>
      </w:pPr>
    </w:p>
    <w:p>
      <w:pPr>
        <w:ind w:left="440" w:right="40" w:firstLine="948"/>
        <w:spacing w:after="0" w:line="254" w:lineRule="auto"/>
        <w:tabs>
          <w:tab w:leader="none" w:pos="169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without notice (except as specifically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elsewhere herein or otherwise required by applicable law),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such Grantor’s premises or elsewhere), for cash, on credit or for future delivery without assumption of any credit risk, and upon such other terms as the Administrative Agent may deem commercially reasonable; and</w:t>
      </w:r>
    </w:p>
    <w:p>
      <w:pPr>
        <w:spacing w:after="0" w:line="86" w:lineRule="exact"/>
        <w:rPr>
          <w:rFonts w:ascii="Arial" w:cs="Arial" w:eastAsia="Arial" w:hAnsi="Arial"/>
          <w:sz w:val="18"/>
          <w:szCs w:val="18"/>
          <w:color w:val="auto"/>
        </w:rPr>
      </w:pPr>
    </w:p>
    <w:p>
      <w:pPr>
        <w:ind w:left="440" w:right="20" w:firstLine="948"/>
        <w:spacing w:after="0" w:line="255" w:lineRule="auto"/>
        <w:tabs>
          <w:tab w:leader="none" w:pos="164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concurrently with written notice to the applicable Grantor, transfer and register in its name or in the name of its nominee the whole or any part of the Pledged Collateral, exchange certificates or instruments representing or evidencing Pledged Collateral for certificates or instruments of smaller or larger denominations, to exercise the voting and all other rights as a holder with respect thereto, to collect and receive all cash dividends, interest, principal and other distributions made thereon, for application or other treatment in accordance with the express terms of the Credit Agreement, and to otherwise act with respect to the Pledged Collateral as though the Administrative Agent was the outright owner thereof.</w:t>
      </w:r>
    </w:p>
    <w:p>
      <w:pPr>
        <w:spacing w:after="0" w:line="192" w:lineRule="exact"/>
        <w:rPr>
          <w:rFonts w:ascii="Arial" w:cs="Arial" w:eastAsia="Arial" w:hAnsi="Arial"/>
          <w:sz w:val="18"/>
          <w:szCs w:val="18"/>
          <w:color w:val="auto"/>
        </w:rPr>
      </w:pPr>
    </w:p>
    <w:p>
      <w:pPr>
        <w:ind w:right="180" w:firstLine="987"/>
        <w:spacing w:after="0" w:line="263" w:lineRule="auto"/>
        <w:tabs>
          <w:tab w:leader="none" w:pos="124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Administrative Agent, on behalf of the Secured Parties, may comply with any applicable state or federal law requirements in connection with a disposition of the Collateral and compliance will not be considered to adversely affect the commercial reasonableness of any sale of the Collateral.</w:t>
      </w:r>
    </w:p>
    <w:p>
      <w:pPr>
        <w:spacing w:after="0" w:line="183" w:lineRule="exact"/>
        <w:rPr>
          <w:rFonts w:ascii="Arial" w:cs="Arial" w:eastAsia="Arial" w:hAnsi="Arial"/>
          <w:sz w:val="18"/>
          <w:szCs w:val="18"/>
          <w:color w:val="auto"/>
        </w:rPr>
      </w:pPr>
    </w:p>
    <w:p>
      <w:pPr>
        <w:jc w:val="both"/>
        <w:ind w:right="160" w:firstLine="987"/>
        <w:spacing w:after="0" w:line="259" w:lineRule="auto"/>
        <w:tabs>
          <w:tab w:leader="none" w:pos="123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Upon the occurrence and during the continuation of an Event of Default, the Administrative Agent shall have the right upon any such public sale or sales and, to the extent permitted by law, upon any such private sale or sales, to purchase for the benefit of the Administrative Agent and the other Secured Parties, the whole or any part of the Collateral so sold, free of any right of equity redemption, which equity redemption each Grantor hereby expressly releases.</w:t>
      </w:r>
    </w:p>
    <w:p>
      <w:pPr>
        <w:spacing w:after="0" w:line="186" w:lineRule="exact"/>
        <w:rPr>
          <w:rFonts w:ascii="Arial" w:cs="Arial" w:eastAsia="Arial" w:hAnsi="Arial"/>
          <w:sz w:val="18"/>
          <w:szCs w:val="18"/>
          <w:color w:val="auto"/>
        </w:rPr>
      </w:pPr>
    </w:p>
    <w:p>
      <w:pPr>
        <w:ind w:firstLine="987"/>
        <w:spacing w:after="0" w:line="273" w:lineRule="auto"/>
        <w:tabs>
          <w:tab w:leader="none" w:pos="124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Upon the occurrence and during the continuation of an Event of Default, until the Administrative Agent is able to effect a sale, lease, or other disposition of Collateral, the Administrative Agent shall have the right to hold or use Collateral, or any part thereof, to the extent that it deems appropriate for the purpose of preserving Collateral or its value or for any other purpose deemed appropriate by the Administrative Agent. Upon the occurrence and during the continuation of an Event of Default, the Administrative Agent may, if it so elects, seek the appointment of a receiver or keeper to take possession of Collateral and to enforce any of the Administrative Agent’s remedies (for the benefit of the Administrative Agent and the other Secured Parties), with respect to such appointment without prior notice or hearing as to such appointment.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42" w:name="page143"/>
    <w:bookmarkEnd w:id="142"/>
    <w:p>
      <w:pPr>
        <w:ind w:right="140" w:firstLine="987"/>
        <w:spacing w:after="0" w:line="275" w:lineRule="auto"/>
        <w:tabs>
          <w:tab w:leader="none" w:pos="1236" w:val="left"/>
        </w:tabs>
        <w:numPr>
          <w:ilvl w:val="0"/>
          <w:numId w:val="1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neither the Administrative Agent nor the other Secured Parties shall be required to (i) make any demand upon, or pursue or exhaust any of their rights or remedies against, such Grantor, any other obligor, guarantor, pledgor or any other Person with respect to the payment of the Secured Obligations or to pursue or exhaust any of their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w:t>
      </w:r>
    </w:p>
    <w:p>
      <w:pPr>
        <w:spacing w:after="0" w:line="176" w:lineRule="exact"/>
        <w:rPr>
          <w:rFonts w:ascii="Arial" w:cs="Arial" w:eastAsia="Arial" w:hAnsi="Arial"/>
          <w:sz w:val="17"/>
          <w:szCs w:val="17"/>
          <w:color w:val="auto"/>
        </w:rPr>
      </w:pPr>
    </w:p>
    <w:p>
      <w:pPr>
        <w:ind w:right="20" w:firstLine="987"/>
        <w:spacing w:after="0" w:line="254" w:lineRule="auto"/>
        <w:tabs>
          <w:tab w:leader="none" w:pos="121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Each Grantor recognizes that the Administrative Agent may be unable to effect a public sale of any or all the Pledged Collateral after the occurrence and during the continuation of an Event of Default and may be compelled to resort to one or more private sales thereof in accordance with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Each Grantor also acknowledges that any such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The Administrative Agent shall be under no obligation to delay a sale of any of the Pledged Collateral for the period of time necessary to permit such Grantor or the issuer of the Pledged Collateral to register such securities for public sale under the Securities Act of 1933, as amended, or under applicable state securities laws, even if the applicable Grantor and the issuer would agree to do so.</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Grantor’s Obligations Upon Default</w:t>
      </w:r>
      <w:r>
        <w:rPr>
          <w:rFonts w:ascii="Arial" w:cs="Arial" w:eastAsia="Arial" w:hAnsi="Arial"/>
          <w:sz w:val="17"/>
          <w:szCs w:val="17"/>
          <w:color w:val="auto"/>
        </w:rPr>
        <w:t>. Upon the request of the Administrative Agent after the occurrence and during the continuation of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each Grantor will:</w:t>
      </w:r>
    </w:p>
    <w:p>
      <w:pPr>
        <w:spacing w:after="0" w:line="211" w:lineRule="exact"/>
        <w:rPr>
          <w:sz w:val="20"/>
          <w:szCs w:val="20"/>
          <w:color w:val="auto"/>
        </w:rPr>
      </w:pPr>
    </w:p>
    <w:p>
      <w:pPr>
        <w:ind w:firstLine="987"/>
        <w:spacing w:after="0" w:line="277" w:lineRule="auto"/>
        <w:tabs>
          <w:tab w:leader="none" w:pos="12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assemble and make available to the Administrative Agent the Collateral and all books and records relating thereto at any place or places specified by the Administrative Agent, whether at a Grantor’s premises or elsewhere; and</w:t>
      </w:r>
    </w:p>
    <w:p>
      <w:pPr>
        <w:spacing w:after="0" w:line="170" w:lineRule="exact"/>
        <w:rPr>
          <w:rFonts w:ascii="Arial" w:cs="Arial" w:eastAsia="Arial" w:hAnsi="Arial"/>
          <w:sz w:val="18"/>
          <w:szCs w:val="18"/>
          <w:color w:val="auto"/>
        </w:rPr>
      </w:pPr>
    </w:p>
    <w:p>
      <w:pPr>
        <w:ind w:right="60" w:firstLine="987"/>
        <w:spacing w:after="0" w:line="279" w:lineRule="auto"/>
        <w:tabs>
          <w:tab w:leader="none" w:pos="1246" w:val="left"/>
        </w:tabs>
        <w:numPr>
          <w:ilvl w:val="0"/>
          <w:numId w:val="186"/>
        </w:numPr>
        <w:rPr>
          <w:rFonts w:ascii="Arial" w:cs="Arial" w:eastAsia="Arial" w:hAnsi="Arial"/>
          <w:sz w:val="17"/>
          <w:szCs w:val="17"/>
          <w:color w:val="auto"/>
        </w:rPr>
      </w:pPr>
      <w:r>
        <w:rPr>
          <w:rFonts w:ascii="Arial" w:cs="Arial" w:eastAsia="Arial" w:hAnsi="Arial"/>
          <w:sz w:val="17"/>
          <w:szCs w:val="17"/>
          <w:color w:val="auto"/>
        </w:rPr>
        <w:t>permit the Administrative Agent, by the Administrative Agent’s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such Grantor for such use and occupancy.</w:t>
      </w:r>
    </w:p>
    <w:p>
      <w:pPr>
        <w:spacing w:after="0" w:line="171"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Grant of Intellectual Property License</w:t>
      </w:r>
      <w:r>
        <w:rPr>
          <w:rFonts w:ascii="Arial" w:cs="Arial" w:eastAsia="Arial" w:hAnsi="Arial"/>
          <w:sz w:val="16"/>
          <w:szCs w:val="16"/>
          <w:color w:val="auto"/>
        </w:rPr>
        <w:t xml:space="preserve">. For the purpose of enabling the Administrative Agent to exercise the rights and remedies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upon the occurrence and during the continuation of an Event of Default, at such time as the Administrative Agent shall be lawfully entitled to exercise such rights and remedies, each Grantor hereby (a) grants to the Administrative Agent, for the benefit of the Secured Parties, an irrevocable, nonexclusive license (exercisable without payment of royalty or other compensation to any Grantor) to use, license or sublicense any intellectual property rights now owned or hereafter acquired by such Grantor, and wherever the same may be located, and including in such license access to all media in which any of the licensed items may be recorded or stored and to all computer software and programs used for the compilation or printout thereof, subject, in the case of Trademarks, to quality controls sufficient to maintain the validity of such Trademarks and such Grantor’s rights therein and (b) irrevocably agrees that the Administrative Agent may sell any of such Grantor’s Inventory directly to any person, including without limitation persons who have previously purchased such Grantor’s Inventory from such Grantor and in connection with any such sale or other enforcement of the Administrative Agent’s rights under this Security Agreement, may sell Inventory which bears any Trademark owned by or licensed to such Grantor and any Inventory that is covered by any Copyright owned by or licensed to such Grantor and the Administrative Agent may finish any work in process and affix any Trademark owned by or licensed to such Grantor and sell such Inventory as provided herein.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43" w:name="page144"/>
    <w:bookmarkEnd w:id="14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ACCOUNT VERIFICATION; ATTORNEY IN FACT; PROXY</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Authorization for Administrative Agent to Take Certain Action</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3" w:lineRule="auto"/>
        <w:tabs>
          <w:tab w:leader="none" w:pos="124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Each Grantor irrevocably authorizes the Administrative Agent at any time and from time to time in the sole discretion of the Administrative Agent and appoints the Administrative Agent as its attorney in fact (i) to execute on behalf of such Grantor as debtor and to file financing statements necessary or desirable in the Administrative Agent’s sole discretion to perfect and to maintain the perfection and priority of the Administrative Agent’s security interest in the Collateral, (ii) following the occurrence and during the continuation of an Event of Default, to endorse and collect any cash proceeds of the Collateral, (iii) to file any financing statement or any intellectual property filing with respect to the Collateral and to file any other financing statement, amendment of a financing statement (which does not add new collateral or add a debtor) or intellectual property filing in such offices as the Administrative Agent in its sole discretion deems necessary or desirable to perfect and to maintain the perfection and priority of the Administrative Agent’s security interest in the Collateral, (iv) following the occurrence and during the continuation of an Event of Default, to contact and enter into one or more agreements with the issuers of uncertificated securities which are Pledged Collateral or with securities intermediaries holding Pledged Collateral as may be necessary or advisable to give the Administrative Agent Control over such Pledged Collateral, (v) to discharge past due taxes, assessments, charges, fees or Liens on the Collateral (except for Permitted Liens) after written notice to Grantors (unless an Event of Default shall have occurred and be continuing), (vi) following the occurrence and during the continuation of an Event of Default, to contact Account Debtors for any reason, (vii) following the occurrence and during the continuation of an Event of Default, to demand payment or enforce payment of the Receivables in the name of the Administrative Agent or such Grantor, to direct any obligor in respect of any Receivable to deliver payment thereon directly to the Administrative Agent and to endorse any and all checks, drafts, and other instruments for the payment of money relating to the Receivables,</w:t>
      </w:r>
    </w:p>
    <w:p>
      <w:pPr>
        <w:ind w:left="4" w:hanging="4"/>
        <w:spacing w:after="0" w:line="285" w:lineRule="auto"/>
        <w:tabs>
          <w:tab w:leader="none" w:pos="40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following the occurrence and during the continuation of an Event of Default, to sign such Grantor’s name on any invoice or bill of lading relating to the Receivables, drafts against any Account Debtor of such Grantor, assignments and verifications of Receivables, (ix) following the occurrence and during the continuation of an Event of Default, to exercise all of such Grantor’s rights and remedies with respect to the collection of the Receivables and any other Collateral, (x) following the occurrence and during the continuation of an Event of Default, to settle, adjust, compromise, extend or renew the Receivables, (xi) following the occurrence and during the continuation of an Event of Default, to settle, adjust or compromise any legal proceedings brought to collect Receivables, (xii) following the occurrence and during the continuation of an Event of Default, to prepare, file and sign such Grantor’s name on a proof of claim in bankruptcy or similar document against any Account Debtor of such Grantor, (xiii) following the occurrence and during the continuation of an Event of Default, to prepare, file and sign such Grantor’s name on any notice of Lien, assignment or satisfaction of Lien or similar document in connection with the Receivables, and (xiv) following the occurrence and during the continuation of an Event of Default, to do all other acts and things reasonably necessary to carry out this Security Agreement; and such Grantor agrees to reimburse the Administrative Agent on demand for all reasonable and documented out-of-pocket expenses incurred by the Administrative Agent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that this authorization shall not relieve such Grantor of any of its obligations under this Security Agreement or under the Credit Agreement.</w:t>
      </w:r>
    </w:p>
    <w:p>
      <w:pPr>
        <w:spacing w:after="0" w:line="171" w:lineRule="exact"/>
        <w:rPr>
          <w:rFonts w:ascii="Arial" w:cs="Arial" w:eastAsia="Arial" w:hAnsi="Arial"/>
          <w:sz w:val="16"/>
          <w:szCs w:val="16"/>
          <w:color w:val="auto"/>
        </w:rPr>
      </w:pPr>
    </w:p>
    <w:p>
      <w:pPr>
        <w:ind w:left="4" w:right="360" w:firstLine="987"/>
        <w:spacing w:after="0" w:line="311" w:lineRule="auto"/>
        <w:tabs>
          <w:tab w:leader="none" w:pos="125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All acts of said attorney or designee are hereby ratified and approved to the extent such acts are permitted hereunder. The powers conferred on the Administrative Agent, for the benefit of the Secured Parties,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are solely to protect the Administrative Agent’s interests in the Collateral and shall not impose any duty upon the Administrative Agent or any other Secured Party to exercise any such powers.</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144" w:name="page145"/>
    <w:bookmarkEnd w:id="144"/>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Arial" w:cs="Arial" w:eastAsia="Arial" w:hAnsi="Arial"/>
          <w:sz w:val="17"/>
          <w:szCs w:val="17"/>
          <w:u w:val="single" w:color="auto"/>
          <w:color w:val="auto"/>
        </w:rPr>
        <w:t>Proxy</w:t>
      </w:r>
      <w:r>
        <w:rPr>
          <w:rFonts w:ascii="Arial" w:cs="Arial" w:eastAsia="Arial" w:hAnsi="Arial"/>
          <w:sz w:val="17"/>
          <w:szCs w:val="17"/>
          <w:color w:val="auto"/>
        </w:rPr>
        <w:t xml:space="preserve">. EACH GRANTOR HEREBY IRREVOCABLY CONSTITUTES AND APPOINTS THE ADMINISTRATIVE AGENT AS THE PROXY AND ATTORNEY-IN-FACT (AS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 OF SUCH GRANTOR WITH RESPECT TO THE PLEDGED COLLATERAL, INCLUDING THE RIGHT TO VOTE SUCH PLEDGED COLLATERAL, WITH FULL POWER OF SUBSTITUTION TO DO SO AFTER THE OCCURRENCE AND DURING THE CONTINUANCE OF AN EVENT OF DEFAULT. IN ADDITION TO THE RIGHT TO VOTE ANY SUCH PLEDGED COLLATERAL AFTER THE OCCURRENCE AND DURING THE CONTINUANCE OF AN EVENT OF DEFAULT, THE APPOINTMENT OF THE ADMINISTRATIVE AGENT AS PROXY AND ATTORNEY-IN-FACT SHALL INCLUDE THE RIGHT TO EXERCISE ALL OTHER RIGHTS, POWERS, PRIVILEGES AND REMEDIES TO WHICH A HOLDER OF SUCH PLEDGED COLLATERAL WOULD BE ENTITLED (INCLUDING GIVING OR WITHHOLDING WRITTEN CONSENTS OF SHAREHOLDERS, CALLING SPECIAL MEETINGS OF SHAREHOLDERS AND VOTING AT SUCH MEETINGS), IN EACH CASE AFTER THE OCCURRENCE OF AND DURING THE CONTINUANCE OF AN EVENT OF DEFAULT. SUCH PROXY SHALL BE EFFECTIVE, AUTOMATICALLY AND WITHOUT THE NECESSITY OF ANY ACTION (INCLUDING ANY TRANSFER OF ANY SUCH PLEDGED COLLATERAL ON THE RECORD BOOKS OF THE ISSUER THEREOF) BY ANY PERSON (INCLUDING THE ISSUER OF SUCH PLEDGED COLLATERAL OR ANY OFFICER OR AGENT THEREOF), UPON THE OCCURRENCE AND DURING THE CONTINUATION OF AN EVENT OF DEFAULT.</w:t>
      </w:r>
    </w:p>
    <w:p>
      <w:pPr>
        <w:spacing w:after="0" w:line="186"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Nature of Appointment; Limitation of Duty</w:t>
      </w:r>
      <w:r>
        <w:rPr>
          <w:rFonts w:ascii="Arial" w:cs="Arial" w:eastAsia="Arial" w:hAnsi="Arial"/>
          <w:sz w:val="18"/>
          <w:szCs w:val="18"/>
          <w:color w:val="auto"/>
        </w:rPr>
        <w:t xml:space="preserve">. THE APPOINTMENT OF THE ADMINISTRATIVE AGENT AS PROXY AND ATTORNEY-IN-FACT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IS COUPLED WITH AN INTEREST AND SHALL BE IRREVOCABLE UNTIL THE DATE ON WHICH THIS SECURITY AGREEMENT IS TERMINATED IN ACCORDANCE WITH </w:t>
      </w:r>
      <w:r>
        <w:rPr>
          <w:rFonts w:ascii="Arial" w:cs="Arial" w:eastAsia="Arial" w:hAnsi="Arial"/>
          <w:sz w:val="18"/>
          <w:szCs w:val="18"/>
          <w:u w:val="single" w:color="auto"/>
          <w:color w:val="auto"/>
        </w:rPr>
        <w:t>SECTION 7.13</w:t>
      </w:r>
      <w:r>
        <w:rPr>
          <w:rFonts w:ascii="Arial" w:cs="Arial" w:eastAsia="Arial" w:hAnsi="Arial"/>
          <w:sz w:val="18"/>
          <w:szCs w:val="18"/>
          <w:color w:val="auto"/>
        </w:rPr>
        <w:t>. NOTWITHSTANDING ANYTHING CONTAINED HEREIN, NEITHER THE ADMINISTRATIVE AGENT, NOR ANY OTHER SECURED PARTY, NOR ANY OF THEIR RESPECTIVE AFFILIATES, OFFICERS, DIRECTORS, EMPLOYEES, AGENTS OR REPRESENTATIVES SHALL HAVE ANY DUTY TO EXERCISE ANY RIGHT OR POWER GRANTED HEREUNDER OR OTHERWISE OR TO PRESERVE THE SAME AND SHALL NOT BE LIABLE FOR ANY FAILURE TO DO SO OR FOR ANY DELAY IN DOING SO, EXCEPT IN RESPECT OF DAMAGES ATTRIBUTABLE SOLELY TO THEIR OWN GROSS NEGLIGENCE OR WILLFUL MISCONDUCT AS FINALLY DETERMINED BY A COURT OF COMPETENT JURISDICTION; PROVIDED THAT, IN NO EVENT SHALL THEY BE LIABLE FOR ANY PUNITIVE, EXEMPLARY, INDIRECT OR CONSEQUENTIAL DAMAGES.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Waivers</w:t>
      </w:r>
      <w:r>
        <w:rPr>
          <w:rFonts w:ascii="Arial" w:cs="Arial" w:eastAsia="Arial" w:hAnsi="Arial"/>
          <w:sz w:val="17"/>
          <w:szCs w:val="17"/>
          <w:color w:val="auto"/>
        </w:rPr>
        <w:t xml:space="preserve">.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such Grantor, addressed as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at least ten days prior to (a) the date of any such public sale or (b) the time after which any such private sale or other disposition may be made. To the maximum extent permitted by applicable law, such Grantor waives all claims, damages, and demands against the Administrative Agent or any other Secured Party arising out of the repossession, retention or sale of the Collateral, except such as arise solely out of the gross negligence or willful misconduct of the Administrative Agent or such other Secured Party as determined by a court of competent jurisdiction in a final non-appealable judgment. To the extent it may lawfully do so, such Grantor absolutely and irrevocably waives and relinquishes the benefit and advantage of, and covenants not to assert against the Administrative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such Grantor hereby waives presentment, demand, protest or any notice (to the maximum extent permitted by applicable law) of any kind in connection with this Security Agreement or any Collateral.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45" w:name="page146"/>
    <w:bookmarkEnd w:id="145"/>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Arial" w:cs="Arial" w:eastAsia="Arial" w:hAnsi="Arial"/>
          <w:sz w:val="16"/>
          <w:szCs w:val="16"/>
          <w:u w:val="single" w:color="auto"/>
          <w:color w:val="auto"/>
        </w:rPr>
        <w:t>Limitation on Administrative Agent’s and other Secured Parties’ Duty with Respect to the Collateral</w:t>
      </w:r>
      <w:r>
        <w:rPr>
          <w:rFonts w:ascii="Arial" w:cs="Arial" w:eastAsia="Arial" w:hAnsi="Arial"/>
          <w:sz w:val="16"/>
          <w:szCs w:val="16"/>
          <w:color w:val="auto"/>
        </w:rPr>
        <w:t xml:space="preserve">. The Administrative Agent shall have no obligation to clean-up or otherwise prepare the Collateral for sale. The Administrative Agent and each other Secured Party shall use reasonable care with respect to the Collateral in its possession or under its control. Neither the Administrative Agent nor any other Secured Party shall have any other duty as to any Collateral in its possession or control or in the possession or control of any agent or nominee of the Administrative Agent or such other Secured Party, or any income thereon or as to the preservation of rights against prior parties or any other rights pertaining thereto. To the extent that applicable law imposes duties on the Administrative Agent to exercise remedies in a commercially reasonable manner, such Grantor acknowledges and agrees that it is commercially reasonable for the Administrative Agent (i) to fail to incur expenses deemed significant by the Administrative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the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Administrative Agent against risks of loss, collection or disposition of Collateral or to provide to the Administrative Agent a guaranteed return from the collection or disposition of Collateral, or (xii) to the extent deemed appropriate by the Administrative Agent, to obtain the services of other brokers, investment bankers, consultants and other professionals to assist the Administrative Agent in the collection or disposition of any of the Collateral. Each Grantor acknowledges that the purpose of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is to provide non-exhaustive indications of what actions or omissions by the Administrative Agent would be commercially reasonable in the Administrative Agent’s exercise of remedies against the Collateral and that other actions or omissions by the Administrative Agent shall not be deemed commercially unreasonable solely on account of not being indicated in this Section 7.2. Without limitation upon the foregoing, nothing contained in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be construed to grant any rights to such Grantor or to impose any duties on the Administrative Agent that would not have been granted or imposed by this Security Agreement or by applicable law in the absence of this </w:t>
      </w:r>
      <w:r>
        <w:rPr>
          <w:rFonts w:ascii="Arial" w:cs="Arial" w:eastAsia="Arial" w:hAnsi="Arial"/>
          <w:sz w:val="16"/>
          <w:szCs w:val="16"/>
          <w:u w:val="single" w:color="auto"/>
          <w:color w:val="auto"/>
        </w:rPr>
        <w:t>Section 7.2</w:t>
      </w:r>
      <w:r>
        <w:rPr>
          <w:rFonts w:ascii="Arial" w:cs="Arial" w:eastAsia="Arial" w:hAnsi="Arial"/>
          <w:sz w:val="16"/>
          <w:szCs w:val="16"/>
          <w:color w:val="auto"/>
        </w:rPr>
        <w:t>.</w:t>
      </w:r>
    </w:p>
    <w:p>
      <w:pPr>
        <w:spacing w:after="0" w:line="387"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Compromises and Collection of Collateral</w:t>
      </w:r>
      <w:r>
        <w:rPr>
          <w:rFonts w:ascii="Arial" w:cs="Arial" w:eastAsia="Arial" w:hAnsi="Arial"/>
          <w:sz w:val="17"/>
          <w:szCs w:val="17"/>
          <w:color w:val="auto"/>
        </w:rPr>
        <w:t>. The Grantors and the Administrative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Administrative Agent may at any time and from time to time, if an Event of Default has occurred and is continuing, compromise with the obligor on any Receivable, accept in full payment of any Receivable such amount as the Administrative Agent in its sole discretion shall determine or abandon any Receivable, and any such action by the Administrative Agent shall be commercially reasonable so long as the Administrative Agent acts in good faith based on information known to it at the time it takes any such action.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46" w:name="page147"/>
    <w:bookmarkEnd w:id="146"/>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7.4. </w:t>
      </w:r>
      <w:r>
        <w:rPr>
          <w:rFonts w:ascii="Arial" w:cs="Arial" w:eastAsia="Arial" w:hAnsi="Arial"/>
          <w:sz w:val="18"/>
          <w:szCs w:val="18"/>
          <w:u w:val="single" w:color="auto"/>
          <w:color w:val="auto"/>
        </w:rPr>
        <w:t>Administrative Agent Performance of Debtor Obligations</w:t>
      </w:r>
      <w:r>
        <w:rPr>
          <w:rFonts w:ascii="Arial" w:cs="Arial" w:eastAsia="Arial" w:hAnsi="Arial"/>
          <w:sz w:val="18"/>
          <w:szCs w:val="18"/>
          <w:color w:val="auto"/>
        </w:rPr>
        <w:t xml:space="preserve">. Without having any obligation to do so, the Administrative Agent may perform or pay any obligation which any Grantor has agreed to perform or pay in this Security Agreement and the Grantors shall reimburse the Administrative Agent for any amounts paid by the Administrative Agent pursuant to this </w:t>
      </w:r>
      <w:r>
        <w:rPr>
          <w:rFonts w:ascii="Arial" w:cs="Arial" w:eastAsia="Arial" w:hAnsi="Arial"/>
          <w:sz w:val="18"/>
          <w:szCs w:val="18"/>
          <w:u w:val="single" w:color="auto"/>
          <w:color w:val="auto"/>
        </w:rPr>
        <w:t>Section 7.4</w:t>
      </w:r>
      <w:r>
        <w:rPr>
          <w:rFonts w:ascii="Arial" w:cs="Arial" w:eastAsia="Arial" w:hAnsi="Arial"/>
          <w:sz w:val="18"/>
          <w:szCs w:val="18"/>
          <w:color w:val="auto"/>
        </w:rPr>
        <w:t>. The Grantors’ obligation to reimburse the Administrative Agent pursuant to the preceding sentence shall be a Secured Obligation payable on demand.</w:t>
      </w:r>
    </w:p>
    <w:p>
      <w:pPr>
        <w:spacing w:after="0" w:line="18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Dispositions Not Authorized</w:t>
      </w:r>
      <w:r>
        <w:rPr>
          <w:rFonts w:ascii="Arial" w:cs="Arial" w:eastAsia="Arial" w:hAnsi="Arial"/>
          <w:sz w:val="18"/>
          <w:szCs w:val="18"/>
          <w:color w:val="auto"/>
        </w:rPr>
        <w:t>. Except as permitted under the Credit Agreement, no Grantor is authorized to sell or otherwise dispose of the Collateral and notwithstanding any course of dealing between any Grantor and the Administrative Agent or other conduct of the Administrative Agent, no authorization to sell or otherwise dispose of the Collateral shall be binding upon the Administrative Agent or the other Secured Parties unless such authorization is contained in the Credit Agreement or in another writing signed by the Administrative Agent with the consent or at the direction of the Required Lenders.</w:t>
      </w:r>
    </w:p>
    <w:p>
      <w:pPr>
        <w:spacing w:after="0" w:line="18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No Waiver; Amendments; Cumulative Remedies</w:t>
      </w:r>
      <w:r>
        <w:rPr>
          <w:rFonts w:ascii="Arial" w:cs="Arial" w:eastAsia="Arial" w:hAnsi="Arial"/>
          <w:sz w:val="18"/>
          <w:szCs w:val="18"/>
          <w:color w:val="auto"/>
        </w:rPr>
        <w:t>. No delay or omission of the Administrative Agent or any other Secured Party to exercise any right or remedy granted under this Security Agreement shall impair such right or remedy or be construed to be a waiver of any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 signed by the Administrative Agent with the concurrence or at the direction of the Lenders required under Section 9.02 of the Credit Agreement and then only to the extent in such writing specifically set forth. All rights and remedies contained in this Security Agreement or by law afforded shall be cumulative and all shall be available to the Administrative Agent and the other Secured Parties until the Secured Obligations have been paid in full.</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Limitation by Law; Severability of Provisions</w:t>
      </w:r>
      <w:r>
        <w:rPr>
          <w:rFonts w:ascii="Arial" w:cs="Arial" w:eastAsia="Arial" w:hAnsi="Arial"/>
          <w:sz w:val="17"/>
          <w:szCs w:val="17"/>
          <w:color w:val="auto"/>
        </w:rPr>
        <w:t>. All rights, remedies and powers provided in this Security Agreement may be exercised only to the extent that the exercise thereof does not violate any applicable provision of law, and all the provisions of this Security Agreement are intended to be subject to all applicable mandatory provisions of law that may be controlling and to be limited to the extent necessary so that they shall not render this Security Agreement invalid, unenforceable or not entitled to be recorded or registered, in whole or in part. Any provision in this Security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177"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Reinstatement</w:t>
      </w:r>
      <w:r>
        <w:rPr>
          <w:rFonts w:ascii="Arial" w:cs="Arial" w:eastAsia="Arial" w:hAnsi="Arial"/>
          <w:sz w:val="17"/>
          <w:szCs w:val="17"/>
          <w:color w:val="auto"/>
        </w:rPr>
        <w:t>.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“voidable preference,” “fraudulent conveyance,” or otherwise, all as though such payment or performance had not been made. In the event that any payment, or any part thereof, is rescinded, reduced, restored or returned, the Secured Obligations shall be reinstated and deemed reduced only by such amount paid and not so rescinded, reduced, restored or returned.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47" w:name="page148"/>
    <w:bookmarkEnd w:id="147"/>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7.9. </w:t>
      </w:r>
      <w:r>
        <w:rPr>
          <w:rFonts w:ascii="Arial" w:cs="Arial" w:eastAsia="Arial" w:hAnsi="Arial"/>
          <w:sz w:val="17"/>
          <w:szCs w:val="17"/>
          <w:u w:val="single" w:color="auto"/>
          <w:color w:val="auto"/>
        </w:rPr>
        <w:t>Benefit of Agreement</w:t>
      </w:r>
      <w:r>
        <w:rPr>
          <w:rFonts w:ascii="Arial" w:cs="Arial" w:eastAsia="Arial" w:hAnsi="Arial"/>
          <w:sz w:val="17"/>
          <w:szCs w:val="17"/>
          <w:color w:val="auto"/>
        </w:rPr>
        <w:t>. The terms and provisions of this Security Agreement shall be binding upon and inure to the benefit of the Grantors, the Administrative Agent and the other Secured Parties and their respective successors and assigns (including all persons who become bound as a debtor to this Security Agreement), except that no Grantor shall have the right to assign its rights or delegate its obligations under this Security Agreement or any interest herein, without the prior written consent of the Administrative Agent. No sales of participations, assignments, transfers, or other dispositions of any agreement governing the Secured Obligations or any portion thereof or interest therein shall in any manner impair the Lien granted to the Administrative Agent, for the benefit of the Administrative Agent and the other Secured Parties, hereunder.</w:t>
      </w:r>
    </w:p>
    <w:p>
      <w:pPr>
        <w:spacing w:after="0" w:line="178"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representations and warranties of the Grantors contained in this Security Agreement shall survive the execution and delivery of this Security Agreement.</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Taxes and Expenses</w:t>
      </w:r>
      <w:r>
        <w:rPr>
          <w:rFonts w:ascii="Arial" w:cs="Arial" w:eastAsia="Arial" w:hAnsi="Arial"/>
          <w:sz w:val="17"/>
          <w:szCs w:val="17"/>
          <w:color w:val="auto"/>
        </w:rPr>
        <w:t>. Any taxes (including income taxes) payable or ruled payable by Federal or State authority in respect of this Security Agreement shall be paid by the Grantors, together with interest and penalties, if any. Each Grantor shall reimburse the Administrative Agent for any and all reasonable and documented out-of-pocket expenses (including reasonable attorneys’, auditors’ and accountants’ fees but excluding time charges of attorneys, paralegals, auditors and accountants who may be employees of the Administrative Agent) paid or incurred by the Administrative Agent in connection with the preparation, execution, delivery, administration, collection and enforcement of this Security Agreement and in the audit, analysis, administration, collection, preservation or sale of the Collateral (including the expenses and charges associated with any periodic or special audit of the Collateral), in each case, to the extent required by the Credit Agreement. Any and all costs and expenses incurred by any Grantor in the performance of actions required pursuant to the terms hereof shall be borne solely by such Grantor.</w:t>
      </w:r>
    </w:p>
    <w:p>
      <w:pPr>
        <w:spacing w:after="0" w:line="178"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Headings</w:t>
      </w:r>
      <w:r>
        <w:rPr>
          <w:rFonts w:ascii="Arial" w:cs="Arial" w:eastAsia="Arial" w:hAnsi="Arial"/>
          <w:sz w:val="18"/>
          <w:szCs w:val="18"/>
          <w:color w:val="auto"/>
        </w:rPr>
        <w:t>. The title of and section headings in this Security Agreement are for convenience of reference only, and shall not govern the interpretation of any of the terms and provisions of this Security Agreement.</w:t>
      </w:r>
    </w:p>
    <w:p>
      <w:pPr>
        <w:spacing w:after="0" w:line="170"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Termination</w:t>
      </w:r>
      <w:r>
        <w:rPr>
          <w:rFonts w:ascii="Arial" w:cs="Arial" w:eastAsia="Arial" w:hAnsi="Arial"/>
          <w:sz w:val="17"/>
          <w:szCs w:val="17"/>
          <w:color w:val="auto"/>
        </w:rPr>
        <w:t>. This Security Agreement shall continue in effect (notwithstanding the fact that from time to time there may be no Secured Obligations outstanding) until Payment in Full, following which (i) the security interests granted hereby shall automatically terminate and all rights to the Collateral (other than cash collateral deposited in accordance with the Credit Agreement with respect to any Letters of Credit outstanding) shall revert to the applicable Grantor or to such other Person as may be entitled thereto pursuant to any applicable Requirement of Law, and (ii) the Administrative Agent shall promptly, and at the sole cost and expense of the Grantors, file any applicable UCC-3 termination statements in respect thereof, deliver to the Grantors all physical Collateral held by the Administrative Agent and take all actions it deems appropriate or as reasonably requested by the Grantors in order to effect the foregoing.</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Release of Collateral</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311" w:lineRule="auto"/>
        <w:tabs>
          <w:tab w:leader="none" w:pos="123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At the request of a Grantor, such Grantor shall be released from its obligations hereunder in the event that all of the Equity Interests of such Grantor shall be sold to any Person that is not a Grantor or a Subsidiary of a Grantor in a transaction permitted by the Loan Documents and such released Grantor would not be required to guarantee any Obligations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of the Credit Agreement after giving effect to such sale.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48" w:name="page149"/>
    <w:bookmarkEnd w:id="148"/>
    <w:p>
      <w:pPr>
        <w:ind w:right="40" w:firstLine="987"/>
        <w:spacing w:after="0" w:line="257" w:lineRule="auto"/>
        <w:tabs>
          <w:tab w:leader="none" w:pos="12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any Collateral is sold or otherwise Disposed as permitted by the provisions of the Credit Agreement, such Collateral (unless sold to (i) a Loan Party or (ii) an Affiliate of any Loan Party (other than a Loan Party) for less than fair market value) shall be sold free and clear of the Liens created by the Credit Agreement and the Collateral Documents (provided, that such Liens shall continue in any Proceeds generated from such sale or other Disposition), and the Administrative Agent shall take all actions it deems appropriate or as reasonably requested by the Grantors in order to effect the foregoing.</w:t>
      </w:r>
    </w:p>
    <w:p>
      <w:pPr>
        <w:spacing w:after="0" w:line="188"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Security Agreement embodies the entire agreement and understanding between such Grantor and the Administrative Agent relating to the Collateral and supersedes all prior agreements and understandings between such Grantor and the Administrative Agent relating to the Collateral.</w:t>
      </w:r>
    </w:p>
    <w:p>
      <w:pPr>
        <w:spacing w:after="0" w:line="180"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THIS SECURITY AGREEMENT SHALL BE GOVERNED BY, AND CONSTRUED IN ACCORDANCE</w:t>
      </w:r>
      <w:r>
        <w:rPr>
          <w:rFonts w:ascii="Arial" w:cs="Arial" w:eastAsia="Arial" w:hAnsi="Arial"/>
          <w:sz w:val="18"/>
          <w:szCs w:val="18"/>
          <w:color w:val="auto"/>
        </w:rPr>
        <w:t xml:space="preserve"> </w:t>
      </w:r>
      <w:r>
        <w:rPr>
          <w:rFonts w:ascii="Arial" w:cs="Arial" w:eastAsia="Arial" w:hAnsi="Arial"/>
          <w:sz w:val="18"/>
          <w:szCs w:val="18"/>
          <w:b w:val="1"/>
          <w:bCs w:val="1"/>
          <w:color w:val="auto"/>
        </w:rPr>
        <w:t>WITH, THE LAWS OF THE STATE OF NEW YORK.</w:t>
      </w:r>
    </w:p>
    <w:p>
      <w:pPr>
        <w:spacing w:after="0" w:line="162" w:lineRule="exact"/>
        <w:rPr>
          <w:sz w:val="20"/>
          <w:szCs w:val="20"/>
          <w:color w:val="auto"/>
        </w:rPr>
      </w:pPr>
    </w:p>
    <w:p>
      <w:pPr>
        <w:ind w:firstLine="440"/>
        <w:spacing w:after="0" w:line="251"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(A) EACH GRANTOR, THE ADMINISTRATIVE AGENT AND EACH OTHER SECURED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PARTY HEREBY IRREVOCABLY AND UNCONDITIONALLY SUBMITS, FOR ITSELF AND ITS PROPERTY, TO THE EXCLUSIVE JURISDICTION OF ANY U.S. FEDERAL OR NEW YORK STATE COURT SITTING IN NEW YORK, NEW YORK IN ANY ACTION OR PROCEEDING ARISING OUT OF OR RELATING TO THIS SECURITY AGREEMENT OR ANY OTHER LOAN DOCUMENT, OR FOR RECOGNITION OR ENFORCEMENT OF ANY JUDGMENT, AND EACH GRANTOR, THE ADMINISTRATIVE AGENT AND EACH OTHER SECURED PARTY IRREVOCABLY AND UNCONDITIONALLY AGREES THAT ALL CLAIMS IN RESPECT OF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AND EACH PARTY HERETO AGREES THAT THE ADMINISTRATIVE AGENT AND THE OTHER SECURED PARTIES RETAIN THE RIGHT TO BRING PROCEEDINGS AGAINST ANY GRANTOR IN THE COURTS OF ANY OTHER JURISDICTION SOLELY IN CONNECTION WITH THE EXERCISE OF ANY RIGHTS IN RESPECT OF THE COLLATERAL UNDER THIS SECURITY AGREEMENT, (B) EACH GRANTOR, THE ADMINISTRATIVE AGENT AND EACH OTHER SECURED PARTY HEREBY IRREVOCABLY AND UNCONDITIONALLY WAIVES, TO THE FULLEST EXTENT IT MAY LEGALLY AND EFFECTIVELY DO SO, ANY OBJECTION WHICH IT MAY NOW OR HEREAFTER HAVE TO THE LAYING OF VENUE OF ANY SUIT, ACTION OR PROCEEDING RELATING TO THIS SECURITY AGREEMENT OR ANY OTHER LOAN DOCUMENT IN ANY COURT REFERRED TO IN </w:t>
      </w:r>
      <w:r>
        <w:rPr>
          <w:rFonts w:ascii="Arial" w:cs="Arial" w:eastAsia="Arial" w:hAnsi="Arial"/>
          <w:sz w:val="18"/>
          <w:szCs w:val="18"/>
          <w:b w:val="1"/>
          <w:bCs w:val="1"/>
          <w:u w:val="single" w:color="auto"/>
          <w:color w:val="auto"/>
        </w:rPr>
        <w:t>CLAUSE (A)</w:t>
      </w:r>
      <w:r>
        <w:rPr>
          <w:rFonts w:ascii="Arial" w:cs="Arial" w:eastAsia="Arial" w:hAnsi="Arial"/>
          <w:sz w:val="18"/>
          <w:szCs w:val="18"/>
          <w:b w:val="1"/>
          <w:bCs w:val="1"/>
          <w:color w:val="auto"/>
        </w:rPr>
        <w:t xml:space="preserve"> OF THIS SECTION, (C) EACH GRANTOR, THE ADMINISTRATIVE AGENT AND EACH OTHER SECURED PARTY HEREBY IRREVOCABLY WAIVES, TO THE FULLEST EXTENT PERMITTED BY LAW, THE DEFENSE OF AN INCONVENIENT FORUM TO THE MAINTENANCE OF SUCH ACTION OR PROCEEDING IN ANY SUCH COURT, AND (D) EACH GRANTOR, THE ADMINISTRATIVE AGENT AND EACH OTHER SECURED PARTY HEREBY IRREVOCABLY CONSENTS TO SERVICE OF PROCESS IN THE MANNER PROVIDED FOR NOTICES IN </w:t>
      </w:r>
      <w:r>
        <w:rPr>
          <w:rFonts w:ascii="Arial" w:cs="Arial" w:eastAsia="Arial" w:hAnsi="Arial"/>
          <w:sz w:val="18"/>
          <w:szCs w:val="18"/>
          <w:b w:val="1"/>
          <w:bCs w:val="1"/>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8.1</w:t>
      </w:r>
      <w:r>
        <w:rPr>
          <w:rFonts w:ascii="Arial" w:cs="Arial" w:eastAsia="Arial" w:hAnsi="Arial"/>
          <w:sz w:val="18"/>
          <w:szCs w:val="18"/>
          <w:b w:val="1"/>
          <w:bCs w:val="1"/>
          <w:color w:val="auto"/>
        </w:rPr>
        <w:t>. NOTHING IN THIS SECURITY AGREEMENT OR ANY OTHER LOAN DOCUMENT WILL AFFECT THE RIGHT OF ANY GRANTOR, THE ADMINISTRATIVE AGENT, OR ANY OTHER SECURED PARTY TO SERVE PROCESS IN ANY OTHER MANNER PERMITTED BY LAW.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49" w:name="page150"/>
    <w:bookmarkEnd w:id="149"/>
    <w:p>
      <w:pPr>
        <w:ind w:right="10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7.18.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GRANTOR, THE ADMINISTRATIVE AGENT AND EACH OTHER SECURED PARTY</w:t>
      </w:r>
      <w:r>
        <w:rPr>
          <w:rFonts w:ascii="Arial" w:cs="Arial" w:eastAsia="Arial" w:hAnsi="Arial"/>
          <w:sz w:val="18"/>
          <w:szCs w:val="18"/>
          <w:color w:val="auto"/>
        </w:rPr>
        <w:t xml:space="preserve"> </w:t>
      </w:r>
      <w:r>
        <w:rPr>
          <w:rFonts w:ascii="Arial" w:cs="Arial" w:eastAsia="Arial" w:hAnsi="Arial"/>
          <w:sz w:val="18"/>
          <w:szCs w:val="18"/>
          <w:b w:val="1"/>
          <w:bCs w:val="1"/>
          <w:color w:val="auto"/>
        </w:rPr>
        <w:t>HEREBY WAIVES, TO THE FULLEST EXTENT PERMITTED BY APPLICABLE LAW, ANY RIGHT IT MAY HAVE TO A TRIAL BY JURY IN ANY LEGAL PROCEEDING DIRECTLY OR INDIRECTLY ARISING OUT OF OR RELATING TO THIS SECURITY AGREEMENT, ANY OTHER LOAN DOCUMENT OR THE TRANSACTIONS CONTEMPLATED THEREBY (WHETHER BASED ON CONTRACT, TORT OR ANY OTHER THEORY). EACH GRANTOR, THE ADMINISTRATIVE AGENT AND EACH OTHER SECURED PARTY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SECURITY AGREEMENT BY, AMONG OTHER THINGS, THE MUTUAL WAIVERS AND CERTIFICATIONS IN THIS SECTION.</w:t>
      </w:r>
    </w:p>
    <w:p>
      <w:pPr>
        <w:spacing w:after="0" w:line="19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7.19. </w:t>
      </w:r>
      <w:r>
        <w:rPr>
          <w:rFonts w:ascii="Arial" w:cs="Arial" w:eastAsia="Arial" w:hAnsi="Arial"/>
          <w:sz w:val="18"/>
          <w:szCs w:val="18"/>
          <w:u w:val="single" w:color="auto"/>
          <w:color w:val="auto"/>
        </w:rPr>
        <w:t>Indemnity</w:t>
      </w:r>
      <w:r>
        <w:rPr>
          <w:rFonts w:ascii="Arial" w:cs="Arial" w:eastAsia="Arial" w:hAnsi="Arial"/>
          <w:sz w:val="18"/>
          <w:szCs w:val="18"/>
          <w:color w:val="auto"/>
        </w:rPr>
        <w:t>. Each Grantor hereby agrees to indemnify the Administrative Agent and the other Secured Parties, and each other Indemnitee to the extent set forth in Section 9.03(b) of the Credit Agreement, which is expressly incorporated herein by reference.</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7.20. </w:t>
      </w:r>
      <w:r>
        <w:rPr>
          <w:rFonts w:ascii="Arial" w:cs="Arial" w:eastAsia="Arial" w:hAnsi="Arial"/>
          <w:sz w:val="18"/>
          <w:szCs w:val="18"/>
          <w:u w:val="single" w:color="auto"/>
          <w:color w:val="auto"/>
        </w:rPr>
        <w:t>Counterparts</w:t>
      </w:r>
      <w:r>
        <w:rPr>
          <w:rFonts w:ascii="Arial" w:cs="Arial" w:eastAsia="Arial" w:hAnsi="Arial"/>
          <w:sz w:val="18"/>
          <w:szCs w:val="18"/>
          <w:color w:val="auto"/>
        </w:rPr>
        <w:t>. This Security Agreement may be executed in any number of counterparts, all of which taken together shall constitute one agreement, and any of the parties hereto may execute this Security Agreement by signing any such counterpart. Delivery of an executed counterpart of a signature page of this Security Agreement by fax or electronic mail transmission shall be effective as delivery of a manually executed counterpart of this Security Agreement.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11"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Sending Notices</w:t>
      </w:r>
      <w:r>
        <w:rPr>
          <w:rFonts w:ascii="Arial" w:cs="Arial" w:eastAsia="Arial" w:hAnsi="Arial"/>
          <w:sz w:val="16"/>
          <w:szCs w:val="16"/>
          <w:color w:val="auto"/>
        </w:rPr>
        <w:t xml:space="preserve">.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fax, in each case addressed to the Grantors at the address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its principal place of business, and to the Administrative Agent and the Lenders at the addresses set forth in accordance with Section 9.01 of the Credit Agreement.</w:t>
      </w:r>
    </w:p>
    <w:p>
      <w:pPr>
        <w:spacing w:after="0" w:line="157" w:lineRule="exact"/>
        <w:rPr>
          <w:sz w:val="20"/>
          <w:szCs w:val="20"/>
          <w:color w:val="auto"/>
        </w:rPr>
      </w:pPr>
    </w:p>
    <w:p>
      <w:pPr>
        <w:jc w:val="both"/>
        <w:ind w:right="40" w:firstLine="987"/>
        <w:spacing w:after="0" w:line="311" w:lineRule="auto"/>
        <w:tabs>
          <w:tab w:leader="none" w:pos="124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All such notices and other communications (i) sent by hand or overnight courier service, or mailed by certified or registered mail, shall be deemed to have been given when received or (ii) sent by fax shall be deemed to have been given when 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not given during normal business hours for the recipient, shall be deemed to have been given at the opening of business on the next Business Day for the recipient.</w:t>
      </w:r>
    </w:p>
    <w:p>
      <w:pPr>
        <w:spacing w:after="0" w:line="148" w:lineRule="exact"/>
        <w:rPr>
          <w:rFonts w:ascii="Arial" w:cs="Arial" w:eastAsia="Arial" w:hAnsi="Arial"/>
          <w:sz w:val="16"/>
          <w:szCs w:val="16"/>
          <w:color w:val="auto"/>
        </w:rPr>
      </w:pPr>
    </w:p>
    <w:p>
      <w:pPr>
        <w:ind w:firstLine="987"/>
        <w:spacing w:after="0" w:line="269" w:lineRule="auto"/>
        <w:tabs>
          <w:tab w:leader="none" w:pos="123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Notices and other communications to the Secured Parties hereunder may be delivered or furnished by electronic communications (including e-mail and internet or intranet websites) pursuant to procedures approved by the Administrative Agent. The Administrative Agent or the Borrower (on behalf of the Grantors)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(c)(i) of notification that such notice or communication is available and identifying the website address therefor.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150" w:name="page151"/>
    <w:bookmarkEnd w:id="150"/>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Any party hereto may change its address or fax number for notices and other communications hereunder by notice to the other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Change in Address for Notices</w:t>
      </w:r>
      <w:r>
        <w:rPr>
          <w:rFonts w:ascii="Arial" w:cs="Arial" w:eastAsia="Arial" w:hAnsi="Arial"/>
          <w:sz w:val="18"/>
          <w:szCs w:val="18"/>
          <w:color w:val="auto"/>
        </w:rPr>
        <w:t>. Each of the Grantors, the Administrative Agent and the Lenders may change the address for service of notice upon it by a notice in writing to the other parties.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ADMINISTRATIVE AGENT</w:t>
      </w:r>
    </w:p>
    <w:p>
      <w:pPr>
        <w:spacing w:after="0" w:line="21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Citibank, N.A. has been appointed Administrative Agent for the Secured Parties hereunder pursuant to Article VIII of the Credit Agreement. It is expressly understood and agreed by the parties to this Security Agreement that any authority conferred upon the Administrative Agent hereunder is subject to the terms of the delegation of authority made by the Secured Parties to the Administrative Agent pursuant to the Credit Agreement, and that the Administrative Agent has agreed to act (and any successor Administrative Agent shall act) as such hereunder only on the express conditions contained in such Article VIII of the Credit Agreement. Any successor Administrative Agent appointed pursuant to Article VIII of the Credit Agreement shall be entitled to all the rights, interests and benefits of the Administrative Agent hereunder.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151" w:name="page152"/>
    <w:bookmarkEnd w:id="15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Grantor and the Administrative Agent have executed this Security Agreement as of the date first above written.</w:t>
      </w:r>
    </w:p>
    <w:p>
      <w:pPr>
        <w:spacing w:after="0" w:line="271"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b w:val="1"/>
          <w:bCs w:val="1"/>
          <w:color w:val="auto"/>
        </w:rPr>
        <w:t>GRANTORS:</w:t>
      </w:r>
      <w:r>
        <w:rPr>
          <w:sz w:val="20"/>
          <w:szCs w:val="20"/>
          <w:color w:val="auto"/>
        </w:rPr>
        <w:tab/>
      </w:r>
      <w:r>
        <w:rPr>
          <w:rFonts w:ascii="Arial" w:cs="Arial" w:eastAsia="Arial" w:hAnsi="Arial"/>
          <w:sz w:val="18"/>
          <w:szCs w:val="18"/>
          <w:b w:val="1"/>
          <w:bCs w:val="1"/>
          <w:color w:val="auto"/>
        </w:rPr>
        <w:t>FLYWIRE CORPORATION</w:t>
      </w:r>
      <w:r>
        <w:rPr>
          <w:rFonts w:ascii="Arial" w:cs="Arial" w:eastAsia="Arial" w:hAnsi="Arial"/>
          <w:sz w:val="18"/>
          <w:szCs w:val="18"/>
          <w:color w:val="auto"/>
        </w:rPr>
        <w:t>,</w:t>
      </w:r>
    </w:p>
    <w:p>
      <w:pPr>
        <w:spacing w:after="0" w:line="229" w:lineRule="exact"/>
        <w:rPr>
          <w:sz w:val="20"/>
          <w:szCs w:val="20"/>
          <w:color w:val="auto"/>
        </w:rPr>
      </w:pPr>
    </w:p>
    <w:p>
      <w:pPr>
        <w:ind w:left="65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26485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FLYWIRE GLOBAL CORP.</w:t>
      </w:r>
    </w:p>
    <w:p>
      <w:pPr>
        <w:spacing w:after="0" w:line="229" w:lineRule="exact"/>
        <w:rPr>
          <w:sz w:val="20"/>
          <w:szCs w:val="20"/>
          <w:color w:val="auto"/>
        </w:rPr>
      </w:pPr>
    </w:p>
    <w:p>
      <w:pPr>
        <w:ind w:left="65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26485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FLYWIRE HEALTHCARE CORPORATION</w:t>
      </w:r>
    </w:p>
    <w:p>
      <w:pPr>
        <w:spacing w:after="0" w:line="229" w:lineRule="exact"/>
        <w:rPr>
          <w:sz w:val="20"/>
          <w:szCs w:val="20"/>
          <w:color w:val="auto"/>
        </w:rPr>
      </w:pPr>
    </w:p>
    <w:p>
      <w:pPr>
        <w:ind w:left="65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26485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FLYWIRE PAYMENTS CORPORATION</w:t>
      </w:r>
    </w:p>
    <w:p>
      <w:pPr>
        <w:spacing w:after="0" w:line="229" w:lineRule="exact"/>
        <w:rPr>
          <w:sz w:val="20"/>
          <w:szCs w:val="20"/>
          <w:color w:val="auto"/>
        </w:rPr>
      </w:pPr>
    </w:p>
    <w:p>
      <w:pPr>
        <w:ind w:left="65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26485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FLYWIRE SECURITIES CORPORATION</w:t>
      </w:r>
    </w:p>
    <w:p>
      <w:pPr>
        <w:spacing w:after="0" w:line="229" w:lineRule="exact"/>
        <w:rPr>
          <w:sz w:val="20"/>
          <w:szCs w:val="20"/>
          <w:color w:val="auto"/>
        </w:rPr>
      </w:pPr>
    </w:p>
    <w:p>
      <w:pPr>
        <w:ind w:left="65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26485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SIMPLIFICARE INC.</w:t>
      </w:r>
    </w:p>
    <w:p>
      <w:pPr>
        <w:spacing w:after="0" w:line="229" w:lineRule="exact"/>
        <w:rPr>
          <w:sz w:val="20"/>
          <w:szCs w:val="20"/>
          <w:color w:val="auto"/>
        </w:rPr>
      </w:pPr>
    </w:p>
    <w:p>
      <w:pPr>
        <w:ind w:left="65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26485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ONPLAN HOLDINGS, LLC</w:t>
      </w:r>
    </w:p>
    <w:p>
      <w:pPr>
        <w:spacing w:after="0" w:line="229" w:lineRule="exact"/>
        <w:rPr>
          <w:sz w:val="20"/>
          <w:szCs w:val="20"/>
          <w:color w:val="auto"/>
        </w:rPr>
      </w:pPr>
    </w:p>
    <w:p>
      <w:pPr>
        <w:ind w:left="65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14605</wp:posOffset>
            </wp:positionV>
            <wp:extent cx="26485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0820"/>
          </w:cols>
          <w:pgMar w:left="440" w:top="274" w:right="639" w:bottom="1440" w:gutter="0" w:footer="0" w:header="0"/>
        </w:sectPr>
      </w:pPr>
    </w:p>
    <w:bookmarkStart w:id="152" w:name="page153"/>
    <w:bookmarkEnd w:id="152"/>
    <w:p>
      <w:pPr>
        <w:ind w:left="55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w:t>
      </w:r>
      <w:r>
        <w:rPr>
          <w:rFonts w:ascii="Arial" w:cs="Arial" w:eastAsia="Arial" w:hAnsi="Arial"/>
          <w:sz w:val="17"/>
          <w:szCs w:val="17"/>
          <w:color w:val="auto"/>
        </w:rPr>
        <w:t>, as Administrative Agent</w:t>
      </w:r>
    </w:p>
    <w:p>
      <w:pPr>
        <w:spacing w:after="0" w:line="241" w:lineRule="exact"/>
        <w:rPr>
          <w:sz w:val="20"/>
          <w:szCs w:val="20"/>
          <w:color w:val="auto"/>
        </w:rPr>
      </w:pPr>
    </w:p>
    <w:p>
      <w:pPr>
        <w:ind w:left="552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Stephanie Epkins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800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Stephanie Epinks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1)"/>
      <w:numFmt w:val="lowerLetter"/>
      <w:start w:val="1"/>
    </w:lvl>
  </w:abstractNum>
  <w:abstractNum w:abstractNumId="2">
    <w:nsid w:val="50801EE1"/>
    <w:multiLevelType w:val="hybridMultilevel"/>
    <w:lvl w:ilvl="0">
      <w:lvlJc w:val="left"/>
      <w:lvlText w:val="(%1)"/>
      <w:numFmt w:val="decimal"/>
      <w:start w:val="1"/>
    </w:lvl>
    <w:lvl w:ilvl="1">
      <w:lvlJc w:val="left"/>
      <w:lvlText w:val="(%2)"/>
      <w:numFmt w:val="lowerLetter"/>
      <w:start w:val="1"/>
    </w:lvl>
  </w:abstractNum>
  <w:abstractNum w:abstractNumId="3">
    <w:nsid w:val="488AC1A"/>
    <w:multiLevelType w:val="hybridMultilevel"/>
    <w:lvl w:ilvl="0">
      <w:lvlJc w:val="left"/>
      <w:lvlText w:val="%1"/>
      <w:numFmt w:val="upperLetter"/>
      <w:start w:val="1"/>
    </w:lvl>
    <w:lvl w:ilvl="1">
      <w:lvlJc w:val="left"/>
      <w:lvlText w:val="(%2)"/>
      <w:numFmt w:val="lowerLetter"/>
      <w:start w:val="1"/>
    </w:lvl>
  </w:abstractNum>
  <w:abstractNum w:abstractNumId="4">
    <w:nsid w:val="5FB8011C"/>
    <w:multiLevelType w:val="hybridMultilevel"/>
    <w:lvl w:ilvl="0">
      <w:lvlJc w:val="left"/>
      <w:lvlText w:val="(%1)"/>
      <w:numFmt w:val="decimal"/>
      <w:start w:val="1"/>
    </w:lvl>
  </w:abstractNum>
  <w:abstractNum w:abstractNumId="5">
    <w:nsid w:val="6AA78F7F"/>
    <w:multiLevelType w:val="hybridMultilevel"/>
    <w:lvl w:ilvl="0">
      <w:lvlJc w:val="left"/>
      <w:lvlText w:val="(%1)"/>
      <w:numFmt w:val="decimal"/>
      <w:start w:val="2"/>
    </w:lvl>
  </w:abstractNum>
  <w:abstractNum w:abstractNumId="6">
    <w:nsid w:val="7672BD23"/>
    <w:multiLevelType w:val="hybridMultilevel"/>
    <w:lvl w:ilvl="0">
      <w:lvlJc w:val="left"/>
      <w:lvlText w:val="(%1)"/>
      <w:numFmt w:val="lowerLetter"/>
      <w:start w:val="9"/>
    </w:lvl>
  </w:abstractNum>
  <w:abstractNum w:abstractNumId="7">
    <w:nsid w:val="6FC75AF8"/>
    <w:multiLevelType w:val="hybridMultilevel"/>
    <w:lvl w:ilvl="0">
      <w:lvlJc w:val="left"/>
      <w:lvlText w:val="(%1)"/>
      <w:numFmt w:val="lowerLetter"/>
      <w:start w:val="3"/>
    </w:lvl>
  </w:abstractNum>
  <w:abstractNum w:abstractNumId="8">
    <w:nsid w:val="6A5F7029"/>
    <w:multiLevelType w:val="hybridMultilevel"/>
    <w:lvl w:ilvl="0">
      <w:lvlJc w:val="left"/>
      <w:lvlText w:val="(%1)"/>
      <w:numFmt w:val="lowerRoman"/>
      <w:start w:val="2"/>
    </w:lvl>
  </w:abstractNum>
  <w:abstractNum w:abstractNumId="9">
    <w:nsid w:val="7D5E18F8"/>
    <w:multiLevelType w:val="hybridMultilevel"/>
    <w:lvl w:ilvl="0">
      <w:lvlJc w:val="left"/>
      <w:lvlText w:val="(%1)"/>
      <w:numFmt w:val="lowerLetter"/>
      <w:start w:val="1"/>
    </w:lvl>
  </w:abstractNum>
  <w:abstractNum w:abstractNumId="10">
    <w:nsid w:val="5F3534A4"/>
    <w:multiLevelType w:val="hybridMultilevel"/>
    <w:lvl w:ilvl="0">
      <w:lvlJc w:val="left"/>
      <w:lvlText w:val="(%1)"/>
      <w:numFmt w:val="lowerLetter"/>
      <w:start w:val="1"/>
    </w:lvl>
  </w:abstractNum>
  <w:abstractNum w:abstractNumId="11">
    <w:nsid w:val="73A1821B"/>
    <w:multiLevelType w:val="hybridMultilevel"/>
    <w:lvl w:ilvl="0">
      <w:lvlJc w:val="left"/>
      <w:lvlText w:val="(%1)"/>
      <w:numFmt w:val="lowerLetter"/>
      <w:start w:val="1"/>
    </w:lvl>
  </w:abstractNum>
  <w:abstractNum w:abstractNumId="12">
    <w:nsid w:val="7DE67713"/>
    <w:multiLevelType w:val="hybridMultilevel"/>
    <w:lvl w:ilvl="0">
      <w:lvlJc w:val="left"/>
      <w:lvlText w:val="(%1)"/>
      <w:numFmt w:val="lowerLetter"/>
      <w:start w:val="2"/>
    </w:lvl>
  </w:abstractNum>
  <w:abstractNum w:abstractNumId="13">
    <w:nsid w:val="555C55B5"/>
    <w:multiLevelType w:val="hybridMultilevel"/>
    <w:lvl w:ilvl="0">
      <w:lvlJc w:val="left"/>
      <w:lvlText w:val="(%1)"/>
      <w:numFmt w:val="lowerLetter"/>
      <w:start w:val="1"/>
    </w:lvl>
  </w:abstractNum>
  <w:abstractNum w:abstractNumId="14">
    <w:nsid w:val="3FA62ACA"/>
    <w:multiLevelType w:val="hybridMultilevel"/>
    <w:lvl w:ilvl="0">
      <w:lvlJc w:val="left"/>
      <w:lvlText w:val="(%1)"/>
      <w:numFmt w:val="lowerLetter"/>
      <w:start w:val="2"/>
    </w:lvl>
  </w:abstractNum>
  <w:abstractNum w:abstractNumId="15">
    <w:nsid w:val="14FCE74E"/>
    <w:multiLevelType w:val="hybridMultilevel"/>
    <w:lvl w:ilvl="0">
      <w:lvlJc w:val="left"/>
      <w:lvlText w:val="(%1)"/>
      <w:numFmt w:val="lowerRoman"/>
      <w:start w:val="2"/>
    </w:lvl>
  </w:abstractNum>
  <w:abstractNum w:abstractNumId="16">
    <w:nsid w:val="6A3DD3E8"/>
    <w:multiLevelType w:val="hybridMultilevel"/>
    <w:lvl w:ilvl="0">
      <w:lvlJc w:val="left"/>
      <w:lvlText w:val="(%1)"/>
      <w:numFmt w:val="lowerLetter"/>
      <w:start w:val="5"/>
    </w:lvl>
  </w:abstractNum>
  <w:abstractNum w:abstractNumId="17">
    <w:nsid w:val="71C91298"/>
    <w:multiLevelType w:val="hybridMultilevel"/>
    <w:lvl w:ilvl="0">
      <w:lvlJc w:val="left"/>
      <w:lvlText w:val="(%1)"/>
      <w:numFmt w:val="upperLetter"/>
      <w:start w:val="3"/>
    </w:lvl>
  </w:abstractNum>
  <w:abstractNum w:abstractNumId="18">
    <w:nsid w:val="9DAF632"/>
    <w:multiLevelType w:val="hybridMultilevel"/>
    <w:lvl w:ilvl="0">
      <w:lvlJc w:val="left"/>
      <w:lvlText w:val="%1"/>
      <w:numFmt w:val="lowerLetter"/>
      <w:start w:val="1"/>
    </w:lvl>
    <w:lvl w:ilvl="1">
      <w:lvlJc w:val="left"/>
      <w:lvlText w:val="(%2)"/>
      <w:numFmt w:val="lowerLetter"/>
      <w:start w:val="1"/>
    </w:lvl>
  </w:abstractNum>
  <w:abstractNum w:abstractNumId="19">
    <w:nsid w:val="53299938"/>
    <w:multiLevelType w:val="hybridMultilevel"/>
    <w:lvl w:ilvl="0">
      <w:lvlJc w:val="left"/>
      <w:lvlText w:val="(%1)"/>
      <w:numFmt w:val="lowerLetter"/>
      <w:start w:val="35"/>
    </w:lvl>
    <w:lvl w:ilvl="1">
      <w:lvlJc w:val="left"/>
      <w:lvlText w:val="%2"/>
      <w:numFmt w:val="lowerLetter"/>
      <w:start w:val="1"/>
    </w:lvl>
  </w:abstractNum>
  <w:abstractNum w:abstractNumId="20">
    <w:nsid w:val="1FBFE8E0"/>
    <w:multiLevelType w:val="hybridMultilevel"/>
    <w:lvl w:ilvl="0">
      <w:lvlJc w:val="left"/>
      <w:lvlText w:val="(%1)"/>
      <w:numFmt w:val="lowerLetter"/>
      <w:start w:val="1"/>
    </w:lvl>
  </w:abstractNum>
  <w:abstractNum w:abstractNumId="21">
    <w:nsid w:val="5092CA79"/>
    <w:multiLevelType w:val="hybridMultilevel"/>
    <w:lvl w:ilvl="0">
      <w:lvlJc w:val="left"/>
      <w:lvlText w:val="(%1)"/>
      <w:numFmt w:val="lowerRoman"/>
      <w:start w:val="1"/>
    </w:lvl>
  </w:abstractNum>
  <w:abstractNum w:abstractNumId="22">
    <w:nsid w:val="1D545C4D"/>
    <w:multiLevelType w:val="hybridMultilevel"/>
    <w:lvl w:ilvl="0">
      <w:lvlJc w:val="left"/>
      <w:lvlText w:val="(%1)"/>
      <w:numFmt w:val="lowerLetter"/>
      <w:start w:val="1"/>
    </w:lvl>
  </w:abstractNum>
  <w:abstractNum w:abstractNumId="23">
    <w:nsid w:val="59ADEA3D"/>
    <w:multiLevelType w:val="hybridMultilevel"/>
    <w:lvl w:ilvl="0">
      <w:lvlJc w:val="left"/>
      <w:lvlText w:val="(%1)"/>
      <w:numFmt w:val="lowerLetter"/>
      <w:start w:val="4"/>
    </w:lvl>
  </w:abstractNum>
  <w:abstractNum w:abstractNumId="24">
    <w:nsid w:val="288F1A34"/>
    <w:multiLevelType w:val="hybridMultilevel"/>
    <w:lvl w:ilvl="0">
      <w:lvlJc w:val="left"/>
      <w:lvlText w:val="(%1)"/>
      <w:numFmt w:val="lowerLetter"/>
      <w:start w:val="1"/>
    </w:lvl>
  </w:abstractNum>
  <w:abstractNum w:abstractNumId="25">
    <w:nsid w:val="2A155DBC"/>
    <w:multiLevelType w:val="hybridMultilevel"/>
    <w:lvl w:ilvl="0">
      <w:lvlJc w:val="left"/>
      <w:lvlText w:val="(%1)"/>
      <w:numFmt w:val="lowerLetter"/>
      <w:start w:val="3"/>
    </w:lvl>
  </w:abstractNum>
  <w:abstractNum w:abstractNumId="26">
    <w:nsid w:val="1D9F6E5F"/>
    <w:multiLevelType w:val="hybridMultilevel"/>
    <w:lvl w:ilvl="0">
      <w:lvlJc w:val="left"/>
      <w:lvlText w:val="%1"/>
      <w:numFmt w:val="lowerLetter"/>
      <w:start w:val="1"/>
    </w:lvl>
    <w:lvl w:ilvl="1">
      <w:lvlJc w:val="left"/>
      <w:lvlText w:val="(%2)"/>
      <w:numFmt w:val="lowerLetter"/>
      <w:start w:val="6"/>
    </w:lvl>
  </w:abstractNum>
  <w:abstractNum w:abstractNumId="27">
    <w:nsid w:val="97E1B4E"/>
    <w:multiLevelType w:val="hybridMultilevel"/>
    <w:lvl w:ilvl="0">
      <w:lvlJc w:val="left"/>
      <w:lvlText w:val="(%1)"/>
      <w:numFmt w:val="lowerLetter"/>
      <w:start w:val="35"/>
    </w:lvl>
    <w:lvl w:ilvl="1">
      <w:lvlJc w:val="left"/>
      <w:lvlText w:val="(%2)"/>
      <w:numFmt w:val="lowerLetter"/>
      <w:start w:val="7"/>
    </w:lvl>
  </w:abstractNum>
  <w:abstractNum w:abstractNumId="28">
    <w:nsid w:val="51088277"/>
    <w:multiLevelType w:val="hybridMultilevel"/>
    <w:lvl w:ilvl="0">
      <w:lvlJc w:val="left"/>
      <w:lvlText w:val="(%1)"/>
      <w:numFmt w:val="lowerLetter"/>
      <w:start w:val="8"/>
    </w:lvl>
  </w:abstractNum>
  <w:abstractNum w:abstractNumId="29">
    <w:nsid w:val="1CA0C5FA"/>
    <w:multiLevelType w:val="hybridMultilevel"/>
    <w:lvl w:ilvl="0">
      <w:lvlJc w:val="left"/>
      <w:lvlText w:val="(%1)"/>
      <w:numFmt w:val="lowerLetter"/>
      <w:start w:val="11"/>
    </w:lvl>
  </w:abstractNum>
  <w:abstractNum w:abstractNumId="30">
    <w:nsid w:val="53584BCB"/>
    <w:multiLevelType w:val="hybridMultilevel"/>
    <w:lvl w:ilvl="0">
      <w:lvlJc w:val="left"/>
      <w:lvlText w:val="(%1)"/>
      <w:numFmt w:val="lowerLetter"/>
      <w:start w:val="1"/>
    </w:lvl>
  </w:abstractNum>
  <w:abstractNum w:abstractNumId="31">
    <w:nsid w:val="415E286C"/>
    <w:multiLevelType w:val="hybridMultilevel"/>
    <w:lvl w:ilvl="0">
      <w:lvlJc w:val="left"/>
      <w:lvlText w:val="(%1)"/>
      <w:numFmt w:val="lowerLetter"/>
      <w:start w:val="1"/>
    </w:lvl>
    <w:lvl w:ilvl="1">
      <w:lvlJc w:val="left"/>
      <w:lvlText w:val="(%2)"/>
      <w:numFmt w:val="lowerRoman"/>
      <w:start w:val="1"/>
    </w:lvl>
  </w:abstractNum>
  <w:abstractNum w:abstractNumId="32">
    <w:nsid w:val="7C58FD05"/>
    <w:multiLevelType w:val="hybridMultilevel"/>
    <w:lvl w:ilvl="0">
      <w:lvlJc w:val="left"/>
      <w:lvlText w:val="(%1)"/>
      <w:numFmt w:val="lowerLetter"/>
      <w:start w:val="61"/>
    </w:lvl>
    <w:lvl w:ilvl="1">
      <w:lvlJc w:val="left"/>
      <w:lvlText w:val="(%2)"/>
      <w:numFmt w:val="lowerRoman"/>
      <w:start w:val="2"/>
    </w:lvl>
  </w:abstractNum>
  <w:abstractNum w:abstractNumId="33">
    <w:nsid w:val="23D86AAC"/>
    <w:multiLevelType w:val="hybridMultilevel"/>
    <w:lvl w:ilvl="0">
      <w:lvlJc w:val="left"/>
      <w:lvlText w:val="(%1)"/>
      <w:numFmt w:val="lowerLetter"/>
      <w:start w:val="4"/>
    </w:lvl>
  </w:abstractNum>
  <w:abstractNum w:abstractNumId="34">
    <w:nsid w:val="45E6D486"/>
    <w:multiLevelType w:val="hybridMultilevel"/>
    <w:lvl w:ilvl="0">
      <w:lvlJc w:val="left"/>
      <w:lvlText w:val="(%1)"/>
      <w:numFmt w:val="lowerLetter"/>
      <w:start w:val="2"/>
    </w:lvl>
  </w:abstractNum>
  <w:abstractNum w:abstractNumId="35">
    <w:nsid w:val="5C10FE21"/>
    <w:multiLevelType w:val="hybridMultilevel"/>
    <w:lvl w:ilvl="0">
      <w:lvlJc w:val="left"/>
      <w:lvlText w:val="(%1)"/>
      <w:numFmt w:val="lowerLetter"/>
      <w:start w:val="1"/>
    </w:lvl>
  </w:abstractNum>
  <w:abstractNum w:abstractNumId="36">
    <w:nsid w:val="E7FFA2B"/>
    <w:multiLevelType w:val="hybridMultilevel"/>
    <w:lvl w:ilvl="0">
      <w:lvlJc w:val="left"/>
      <w:lvlText w:val="(%1)"/>
      <w:numFmt w:val="lowerLetter"/>
      <w:start w:val="4"/>
    </w:lvl>
  </w:abstractNum>
  <w:abstractNum w:abstractNumId="37">
    <w:nsid w:val="3C5991AA"/>
    <w:multiLevelType w:val="hybridMultilevel"/>
    <w:lvl w:ilvl="0">
      <w:lvlJc w:val="left"/>
      <w:lvlText w:val="%1"/>
      <w:numFmt w:val="decimal"/>
      <w:start w:val="1"/>
    </w:lvl>
    <w:lvl w:ilvl="1">
      <w:lvlJc w:val="left"/>
      <w:lvlText w:val="(%2)"/>
      <w:numFmt w:val="lowerLetter"/>
      <w:start w:val="1"/>
    </w:lvl>
  </w:abstractNum>
  <w:abstractNum w:abstractNumId="38">
    <w:nsid w:val="4BD8591A"/>
    <w:multiLevelType w:val="hybridMultilevel"/>
    <w:lvl w:ilvl="0">
      <w:lvlJc w:val="left"/>
      <w:lvlText w:val="(%1)"/>
      <w:numFmt w:val="decimal"/>
      <w:start w:val="3"/>
    </w:lvl>
    <w:lvl w:ilvl="1">
      <w:lvlJc w:val="left"/>
      <w:lvlText w:val="%2"/>
      <w:numFmt w:val="lowerLetter"/>
      <w:start w:val="1"/>
    </w:lvl>
  </w:abstractNum>
  <w:abstractNum w:abstractNumId="39">
    <w:nsid w:val="78DF6A55"/>
    <w:multiLevelType w:val="hybridMultilevel"/>
    <w:lvl w:ilvl="0">
      <w:lvlJc w:val="left"/>
      <w:lvlText w:val="(%1)"/>
      <w:numFmt w:val="lowerLetter"/>
      <w:start w:val="1"/>
    </w:lvl>
  </w:abstractNum>
  <w:abstractNum w:abstractNumId="40">
    <w:nsid w:val="39B7AAA2"/>
    <w:multiLevelType w:val="hybridMultilevel"/>
    <w:lvl w:ilvl="0">
      <w:lvlJc w:val="left"/>
      <w:lvlText w:val="(%1)"/>
      <w:numFmt w:val="lowerLetter"/>
      <w:start w:val="1"/>
    </w:lvl>
  </w:abstractNum>
  <w:abstractNum w:abstractNumId="41">
    <w:nsid w:val="2B0D8DBE"/>
    <w:multiLevelType w:val="hybridMultilevel"/>
    <w:lvl w:ilvl="0">
      <w:lvlJc w:val="left"/>
      <w:lvlText w:val="(%1)"/>
      <w:numFmt w:val="lowerLetter"/>
      <w:start w:val="3"/>
    </w:lvl>
  </w:abstractNum>
  <w:abstractNum w:abstractNumId="42">
    <w:nsid w:val="6C80EC70"/>
    <w:multiLevelType w:val="hybridMultilevel"/>
    <w:lvl w:ilvl="0">
      <w:lvlJc w:val="left"/>
      <w:lvlText w:val="(%1)"/>
      <w:numFmt w:val="lowerLetter"/>
      <w:start w:val="1"/>
    </w:lvl>
    <w:lvl w:ilvl="1">
      <w:lvlJc w:val="left"/>
      <w:lvlText w:val="(%2)"/>
      <w:numFmt w:val="lowerRoman"/>
      <w:start w:val="1"/>
    </w:lvl>
  </w:abstractNum>
  <w:abstractNum w:abstractNumId="43">
    <w:nsid w:val="379E21B5"/>
    <w:multiLevelType w:val="hybridMultilevel"/>
    <w:lvl w:ilvl="0">
      <w:lvlJc w:val="left"/>
      <w:lvlText w:val="(%1)"/>
      <w:numFmt w:val="lowerLetter"/>
      <w:start w:val="2"/>
    </w:lvl>
  </w:abstractNum>
  <w:abstractNum w:abstractNumId="44">
    <w:nsid w:val="69E373"/>
    <w:multiLevelType w:val="hybridMultilevel"/>
    <w:lvl w:ilvl="0">
      <w:lvlJc w:val="left"/>
      <w:lvlText w:val="(%1)"/>
      <w:numFmt w:val="lowerLetter"/>
      <w:start w:val="1"/>
    </w:lvl>
    <w:lvl w:ilvl="1">
      <w:lvlJc w:val="left"/>
      <w:lvlText w:val="(%2)"/>
      <w:numFmt w:val="lowerRoman"/>
      <w:start w:val="1"/>
    </w:lvl>
  </w:abstractNum>
  <w:abstractNum w:abstractNumId="45">
    <w:nsid w:val="2C27173B"/>
    <w:multiLevelType w:val="hybridMultilevel"/>
    <w:lvl w:ilvl="0">
      <w:lvlJc w:val="left"/>
      <w:lvlText w:val="(%1)"/>
      <w:numFmt w:val="lowerLetter"/>
      <w:start w:val="2"/>
    </w:lvl>
  </w:abstractNum>
  <w:abstractNum w:abstractNumId="46">
    <w:nsid w:val="4C9B0904"/>
    <w:multiLevelType w:val="hybridMultilevel"/>
    <w:lvl w:ilvl="0">
      <w:lvlJc w:val="left"/>
      <w:lvlText w:val="(%1)"/>
      <w:numFmt w:val="lowerLetter"/>
      <w:start w:val="3"/>
    </w:lvl>
  </w:abstractNum>
  <w:abstractNum w:abstractNumId="47">
    <w:nsid w:val="6AA7B75C"/>
    <w:multiLevelType w:val="hybridMultilevel"/>
    <w:lvl w:ilvl="0">
      <w:lvlJc w:val="left"/>
      <w:lvlText w:val="(%1)"/>
      <w:numFmt w:val="lowerLetter"/>
      <w:start w:val="1"/>
    </w:lvl>
  </w:abstractNum>
  <w:abstractNum w:abstractNumId="48">
    <w:nsid w:val="1DF029D3"/>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9">
    <w:nsid w:val="5675FF36"/>
    <w:multiLevelType w:val="hybridMultilevel"/>
    <w:lvl w:ilvl="0">
      <w:lvlJc w:val="left"/>
      <w:lvlText w:val="%1"/>
      <w:numFmt w:val="upperLetter"/>
      <w:start w:val="1"/>
    </w:lvl>
    <w:lvl w:ilvl="1">
      <w:lvlJc w:val="left"/>
      <w:lvlText w:val="(%2)"/>
      <w:numFmt w:val="decimal"/>
      <w:start w:val="4"/>
    </w:lvl>
  </w:abstractNum>
  <w:abstractNum w:abstractNumId="50">
    <w:nsid w:val="3DD15094"/>
    <w:multiLevelType w:val="hybridMultilevel"/>
    <w:lvl w:ilvl="0">
      <w:lvlJc w:val="left"/>
      <w:lvlText w:val="(%1)"/>
      <w:numFmt w:val="upperLetter"/>
      <w:start w:val="3"/>
    </w:lvl>
    <w:lvl w:ilvl="1">
      <w:lvlJc w:val="left"/>
      <w:lvlText w:val="%2"/>
      <w:numFmt w:val="decimal"/>
      <w:start w:val="1"/>
    </w:lvl>
  </w:abstractNum>
  <w:abstractNum w:abstractNumId="51">
    <w:nsid w:val="3DB012B3"/>
    <w:multiLevelType w:val="hybridMultilevel"/>
    <w:lvl w:ilvl="0">
      <w:lvlJc w:val="left"/>
      <w:lvlText w:val="(%1)"/>
      <w:numFmt w:val="lowerLetter"/>
      <w:start w:val="7"/>
    </w:lvl>
  </w:abstractNum>
  <w:abstractNum w:abstractNumId="52">
    <w:nsid w:val="2708C9AF"/>
    <w:multiLevelType w:val="hybridMultilevel"/>
    <w:lvl w:ilvl="0">
      <w:lvlJc w:val="left"/>
      <w:lvlText w:val="(%1)"/>
      <w:numFmt w:val="lowerLetter"/>
      <w:start w:val="7"/>
    </w:lvl>
    <w:lvl w:ilvl="1">
      <w:lvlJc w:val="left"/>
      <w:lvlText w:val="(%2)"/>
      <w:numFmt w:val="lowerLetter"/>
      <w:start w:val="8"/>
    </w:lvl>
  </w:abstractNum>
  <w:abstractNum w:abstractNumId="53">
    <w:nsid w:val="5B25ACE2"/>
    <w:multiLevelType w:val="hybridMultilevel"/>
    <w:lvl w:ilvl="0">
      <w:lvlJc w:val="left"/>
      <w:lvlText w:val="(%1)"/>
      <w:numFmt w:val="lowerLetter"/>
      <w:start w:val="1"/>
    </w:lvl>
  </w:abstractNum>
  <w:abstractNum w:abstractNumId="54">
    <w:nsid w:val="175DFCF0"/>
    <w:multiLevelType w:val="hybridMultilevel"/>
    <w:lvl w:ilvl="0">
      <w:lvlJc w:val="left"/>
      <w:lvlText w:val="(%1)"/>
      <w:numFmt w:val="lowerLetter"/>
      <w:start w:val="1"/>
    </w:lvl>
  </w:abstractNum>
  <w:abstractNum w:abstractNumId="55">
    <w:nsid w:val="4F97E3E4"/>
    <w:multiLevelType w:val="hybridMultilevel"/>
    <w:lvl w:ilvl="0">
      <w:lvlJc w:val="left"/>
      <w:lvlText w:val="(%1)"/>
      <w:numFmt w:val="lowerLetter"/>
      <w:start w:val="3"/>
    </w:lvl>
  </w:abstractNum>
  <w:abstractNum w:abstractNumId="56">
    <w:nsid w:val="53B0A9E"/>
    <w:multiLevelType w:val="hybridMultilevel"/>
    <w:lvl w:ilvl="0">
      <w:lvlJc w:val="left"/>
      <w:lvlText w:val="(%1)"/>
      <w:numFmt w:val="lowerLetter"/>
      <w:start w:val="6"/>
    </w:lvl>
  </w:abstractNum>
  <w:abstractNum w:abstractNumId="57">
    <w:nsid w:val="34FD6B4F"/>
    <w:multiLevelType w:val="hybridMultilevel"/>
    <w:lvl w:ilvl="0">
      <w:lvlJc w:val="left"/>
      <w:lvlText w:val="(%1)"/>
      <w:numFmt w:val="lowerLetter"/>
      <w:start w:val="1"/>
    </w:lvl>
  </w:abstractNum>
  <w:abstractNum w:abstractNumId="58">
    <w:nsid w:val="5915FF32"/>
    <w:multiLevelType w:val="hybridMultilevel"/>
    <w:lvl w:ilvl="0">
      <w:lvlJc w:val="left"/>
      <w:lvlText w:val="(%1)"/>
      <w:numFmt w:val="lowerLetter"/>
      <w:start w:val="1"/>
    </w:lvl>
    <w:lvl w:ilvl="1">
      <w:lvlJc w:val="left"/>
      <w:lvlText w:val="(%2)"/>
      <w:numFmt w:val="lowerRoman"/>
      <w:start w:val="1"/>
    </w:lvl>
  </w:abstractNum>
  <w:abstractNum w:abstractNumId="59">
    <w:nsid w:val="56438D15"/>
    <w:multiLevelType w:val="hybridMultilevel"/>
    <w:lvl w:ilvl="0">
      <w:lvlJc w:val="left"/>
      <w:lvlText w:val="%1"/>
      <w:numFmt w:val="lowerLetter"/>
      <w:start w:val="1"/>
    </w:lvl>
    <w:lvl w:ilvl="1">
      <w:lvlJc w:val="left"/>
      <w:lvlText w:val="(%2)"/>
      <w:numFmt w:val="lowerRoman"/>
      <w:start w:val="3"/>
    </w:lvl>
  </w:abstractNum>
  <w:abstractNum w:abstractNumId="60">
    <w:nsid w:val="519E3149"/>
    <w:multiLevelType w:val="hybridMultilevel"/>
    <w:lvl w:ilvl="0">
      <w:lvlJc w:val="left"/>
      <w:lvlText w:val="(%1)"/>
      <w:numFmt w:val="lowerLetter"/>
      <w:start w:val="4"/>
    </w:lvl>
    <w:lvl w:ilvl="1">
      <w:lvlJc w:val="left"/>
      <w:lvlText w:val="%2"/>
      <w:numFmt w:val="lowerRoman"/>
      <w:start w:val="1"/>
    </w:lvl>
  </w:abstractNum>
  <w:abstractNum w:abstractNumId="61">
    <w:nsid w:val="2C6E4AFD"/>
    <w:multiLevelType w:val="hybridMultilevel"/>
    <w:lvl w:ilvl="0">
      <w:lvlJc w:val="left"/>
      <w:lvlText w:val="(%1)"/>
      <w:numFmt w:val="lowerLetter"/>
      <w:start w:val="1"/>
    </w:lvl>
    <w:lvl w:ilvl="1">
      <w:lvlJc w:val="left"/>
      <w:lvlText w:val="(%2)"/>
      <w:numFmt w:val="lowerRoman"/>
      <w:start w:val="1"/>
    </w:lvl>
  </w:abstractNum>
  <w:abstractNum w:abstractNumId="62">
    <w:nsid w:val="17A1B582"/>
    <w:multiLevelType w:val="hybridMultilevel"/>
    <w:lvl w:ilvl="0">
      <w:lvlJc w:val="left"/>
      <w:lvlText w:val="(%1)"/>
      <w:numFmt w:val="lowerLetter"/>
      <w:start w:val="2"/>
    </w:lvl>
    <w:lvl w:ilvl="1">
      <w:lvlJc w:val="left"/>
      <w:lvlText w:val="(%2)"/>
      <w:numFmt w:val="lowerRoman"/>
      <w:start w:val="1"/>
    </w:lvl>
  </w:abstractNum>
  <w:abstractNum w:abstractNumId="63">
    <w:nsid w:val="4DF72E4E"/>
    <w:multiLevelType w:val="hybridMultilevel"/>
    <w:lvl w:ilvl="0">
      <w:lvlJc w:val="left"/>
      <w:lvlText w:val="(%1)"/>
      <w:numFmt w:val="lowerLetter"/>
      <w:start w:val="24"/>
    </w:lvl>
    <w:lvl w:ilvl="1">
      <w:lvlJc w:val="left"/>
      <w:lvlText w:val="(%2)"/>
      <w:numFmt w:val="lowerRoman"/>
      <w:start w:val="2"/>
    </w:lvl>
  </w:abstractNum>
  <w:abstractNum w:abstractNumId="64">
    <w:nsid w:val="5046B5A9"/>
    <w:multiLevelType w:val="hybridMultilevel"/>
    <w:lvl w:ilvl="0">
      <w:lvlJc w:val="left"/>
      <w:lvlText w:val="(%1)"/>
      <w:numFmt w:val="lowerLetter"/>
      <w:start w:val="1"/>
    </w:lvl>
  </w:abstractNum>
  <w:abstractNum w:abstractNumId="65">
    <w:nsid w:val="5D888A08"/>
    <w:multiLevelType w:val="hybridMultilevel"/>
    <w:lvl w:ilvl="0">
      <w:lvlJc w:val="left"/>
      <w:lvlText w:val="(%1)"/>
      <w:numFmt w:val="lowerLetter"/>
      <w:start w:val="2"/>
    </w:lvl>
  </w:abstractNum>
  <w:abstractNum w:abstractNumId="66">
    <w:nsid w:val="2A082C70"/>
    <w:multiLevelType w:val="hybridMultilevel"/>
    <w:lvl w:ilvl="0">
      <w:lvlJc w:val="left"/>
      <w:lvlText w:val="(%1)"/>
      <w:numFmt w:val="lowerLetter"/>
      <w:start w:val="1"/>
    </w:lvl>
    <w:lvl w:ilvl="1">
      <w:lvlJc w:val="left"/>
      <w:lvlText w:val="(%2)"/>
      <w:numFmt w:val="lowerRoman"/>
      <w:start w:val="1"/>
    </w:lvl>
  </w:abstractNum>
  <w:abstractNum w:abstractNumId="67">
    <w:nsid w:val="5EC6AFD4"/>
    <w:multiLevelType w:val="hybridMultilevel"/>
    <w:lvl w:ilvl="0">
      <w:lvlJc w:val="left"/>
      <w:lvlText w:val="%1"/>
      <w:numFmt w:val="lowerLetter"/>
      <w:start w:val="1"/>
    </w:lvl>
    <w:lvl w:ilvl="1">
      <w:lvlJc w:val="left"/>
      <w:lvlText w:val="(%2)"/>
      <w:numFmt w:val="lowerLetter"/>
      <w:start w:val="4"/>
    </w:lvl>
  </w:abstractNum>
  <w:abstractNum w:abstractNumId="68">
    <w:nsid w:val="19E21BB2"/>
    <w:multiLevelType w:val="hybridMultilevel"/>
    <w:lvl w:ilvl="0">
      <w:lvlJc w:val="left"/>
      <w:lvlText w:val="(%1)"/>
      <w:numFmt w:val="lowerLetter"/>
      <w:start w:val="61"/>
    </w:lvl>
    <w:lvl w:ilvl="1">
      <w:lvlJc w:val="left"/>
      <w:lvlText w:val="%2"/>
      <w:numFmt w:val="lowerLetter"/>
      <w:start w:val="1"/>
    </w:lvl>
  </w:abstractNum>
  <w:abstractNum w:abstractNumId="69">
    <w:nsid w:val="75E0858A"/>
    <w:multiLevelType w:val="hybridMultilevel"/>
    <w:lvl w:ilvl="0">
      <w:lvlJc w:val="left"/>
      <w:lvlText w:val="(%1)"/>
      <w:numFmt w:val="lowerLetter"/>
      <w:start w:val="3"/>
    </w:lvl>
    <w:lvl w:ilvl="1">
      <w:lvlJc w:val="left"/>
      <w:lvlText w:val="%2"/>
      <w:numFmt w:val="lowerLetter"/>
      <w:start w:val="1"/>
    </w:lvl>
  </w:abstractNum>
  <w:abstractNum w:abstractNumId="70">
    <w:nsid w:val="57A61A29"/>
    <w:multiLevelType w:val="hybridMultilevel"/>
    <w:lvl w:ilvl="0">
      <w:lvlJc w:val="left"/>
      <w:lvlText w:val="(%1)"/>
      <w:numFmt w:val="lowerLetter"/>
      <w:start w:val="1"/>
    </w:lvl>
  </w:abstractNum>
  <w:abstractNum w:abstractNumId="71">
    <w:nsid w:val="5399C654"/>
    <w:multiLevelType w:val="hybridMultilevel"/>
    <w:lvl w:ilvl="0">
      <w:lvlJc w:val="left"/>
      <w:lvlText w:val="(%1)"/>
      <w:numFmt w:val="lowerLetter"/>
      <w:start w:val="1"/>
    </w:lvl>
  </w:abstractNum>
  <w:abstractNum w:abstractNumId="72">
    <w:nsid w:val="20EE1348"/>
    <w:multiLevelType w:val="hybridMultilevel"/>
    <w:lvl w:ilvl="0">
      <w:lvlJc w:val="left"/>
      <w:lvlText w:val="%1"/>
      <w:numFmt w:val="lowerLetter"/>
      <w:start w:val="1"/>
    </w:lvl>
    <w:lvl w:ilvl="1">
      <w:lvlJc w:val="left"/>
      <w:lvlText w:val="(%2)"/>
      <w:numFmt w:val="lowerLetter"/>
      <w:start w:val="1"/>
    </w:lvl>
  </w:abstractNum>
  <w:abstractNum w:abstractNumId="73">
    <w:nsid w:val="4427069A"/>
    <w:multiLevelType w:val="hybridMultilevel"/>
    <w:lvl w:ilvl="0">
      <w:lvlJc w:val="left"/>
      <w:lvlText w:val="(%1)"/>
      <w:numFmt w:val="lowerLetter"/>
      <w:start w:val="35"/>
    </w:lvl>
    <w:lvl w:ilvl="1">
      <w:lvlJc w:val="left"/>
      <w:lvlText w:val="(%2)"/>
      <w:numFmt w:val="lowerLetter"/>
      <w:start w:val="2"/>
    </w:lvl>
  </w:abstractNum>
  <w:abstractNum w:abstractNumId="74">
    <w:nsid w:val="B37E80A"/>
    <w:multiLevelType w:val="hybridMultilevel"/>
    <w:lvl w:ilvl="0">
      <w:lvlJc w:val="left"/>
      <w:lvlText w:val="(%1)"/>
      <w:numFmt w:val="lowerLetter"/>
      <w:start w:val="1"/>
    </w:lvl>
  </w:abstractNum>
  <w:abstractNum w:abstractNumId="75">
    <w:nsid w:val="2157F6BC"/>
    <w:multiLevelType w:val="hybridMultilevel"/>
    <w:lvl w:ilvl="0">
      <w:lvlJc w:val="left"/>
      <w:lvlText w:val="(%1)"/>
      <w:numFmt w:val="lowerLetter"/>
      <w:start w:val="1"/>
    </w:lvl>
  </w:abstractNum>
  <w:abstractNum w:abstractNumId="76">
    <w:nsid w:val="704E1DD5"/>
    <w:multiLevelType w:val="hybridMultilevel"/>
    <w:lvl w:ilvl="0">
      <w:lvlJc w:val="left"/>
      <w:lvlText w:val="(%1)"/>
      <w:numFmt w:val="lowerLetter"/>
      <w:start w:val="3"/>
    </w:lvl>
  </w:abstractNum>
  <w:abstractNum w:abstractNumId="77">
    <w:nsid w:val="57D2F10E"/>
    <w:multiLevelType w:val="hybridMultilevel"/>
    <w:lvl w:ilvl="0">
      <w:lvlJc w:val="left"/>
      <w:lvlText w:val="(%1)"/>
      <w:numFmt w:val="lowerLetter"/>
      <w:start w:val="1"/>
    </w:lvl>
  </w:abstractNum>
  <w:abstractNum w:abstractNumId="78">
    <w:nsid w:val="BFFAE18"/>
    <w:multiLevelType w:val="hybridMultilevel"/>
    <w:lvl w:ilvl="0">
      <w:lvlJc w:val="left"/>
      <w:lvlText w:val="(%1)"/>
      <w:numFmt w:val="lowerLetter"/>
      <w:start w:val="2"/>
    </w:lvl>
  </w:abstractNum>
  <w:abstractNum w:abstractNumId="79">
    <w:nsid w:val="E3E47A8"/>
    <w:multiLevelType w:val="hybridMultilevel"/>
    <w:lvl w:ilvl="0">
      <w:lvlJc w:val="left"/>
      <w:lvlText w:val="(%1)"/>
      <w:numFmt w:val="lowerLetter"/>
      <w:start w:val="1"/>
    </w:lvl>
  </w:abstractNum>
  <w:abstractNum w:abstractNumId="80">
    <w:nsid w:val="2E48F044"/>
    <w:multiLevelType w:val="hybridMultilevel"/>
    <w:lvl w:ilvl="0">
      <w:lvlJc w:val="left"/>
      <w:lvlText w:val="(%1)"/>
      <w:numFmt w:val="lowerLetter"/>
      <w:start w:val="1"/>
    </w:lvl>
  </w:abstractNum>
  <w:abstractNum w:abstractNumId="81">
    <w:nsid w:val="49D0FEAC"/>
    <w:multiLevelType w:val="hybridMultilevel"/>
    <w:lvl w:ilvl="0">
      <w:lvlJc w:val="left"/>
      <w:lvlText w:val="(%1)"/>
      <w:numFmt w:val="lowerLetter"/>
      <w:start w:val="1"/>
    </w:lvl>
  </w:abstractNum>
  <w:abstractNum w:abstractNumId="82">
    <w:nsid w:val="4BEE5A5B"/>
    <w:multiLevelType w:val="hybridMultilevel"/>
    <w:lvl w:ilvl="0">
      <w:lvlJc w:val="left"/>
      <w:lvlText w:val="(%1)"/>
      <w:numFmt w:val="lowerLetter"/>
      <w:start w:val="1"/>
    </w:lvl>
  </w:abstractNum>
  <w:abstractNum w:abstractNumId="83">
    <w:nsid w:val="5551B9F3"/>
    <w:multiLevelType w:val="hybridMultilevel"/>
    <w:lvl w:ilvl="0">
      <w:lvlJc w:val="left"/>
      <w:lvlText w:val="(%1)"/>
      <w:numFmt w:val="lowerLetter"/>
      <w:start w:val="61"/>
    </w:lvl>
    <w:lvl w:ilvl="1">
      <w:lvlJc w:val="left"/>
      <w:lvlText w:val="(%2)"/>
      <w:numFmt w:val="lowerLetter"/>
      <w:start w:val="3"/>
    </w:lvl>
  </w:abstractNum>
  <w:abstractNum w:abstractNumId="84">
    <w:nsid w:val="24F6AB8E"/>
    <w:multiLevelType w:val="hybridMultilevel"/>
    <w:lvl w:ilvl="0">
      <w:lvlJc w:val="left"/>
      <w:lvlText w:val="(%1)"/>
      <w:numFmt w:val="lowerLetter"/>
      <w:start w:val="1"/>
    </w:lvl>
  </w:abstractNum>
  <w:abstractNum w:abstractNumId="85">
    <w:nsid w:val="634C574C"/>
    <w:multiLevelType w:val="hybridMultilevel"/>
    <w:lvl w:ilvl="0">
      <w:lvlJc w:val="left"/>
      <w:lvlText w:val="%1"/>
      <w:numFmt w:val="upperLetter"/>
      <w:start w:val="1"/>
    </w:lvl>
    <w:lvl w:ilvl="1">
      <w:lvlJc w:val="left"/>
      <w:lvlText w:val="(%2)"/>
      <w:numFmt w:val="lowerLetter"/>
      <w:start w:val="3"/>
    </w:lvl>
  </w:abstractNum>
  <w:abstractNum w:abstractNumId="86">
    <w:nsid w:val="24E99DD7"/>
    <w:multiLevelType w:val="hybridMultilevel"/>
    <w:lvl w:ilvl="0">
      <w:lvlJc w:val="left"/>
      <w:lvlText w:val="(%1)"/>
      <w:numFmt w:val="upperLetter"/>
      <w:start w:val="1"/>
    </w:lvl>
    <w:lvl w:ilvl="1">
      <w:lvlJc w:val="left"/>
      <w:lvlText w:val="(%2)"/>
      <w:numFmt w:val="lowerLetter"/>
      <w:start w:val="4"/>
    </w:lvl>
  </w:abstractNum>
  <w:abstractNum w:abstractNumId="87">
    <w:nsid w:val="2A31B62D"/>
    <w:multiLevelType w:val="hybridMultilevel"/>
    <w:lvl w:ilvl="0">
      <w:lvlJc w:val="left"/>
      <w:lvlText w:val="(%1)"/>
      <w:numFmt w:val="lowerLetter"/>
      <w:start w:val="9"/>
    </w:lvl>
    <w:lvl w:ilvl="1">
      <w:lvlJc w:val="left"/>
      <w:lvlText w:val="(%2)"/>
      <w:numFmt w:val="lowerRoman"/>
      <w:start w:val="1"/>
    </w:lvl>
  </w:abstractNum>
  <w:abstractNum w:abstractNumId="88">
    <w:nsid w:val="1849C29B"/>
    <w:multiLevelType w:val="hybridMultilevel"/>
    <w:lvl w:ilvl="0">
      <w:lvlJc w:val="left"/>
      <w:lvlText w:val="(%1)"/>
      <w:numFmt w:val="lowerLetter"/>
      <w:start w:val="1"/>
    </w:lvl>
  </w:abstractNum>
  <w:abstractNum w:abstractNumId="89">
    <w:nsid w:val="7DFF9D09"/>
    <w:multiLevelType w:val="hybridMultilevel"/>
    <w:lvl w:ilvl="0">
      <w:lvlJc w:val="left"/>
      <w:lvlText w:val="(%1)"/>
      <w:numFmt w:val="lowerLetter"/>
      <w:start w:val="1"/>
    </w:lvl>
  </w:abstractNum>
  <w:abstractNum w:abstractNumId="90">
    <w:nsid w:val="754342"/>
    <w:multiLevelType w:val="hybridMultilevel"/>
    <w:lvl w:ilvl="0">
      <w:lvlJc w:val="left"/>
      <w:lvlText w:val="(%1)"/>
      <w:numFmt w:val="lowerLetter"/>
      <w:start w:val="3"/>
    </w:lvl>
  </w:abstractNum>
  <w:abstractNum w:abstractNumId="91">
    <w:nsid w:val="69E7F3E5"/>
    <w:multiLevelType w:val="hybridMultilevel"/>
    <w:lvl w:ilvl="0">
      <w:lvlJc w:val="left"/>
      <w:lvlText w:val="(%1)"/>
      <w:numFmt w:val="lowerLetter"/>
      <w:start w:val="1"/>
    </w:lvl>
  </w:abstractNum>
  <w:abstractNum w:abstractNumId="92">
    <w:nsid w:val="2A6DE806"/>
    <w:multiLevelType w:val="hybridMultilevel"/>
    <w:lvl w:ilvl="0">
      <w:lvlJc w:val="left"/>
      <w:lvlText w:val="(%1)"/>
      <w:numFmt w:val="lowerLetter"/>
      <w:start w:val="3"/>
    </w:lvl>
  </w:abstractNum>
  <w:abstractNum w:abstractNumId="93">
    <w:nsid w:val="1816F8C4"/>
    <w:multiLevelType w:val="hybridMultilevel"/>
    <w:lvl w:ilvl="0">
      <w:lvlJc w:val="left"/>
      <w:lvlText w:val="(%1)"/>
      <w:numFmt w:val="lowerRoman"/>
      <w:start w:val="2"/>
    </w:lvl>
  </w:abstractNum>
  <w:abstractNum w:abstractNumId="94">
    <w:nsid w:val="37DF2233"/>
    <w:multiLevelType w:val="hybridMultilevel"/>
    <w:lvl w:ilvl="0">
      <w:lvlJc w:val="left"/>
      <w:lvlText w:val="(%1)"/>
      <w:numFmt w:val="lowerLetter"/>
      <w:start w:val="1"/>
    </w:lvl>
  </w:abstractNum>
  <w:abstractNum w:abstractNumId="95">
    <w:nsid w:val="7AB49DAF"/>
    <w:multiLevelType w:val="hybridMultilevel"/>
    <w:lvl w:ilvl="0">
      <w:lvlJc w:val="left"/>
      <w:lvlText w:val="(%1)"/>
      <w:numFmt w:val="lowerLetter"/>
      <w:start w:val="1"/>
    </w:lvl>
  </w:abstractNum>
  <w:abstractNum w:abstractNumId="96">
    <w:nsid w:val="759F82CD"/>
    <w:multiLevelType w:val="hybridMultilevel"/>
    <w:lvl w:ilvl="0">
      <w:lvlJc w:val="left"/>
      <w:lvlText w:val="(%1)"/>
      <w:numFmt w:val="lowerLetter"/>
      <w:start w:val="1"/>
    </w:lvl>
  </w:abstractNum>
  <w:abstractNum w:abstractNumId="97">
    <w:nsid w:val="61E74EA3"/>
    <w:multiLevelType w:val="hybridMultilevel"/>
    <w:lvl w:ilvl="0">
      <w:lvlJc w:val="left"/>
      <w:lvlText w:val="(%1)"/>
      <w:numFmt w:val="lowerLetter"/>
      <w:start w:val="4"/>
    </w:lvl>
  </w:abstractNum>
  <w:abstractNum w:abstractNumId="98">
    <w:nsid w:val="597B4D84"/>
    <w:multiLevelType w:val="hybridMultilevel"/>
    <w:lvl w:ilvl="0">
      <w:lvlJc w:val="left"/>
      <w:lvlText w:val="(%1)"/>
      <w:numFmt w:val="lowerLetter"/>
      <w:start w:val="3"/>
    </w:lvl>
  </w:abstractNum>
  <w:abstractNum w:abstractNumId="99">
    <w:nsid w:val="F819E7F"/>
    <w:multiLevelType w:val="hybridMultilevel"/>
    <w:lvl w:ilvl="0">
      <w:lvlJc w:val="left"/>
      <w:lvlText w:val="%1"/>
      <w:numFmt w:val="lowerRoman"/>
      <w:start w:val="1"/>
    </w:lvl>
    <w:lvl w:ilvl="1">
      <w:lvlJc w:val="left"/>
      <w:lvlText w:val="(%2)"/>
      <w:numFmt w:val="lowerLetter"/>
      <w:start w:val="1"/>
    </w:lvl>
  </w:abstractNum>
  <w:abstractNum w:abstractNumId="100">
    <w:nsid w:val="57C7D42D"/>
    <w:multiLevelType w:val="hybridMultilevel"/>
    <w:lvl w:ilvl="0">
      <w:lvlJc w:val="left"/>
      <w:lvlText w:val="(%1)"/>
      <w:numFmt w:val="lowerRoman"/>
      <w:start w:val="1"/>
    </w:lvl>
    <w:lvl w:ilvl="1">
      <w:lvlJc w:val="left"/>
      <w:lvlText w:val="(%2)"/>
      <w:numFmt w:val="lowerLetter"/>
      <w:start w:val="4"/>
    </w:lvl>
  </w:abstractNum>
  <w:abstractNum w:abstractNumId="101">
    <w:nsid w:val="312167AD"/>
    <w:multiLevelType w:val="hybridMultilevel"/>
    <w:lvl w:ilvl="0">
      <w:lvlJc w:val="left"/>
      <w:lvlText w:val="(%1)"/>
      <w:numFmt w:val="lowerLetter"/>
      <w:start w:val="7"/>
    </w:lvl>
  </w:abstractNum>
  <w:abstractNum w:abstractNumId="102">
    <w:nsid w:val="631B64D4"/>
    <w:multiLevelType w:val="hybridMultilevel"/>
    <w:lvl w:ilvl="0">
      <w:lvlJc w:val="left"/>
      <w:lvlText w:val="(%1)"/>
      <w:numFmt w:val="lowerLetter"/>
      <w:start w:val="14"/>
    </w:lvl>
  </w:abstractNum>
  <w:abstractNum w:abstractNumId="103">
    <w:nsid w:val="78B5E776"/>
    <w:multiLevelType w:val="hybridMultilevel"/>
    <w:lvl w:ilvl="0">
      <w:lvlJc w:val="left"/>
      <w:lvlText w:val="%1"/>
      <w:numFmt w:val="lowerLetter"/>
      <w:start w:val="1"/>
    </w:lvl>
    <w:lvl w:ilvl="1">
      <w:lvlJc w:val="left"/>
      <w:lvlText w:val="(%2)"/>
      <w:numFmt w:val="lowerLetter"/>
      <w:start w:val="17"/>
    </w:lvl>
  </w:abstractNum>
  <w:abstractNum w:abstractNumId="104">
    <w:nsid w:val="75486E47"/>
    <w:multiLevelType w:val="hybridMultilevel"/>
    <w:lvl w:ilvl="0">
      <w:lvlJc w:val="left"/>
      <w:lvlText w:val="(%1)"/>
      <w:numFmt w:val="lowerLetter"/>
      <w:start w:val="6"/>
    </w:lvl>
    <w:lvl w:ilvl="1">
      <w:lvlJc w:val="left"/>
      <w:lvlText w:val="(%2)"/>
      <w:numFmt w:val="lowerLetter"/>
      <w:start w:val="20"/>
    </w:lvl>
  </w:abstractNum>
  <w:abstractNum w:abstractNumId="105">
    <w:nsid w:val="6E534CDE"/>
    <w:multiLevelType w:val="hybridMultilevel"/>
    <w:lvl w:ilvl="0">
      <w:lvlJc w:val="left"/>
      <w:lvlText w:val="%1"/>
      <w:numFmt w:val="lowerLetter"/>
      <w:start w:val="1"/>
    </w:lvl>
    <w:lvl w:ilvl="1">
      <w:lvlJc w:val="left"/>
      <w:lvlText w:val="(%2)"/>
      <w:numFmt w:val="lowerLetter"/>
      <w:start w:val="1"/>
    </w:lvl>
  </w:abstractNum>
  <w:abstractNum w:abstractNumId="106">
    <w:nsid w:val="1A0DDE32"/>
    <w:multiLevelType w:val="hybridMultilevel"/>
    <w:lvl w:ilvl="0">
      <w:lvlJc w:val="left"/>
      <w:lvlText w:val="(%1)"/>
      <w:numFmt w:val="lowerLetter"/>
      <w:start w:val="9"/>
    </w:lvl>
    <w:lvl w:ilvl="1">
      <w:lvlJc w:val="left"/>
      <w:lvlText w:val="%2"/>
      <w:numFmt w:val="lowerLetter"/>
      <w:start w:val="1"/>
    </w:lvl>
  </w:abstractNum>
  <w:abstractNum w:abstractNumId="107">
    <w:nsid w:val="65968C1C"/>
    <w:multiLevelType w:val="hybridMultilevel"/>
    <w:lvl w:ilvl="0">
      <w:lvlJc w:val="left"/>
      <w:lvlText w:val="(%1)"/>
      <w:numFmt w:val="lowerLetter"/>
      <w:start w:val="4"/>
    </w:lvl>
  </w:abstractNum>
  <w:abstractNum w:abstractNumId="108">
    <w:nsid w:val="46263DEC"/>
    <w:multiLevelType w:val="hybridMultilevel"/>
    <w:lvl w:ilvl="0">
      <w:lvlJc w:val="left"/>
      <w:lvlText w:val="(%1)"/>
      <w:numFmt w:val="lowerLetter"/>
      <w:start w:val="13"/>
    </w:lvl>
  </w:abstractNum>
  <w:abstractNum w:abstractNumId="109">
    <w:nsid w:val="260D8C4A"/>
    <w:multiLevelType w:val="hybridMultilevel"/>
    <w:lvl w:ilvl="0">
      <w:lvlJc w:val="left"/>
      <w:lvlText w:val="%1"/>
      <w:numFmt w:val="lowerLetter"/>
      <w:start w:val="1"/>
    </w:lvl>
    <w:lvl w:ilvl="1">
      <w:lvlJc w:val="left"/>
      <w:lvlText w:val="(%2)"/>
      <w:numFmt w:val="lowerLetter"/>
      <w:start w:val="1"/>
    </w:lvl>
  </w:abstractNum>
  <w:abstractNum w:abstractNumId="110">
    <w:nsid w:val="73D4D3C4"/>
    <w:multiLevelType w:val="hybridMultilevel"/>
    <w:lvl w:ilvl="0">
      <w:lvlJc w:val="left"/>
      <w:lvlText w:val="(%1)"/>
      <w:numFmt w:val="lowerLetter"/>
      <w:start w:val="61"/>
    </w:lvl>
    <w:lvl w:ilvl="1">
      <w:lvlJc w:val="left"/>
      <w:lvlText w:val="%2"/>
      <w:numFmt w:val="lowerLetter"/>
      <w:start w:val="1"/>
    </w:lvl>
  </w:abstractNum>
  <w:abstractNum w:abstractNumId="111">
    <w:nsid w:val="746F2E30"/>
    <w:multiLevelType w:val="hybridMultilevel"/>
    <w:lvl w:ilvl="0">
      <w:lvlJc w:val="left"/>
      <w:lvlText w:val="(%1)"/>
      <w:numFmt w:val="lowerLetter"/>
      <w:start w:val="2"/>
    </w:lvl>
  </w:abstractNum>
  <w:abstractNum w:abstractNumId="112">
    <w:nsid w:val="6FDE8AF6"/>
    <w:multiLevelType w:val="hybridMultilevel"/>
    <w:lvl w:ilvl="0">
      <w:lvlJc w:val="left"/>
      <w:lvlText w:val="(%1)"/>
      <w:numFmt w:val="lowerLetter"/>
      <w:start w:val="1"/>
    </w:lvl>
  </w:abstractNum>
  <w:abstractNum w:abstractNumId="113">
    <w:nsid w:val="3FC32E20"/>
    <w:multiLevelType w:val="hybridMultilevel"/>
    <w:lvl w:ilvl="0">
      <w:lvlJc w:val="left"/>
      <w:lvlText w:val="(%1)"/>
      <w:numFmt w:val="lowerLetter"/>
      <w:start w:val="6"/>
    </w:lvl>
  </w:abstractNum>
  <w:abstractNum w:abstractNumId="114">
    <w:nsid w:val="49C0E823"/>
    <w:multiLevelType w:val="hybridMultilevel"/>
    <w:lvl w:ilvl="0">
      <w:lvlJc w:val="left"/>
      <w:lvlText w:val="(%1)"/>
      <w:numFmt w:val="lowerLetter"/>
      <w:start w:val="17"/>
    </w:lvl>
  </w:abstractNum>
  <w:abstractNum w:abstractNumId="115">
    <w:nsid w:val="14D53685"/>
    <w:multiLevelType w:val="hybridMultilevel"/>
    <w:lvl w:ilvl="0">
      <w:lvlJc w:val="left"/>
      <w:lvlText w:val="(%1)"/>
      <w:numFmt w:val="lowerLetter"/>
      <w:start w:val="1"/>
    </w:lvl>
    <w:lvl w:ilvl="1">
      <w:lvlJc w:val="left"/>
      <w:lvlText w:val="(%2)"/>
      <w:numFmt w:val="lowerRoman"/>
      <w:start w:val="1"/>
    </w:lvl>
  </w:abstractNum>
  <w:abstractNum w:abstractNumId="116">
    <w:nsid w:val="230F856C"/>
    <w:multiLevelType w:val="hybridMultilevel"/>
    <w:lvl w:ilvl="0">
      <w:lvlJc w:val="left"/>
      <w:lvlText w:val="(%1)"/>
      <w:numFmt w:val="lowerLetter"/>
      <w:start w:val="2"/>
    </w:lvl>
  </w:abstractNum>
  <w:abstractNum w:abstractNumId="117">
    <w:nsid w:val="6EAA85FB"/>
    <w:multiLevelType w:val="hybridMultilevel"/>
    <w:lvl w:ilvl="0">
      <w:lvlJc w:val="left"/>
      <w:lvlText w:val="(%1)"/>
      <w:numFmt w:val="lowerLetter"/>
      <w:start w:val="1"/>
    </w:lvl>
    <w:lvl w:ilvl="1">
      <w:lvlJc w:val="left"/>
      <w:lvlText w:val="(%2)"/>
      <w:numFmt w:val="lowerRoman"/>
      <w:start w:val="1"/>
    </w:lvl>
  </w:abstractNum>
  <w:abstractNum w:abstractNumId="118">
    <w:nsid w:val="3F06ECB2"/>
    <w:multiLevelType w:val="hybridMultilevel"/>
    <w:lvl w:ilvl="0">
      <w:lvlJc w:val="left"/>
      <w:lvlText w:val="%1"/>
      <w:numFmt w:val="lowerLetter"/>
      <w:start w:val="1"/>
    </w:lvl>
    <w:lvl w:ilvl="1">
      <w:lvlJc w:val="left"/>
      <w:lvlText w:val="(%2)"/>
      <w:numFmt w:val="lowerRoman"/>
      <w:start w:val="5"/>
    </w:lvl>
  </w:abstractNum>
  <w:abstractNum w:abstractNumId="119">
    <w:nsid w:val="3B594807"/>
    <w:multiLevelType w:val="hybridMultilevel"/>
    <w:lvl w:ilvl="0">
      <w:lvlJc w:val="left"/>
      <w:lvlText w:val="(%1)"/>
      <w:numFmt w:val="lowerLetter"/>
      <w:start w:val="2"/>
    </w:lvl>
    <w:lvl w:ilvl="1">
      <w:lvlJc w:val="left"/>
      <w:lvlText w:val="(%2)"/>
      <w:numFmt w:val="lowerRoman"/>
      <w:start w:val="1"/>
    </w:lvl>
  </w:abstractNum>
  <w:abstractNum w:abstractNumId="120">
    <w:nsid w:val="6CAA2304"/>
    <w:multiLevelType w:val="hybridMultilevel"/>
    <w:lvl w:ilvl="0">
      <w:lvlJc w:val="left"/>
      <w:lvlText w:val="(%1)"/>
      <w:numFmt w:val="lowerLetter"/>
      <w:start w:val="4"/>
    </w:lvl>
  </w:abstractNum>
  <w:abstractNum w:abstractNumId="121">
    <w:nsid w:val="3F7C2FF4"/>
    <w:multiLevelType w:val="hybridMultilevel"/>
    <w:lvl w:ilvl="0">
      <w:lvlJc w:val="left"/>
      <w:lvlText w:val="(%1)"/>
      <w:numFmt w:val="lowerLetter"/>
      <w:start w:val="1"/>
    </w:lvl>
  </w:abstractNum>
  <w:abstractNum w:abstractNumId="122">
    <w:nsid w:val="25413BEC"/>
    <w:multiLevelType w:val="hybridMultilevel"/>
    <w:lvl w:ilvl="0">
      <w:lvlJc w:val="left"/>
      <w:lvlText w:val="(%1)"/>
      <w:numFmt w:val="lowerLetter"/>
      <w:start w:val="3"/>
    </w:lvl>
  </w:abstractNum>
  <w:abstractNum w:abstractNumId="123">
    <w:nsid w:val="17180B0B"/>
    <w:multiLevelType w:val="hybridMultilevel"/>
    <w:lvl w:ilvl="0">
      <w:lvlJc w:val="left"/>
      <w:lvlText w:val="(%1)"/>
      <w:numFmt w:val="lowerLetter"/>
      <w:start w:val="1"/>
    </w:lvl>
  </w:abstractNum>
  <w:abstractNum w:abstractNumId="124">
    <w:nsid w:val="579328B9"/>
    <w:multiLevelType w:val="hybridMultilevel"/>
    <w:lvl w:ilvl="0">
      <w:lvlJc w:val="left"/>
      <w:lvlText w:val="(%1)"/>
      <w:numFmt w:val="lowerLetter"/>
      <w:start w:val="1"/>
    </w:lvl>
  </w:abstractNum>
  <w:abstractNum w:abstractNumId="125">
    <w:nsid w:val="5D205E20"/>
    <w:multiLevelType w:val="hybridMultilevel"/>
    <w:lvl w:ilvl="0">
      <w:lvlJc w:val="left"/>
      <w:lvlText w:val="%1"/>
      <w:numFmt w:val="lowerLetter"/>
      <w:start w:val="1"/>
    </w:lvl>
    <w:lvl w:ilvl="1">
      <w:lvlJc w:val="left"/>
      <w:lvlText w:val="(%2)"/>
      <w:numFmt w:val="lowerLetter"/>
      <w:start w:val="4"/>
    </w:lvl>
  </w:abstractNum>
  <w:abstractNum w:abstractNumId="126">
    <w:nsid w:val="11CCA8BA"/>
    <w:multiLevelType w:val="hybridMultilevel"/>
    <w:lvl w:ilvl="0">
      <w:lvlJc w:val="left"/>
      <w:lvlText w:val="(%1)"/>
      <w:numFmt w:val="lowerLetter"/>
      <w:start w:val="35"/>
    </w:lvl>
    <w:lvl w:ilvl="1">
      <w:lvlJc w:val="left"/>
      <w:lvlText w:val="%2"/>
      <w:numFmt w:val="lowerLetter"/>
      <w:start w:val="1"/>
    </w:lvl>
  </w:abstractNum>
  <w:abstractNum w:abstractNumId="127">
    <w:nsid w:val="4D32AB86"/>
    <w:multiLevelType w:val="hybridMultilevel"/>
    <w:lvl w:ilvl="0">
      <w:lvlJc w:val="left"/>
      <w:lvlText w:val="%1"/>
      <w:numFmt w:val="lowerLetter"/>
      <w:start w:val="1"/>
    </w:lvl>
    <w:lvl w:ilvl="1">
      <w:lvlJc w:val="left"/>
      <w:lvlText w:val="(%2)"/>
      <w:numFmt w:val="lowerLetter"/>
      <w:start w:val="10"/>
    </w:lvl>
  </w:abstractNum>
  <w:abstractNum w:abstractNumId="128">
    <w:nsid w:val="3F07ACC3"/>
    <w:multiLevelType w:val="hybridMultilevel"/>
    <w:lvl w:ilvl="0">
      <w:lvlJc w:val="left"/>
      <w:lvlText w:val="(%1)"/>
      <w:numFmt w:val="lowerLetter"/>
      <w:start w:val="35"/>
    </w:lvl>
    <w:lvl w:ilvl="1">
      <w:lvlJc w:val="left"/>
      <w:lvlText w:val="(%2)"/>
      <w:numFmt w:val="lowerLetter"/>
      <w:start w:val="12"/>
    </w:lvl>
  </w:abstractNum>
  <w:abstractNum w:abstractNumId="129">
    <w:nsid w:val="6B47F63E"/>
    <w:multiLevelType w:val="hybridMultilevel"/>
    <w:lvl w:ilvl="0">
      <w:lvlJc w:val="left"/>
      <w:lvlText w:val="(%1)"/>
      <w:numFmt w:val="lowerLetter"/>
      <w:start w:val="1"/>
    </w:lvl>
  </w:abstractNum>
  <w:abstractNum w:abstractNumId="130">
    <w:nsid w:val="5CB44A05"/>
    <w:multiLevelType w:val="hybridMultilevel"/>
    <w:lvl w:ilvl="0">
      <w:lvlJc w:val="left"/>
      <w:lvlText w:val="(%1)"/>
      <w:numFmt w:val="lowerLetter"/>
      <w:start w:val="1"/>
    </w:lvl>
    <w:lvl w:ilvl="1">
      <w:lvlJc w:val="left"/>
      <w:lvlText w:val="(%2)"/>
      <w:numFmt w:val="lowerRoman"/>
      <w:start w:val="1"/>
    </w:lvl>
  </w:abstractNum>
  <w:abstractNum w:abstractNumId="131">
    <w:nsid w:val="16CF80F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32">
    <w:nsid w:val="1C695DEC"/>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33">
    <w:nsid w:val="3FCFAED9"/>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34">
    <w:nsid w:val="F856867"/>
    <w:multiLevelType w:val="hybridMultilevel"/>
    <w:lvl w:ilvl="0">
      <w:lvlJc w:val="left"/>
      <w:lvlText w:val="(%1)"/>
      <w:numFmt w:val="lowerLetter"/>
      <w:start w:val="1"/>
    </w:lvl>
  </w:abstractNum>
  <w:abstractNum w:abstractNumId="135">
    <w:nsid w:val="11B1CC33"/>
    <w:multiLevelType w:val="hybridMultilevel"/>
    <w:lvl w:ilvl="0">
      <w:lvlJc w:val="left"/>
      <w:lvlText w:val="%1"/>
      <w:numFmt w:val="lowerLetter"/>
      <w:start w:val="1"/>
    </w:lvl>
    <w:lvl w:ilvl="1">
      <w:lvlJc w:val="left"/>
      <w:lvlText w:val="(%2)"/>
      <w:numFmt w:val="lowerRoman"/>
      <w:start w:val="1"/>
    </w:lvl>
  </w:abstractNum>
  <w:abstractNum w:abstractNumId="136">
    <w:nsid w:val="2E22FBB7"/>
    <w:multiLevelType w:val="hybridMultilevel"/>
    <w:lvl w:ilvl="0">
      <w:lvlJc w:val="left"/>
      <w:lvlText w:val="(%1)"/>
      <w:numFmt w:val="lowerLetter"/>
      <w:start w:val="3"/>
    </w:lvl>
    <w:lvl w:ilvl="1">
      <w:lvlJc w:val="left"/>
      <w:lvlText w:val="%2"/>
      <w:numFmt w:val="lowerRoman"/>
      <w:start w:val="1"/>
    </w:lvl>
  </w:abstractNum>
  <w:abstractNum w:abstractNumId="137">
    <w:nsid w:val="29934699"/>
    <w:multiLevelType w:val="hybridMultilevel"/>
    <w:lvl w:ilvl="0">
      <w:lvlJc w:val="left"/>
      <w:lvlText w:val="(%1)"/>
      <w:numFmt w:val="lowerLetter"/>
      <w:start w:val="5"/>
    </w:lvl>
  </w:abstractNum>
  <w:abstractNum w:abstractNumId="138">
    <w:nsid w:val="77485850"/>
    <w:multiLevelType w:val="hybridMultilevel"/>
    <w:lvl w:ilvl="0">
      <w:lvlJc w:val="left"/>
      <w:lvlText w:val="(%1)"/>
      <w:numFmt w:val="lowerLetter"/>
      <w:start w:val="1"/>
    </w:lvl>
    <w:lvl w:ilvl="1">
      <w:lvlJc w:val="left"/>
      <w:lvlText w:val="(%2)"/>
      <w:numFmt w:val="lowerLetter"/>
      <w:start w:val="9"/>
    </w:lvl>
  </w:abstractNum>
  <w:abstractNum w:abstractNumId="139">
    <w:nsid w:val="744939A3"/>
    <w:multiLevelType w:val="hybridMultilevel"/>
    <w:lvl w:ilvl="0">
      <w:lvlJc w:val="left"/>
      <w:lvlText w:val="(%1)"/>
      <w:numFmt w:val="lowerRoman"/>
      <w:start w:val="2"/>
    </w:lvl>
  </w:abstractNum>
  <w:abstractNum w:abstractNumId="140">
    <w:nsid w:val="4FA0D2E3"/>
    <w:multiLevelType w:val="hybridMultilevel"/>
    <w:lvl w:ilvl="0">
      <w:lvlJc w:val="left"/>
      <w:lvlText w:val="(%1)"/>
      <w:numFmt w:val="lowerRoman"/>
      <w:start w:val="3"/>
    </w:lvl>
  </w:abstractNum>
  <w:abstractNum w:abstractNumId="141">
    <w:nsid w:val="6B1D2C14"/>
    <w:multiLevelType w:val="hybridMultilevel"/>
    <w:lvl w:ilvl="0">
      <w:lvlJc w:val="left"/>
      <w:lvlText w:val="(%1)"/>
      <w:numFmt w:val="lowerLetter"/>
      <w:start w:val="2"/>
    </w:lvl>
  </w:abstractNum>
  <w:abstractNum w:abstractNumId="142">
    <w:nsid w:val="68B867D3"/>
    <w:multiLevelType w:val="hybridMultilevel"/>
    <w:lvl w:ilvl="0">
      <w:lvlJc w:val="left"/>
      <w:lvlText w:val="(%1)"/>
      <w:numFmt w:val="lowerLetter"/>
      <w:start w:val="3"/>
    </w:lvl>
    <w:lvl w:ilvl="1">
      <w:lvlJc w:val="left"/>
      <w:lvlText w:val="(%2)"/>
      <w:numFmt w:val="lowerRoman"/>
      <w:start w:val="1"/>
    </w:lvl>
  </w:abstractNum>
  <w:abstractNum w:abstractNumId="143">
    <w:nsid w:val="3F7F5DD9"/>
    <w:multiLevelType w:val="hybridMultilevel"/>
    <w:lvl w:ilvl="0">
      <w:lvlJc w:val="left"/>
      <w:lvlText w:val="(%1)"/>
      <w:numFmt w:val="lowerLetter"/>
      <w:start w:val="1"/>
    </w:lvl>
  </w:abstractNum>
  <w:abstractNum w:abstractNumId="144">
    <w:nsid w:val="2AE05A34"/>
    <w:multiLevelType w:val="hybridMultilevel"/>
    <w:lvl w:ilvl="0">
      <w:lvlJc w:val="left"/>
      <w:lvlText w:val="%1"/>
      <w:numFmt w:val="lowerLetter"/>
      <w:start w:val="1"/>
    </w:lvl>
    <w:lvl w:ilvl="1">
      <w:lvlJc w:val="left"/>
      <w:lvlText w:val="(%2)"/>
      <w:numFmt w:val="lowerLetter"/>
      <w:start w:val="2"/>
    </w:lvl>
  </w:abstractNum>
  <w:abstractNum w:abstractNumId="145">
    <w:nsid w:val="32794FF7"/>
    <w:multiLevelType w:val="hybridMultilevel"/>
    <w:lvl w:ilvl="0">
      <w:lvlJc w:val="left"/>
      <w:lvlText w:val="(%1)"/>
      <w:numFmt w:val="lowerLetter"/>
      <w:start w:val="3"/>
    </w:lvl>
    <w:lvl w:ilvl="1">
      <w:lvlJc w:val="left"/>
      <w:lvlText w:val="(%2)"/>
      <w:numFmt w:val="lowerLetter"/>
      <w:start w:val="3"/>
    </w:lvl>
  </w:abstractNum>
  <w:abstractNum w:abstractNumId="146">
    <w:nsid w:val="5454945E"/>
    <w:multiLevelType w:val="hybridMultilevel"/>
    <w:lvl w:ilvl="0">
      <w:lvlJc w:val="left"/>
      <w:lvlText w:val="%1"/>
      <w:numFmt w:val="lowerLetter"/>
      <w:start w:val="1"/>
    </w:lvl>
    <w:lvl w:ilvl="1">
      <w:lvlJc w:val="left"/>
      <w:lvlText w:val="(%2)"/>
      <w:numFmt w:val="lowerLetter"/>
      <w:start w:val="4"/>
    </w:lvl>
  </w:abstractNum>
  <w:abstractNum w:abstractNumId="147">
    <w:nsid w:val="4DEFDFA0"/>
    <w:multiLevelType w:val="hybridMultilevel"/>
    <w:lvl w:ilvl="0">
      <w:lvlJc w:val="left"/>
      <w:lvlText w:val="(%1)"/>
      <w:numFmt w:val="lowerLetter"/>
      <w:start w:val="35"/>
    </w:lvl>
    <w:lvl w:ilvl="1">
      <w:lvlJc w:val="left"/>
      <w:lvlText w:val="(%2)"/>
      <w:numFmt w:val="lowerLetter"/>
      <w:start w:val="5"/>
    </w:lvl>
  </w:abstractNum>
  <w:abstractNum w:abstractNumId="148">
    <w:nsid w:val="2123D5F2"/>
    <w:multiLevelType w:val="hybridMultilevel"/>
    <w:lvl w:ilvl="0">
      <w:lvlJc w:val="left"/>
      <w:lvlText w:val="(%1)"/>
      <w:numFmt w:val="lowerLetter"/>
      <w:start w:val="1"/>
    </w:lvl>
  </w:abstractNum>
  <w:abstractNum w:abstractNumId="149">
    <w:nsid w:val="135B8110"/>
    <w:multiLevelType w:val="hybridMultilevel"/>
    <w:lvl w:ilvl="0">
      <w:lvlJc w:val="left"/>
      <w:lvlText w:val="(%1)"/>
      <w:numFmt w:val="lowerLetter"/>
      <w:start w:val="25"/>
    </w:lvl>
    <w:lvl w:ilvl="1">
      <w:lvlJc w:val="left"/>
      <w:lvlText w:val="(%2)"/>
      <w:numFmt w:val="lowerRoman"/>
      <w:start w:val="1"/>
    </w:lvl>
  </w:abstractNum>
  <w:abstractNum w:abstractNumId="150">
    <w:nsid w:val="94927A8"/>
    <w:multiLevelType w:val="hybridMultilevel"/>
    <w:lvl w:ilvl="0">
      <w:lvlJc w:val="left"/>
      <w:lvlText w:val="(%1)"/>
      <w:numFmt w:val="lowerLetter"/>
      <w:start w:val="2"/>
    </w:lvl>
  </w:abstractNum>
  <w:abstractNum w:abstractNumId="151">
    <w:nsid w:val="DCDF8F6"/>
    <w:multiLevelType w:val="hybridMultilevel"/>
    <w:lvl w:ilvl="0">
      <w:lvlJc w:val="left"/>
      <w:lvlText w:val="(%1)"/>
      <w:numFmt w:val="lowerLetter"/>
      <w:start w:val="25"/>
    </w:lvl>
    <w:lvl w:ilvl="1">
      <w:lvlJc w:val="left"/>
      <w:lvlText w:val="(%2)"/>
      <w:numFmt w:val="lowerLetter"/>
      <w:start w:val="3"/>
    </w:lvl>
  </w:abstractNum>
  <w:abstractNum w:abstractNumId="152">
    <w:nsid w:val="52D7B105"/>
    <w:multiLevelType w:val="hybridMultilevel"/>
    <w:lvl w:ilvl="0">
      <w:lvlJc w:val="left"/>
      <w:lvlText w:val="(%1)"/>
      <w:numFmt w:val="lowerLetter"/>
      <w:start w:val="1"/>
    </w:lvl>
  </w:abstractNum>
  <w:abstractNum w:abstractNumId="153">
    <w:nsid w:val="2E8A639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4">
    <w:nsid w:val="24E60401"/>
    <w:multiLevelType w:val="hybridMultilevel"/>
    <w:lvl w:ilvl="0">
      <w:lvlJc w:val="left"/>
      <w:lvlText w:val="%1"/>
      <w:numFmt w:val="lowerLetter"/>
      <w:start w:val="1"/>
    </w:lvl>
    <w:lvl w:ilvl="1">
      <w:lvlJc w:val="left"/>
      <w:lvlText w:val="(%2)"/>
      <w:numFmt w:val="lowerRoman"/>
      <w:start w:val="3"/>
    </w:lvl>
  </w:abstractNum>
  <w:abstractNum w:abstractNumId="155">
    <w:nsid w:val="2A6AD9BE"/>
    <w:multiLevelType w:val="hybridMultilevel"/>
    <w:lvl w:ilvl="0">
      <w:lvlJc w:val="left"/>
      <w:lvlText w:val="(%1)"/>
      <w:numFmt w:val="lowerLetter"/>
      <w:start w:val="3"/>
    </w:lvl>
    <w:lvl w:ilvl="1">
      <w:lvlJc w:val="left"/>
      <w:lvlText w:val="%2"/>
      <w:numFmt w:val="lowerRoman"/>
      <w:start w:val="1"/>
    </w:lvl>
  </w:abstractNum>
  <w:abstractNum w:abstractNumId="156">
    <w:nsid w:val="BAAC1B4"/>
    <w:multiLevelType w:val="hybridMultilevel"/>
    <w:lvl w:ilvl="0">
      <w:lvlJc w:val="left"/>
      <w:lvlText w:val="(%1)"/>
      <w:numFmt w:val="lowerLetter"/>
      <w:start w:val="4"/>
    </w:lvl>
  </w:abstractNum>
  <w:abstractNum w:abstractNumId="157">
    <w:nsid w:val="36B2ACBC"/>
    <w:multiLevelType w:val="hybridMultilevel"/>
    <w:lvl w:ilvl="0">
      <w:lvlJc w:val="left"/>
      <w:lvlText w:val="(%1)"/>
      <w:numFmt w:val="lowerLetter"/>
      <w:start w:val="1"/>
    </w:lvl>
  </w:abstractNum>
  <w:abstractNum w:abstractNumId="158">
    <w:nsid w:val="779D8544"/>
    <w:multiLevelType w:val="hybridMultilevel"/>
    <w:lvl w:ilvl="0">
      <w:lvlJc w:val="left"/>
      <w:lvlText w:val="(%1)"/>
      <w:numFmt w:val="lowerLetter"/>
      <w:start w:val="1"/>
    </w:lvl>
  </w:abstractNum>
  <w:abstractNum w:abstractNumId="159">
    <w:nsid w:val="4AB26E78"/>
    <w:multiLevelType w:val="hybridMultilevel"/>
    <w:lvl w:ilvl="0">
      <w:lvlJc w:val="left"/>
      <w:lvlText w:val="(%1)"/>
      <w:numFmt w:val="lowerRoman"/>
      <w:start w:val="1"/>
    </w:lvl>
  </w:abstractNum>
  <w:abstractNum w:abstractNumId="160">
    <w:nsid w:val="21FAA2FA"/>
    <w:multiLevelType w:val="hybridMultilevel"/>
    <w:lvl w:ilvl="0">
      <w:lvlJc w:val="left"/>
      <w:lvlText w:val="(%1)"/>
      <w:numFmt w:val="lowerLetter"/>
      <w:start w:val="1"/>
    </w:lvl>
    <w:lvl w:ilvl="1">
      <w:lvlJc w:val="left"/>
      <w:lvlText w:val="(%2)"/>
      <w:numFmt w:val="lowerRoman"/>
      <w:start w:val="1"/>
    </w:lvl>
  </w:abstractNum>
  <w:abstractNum w:abstractNumId="161">
    <w:nsid w:val="5451CF49"/>
    <w:multiLevelType w:val="hybridMultilevel"/>
    <w:lvl w:ilvl="0">
      <w:lvlJc w:val="left"/>
      <w:lvlText w:val="(%1)"/>
      <w:numFmt w:val="lowerLetter"/>
      <w:start w:val="1"/>
    </w:lvl>
  </w:abstractNum>
  <w:abstractNum w:abstractNumId="162">
    <w:nsid w:val="6181EF69"/>
    <w:multiLevelType w:val="hybridMultilevel"/>
    <w:lvl w:ilvl="0">
      <w:lvlJc w:val="left"/>
      <w:lvlText w:val="%1"/>
      <w:numFmt w:val="lowerLetter"/>
      <w:start w:val="1"/>
    </w:lvl>
    <w:lvl w:ilvl="1">
      <w:lvlJc w:val="left"/>
      <w:lvlText w:val="(%2)"/>
      <w:numFmt w:val="lowerLetter"/>
      <w:start w:val="1"/>
    </w:lvl>
  </w:abstractNum>
  <w:abstractNum w:abstractNumId="163">
    <w:nsid w:val="3E6400E6"/>
    <w:multiLevelType w:val="hybridMultilevel"/>
    <w:lvl w:ilvl="0">
      <w:lvlJc w:val="left"/>
      <w:lvlText w:val="(%1)"/>
      <w:numFmt w:val="lowerLetter"/>
      <w:start w:val="61"/>
    </w:lvl>
    <w:lvl w:ilvl="1">
      <w:lvlJc w:val="left"/>
      <w:lvlText w:val="(%2)"/>
      <w:numFmt w:val="lowerLetter"/>
      <w:start w:val="2"/>
    </w:lvl>
  </w:abstractNum>
  <w:abstractNum w:abstractNumId="164">
    <w:nsid w:val="14217E23"/>
    <w:multiLevelType w:val="hybridMultilevel"/>
    <w:lvl w:ilvl="0">
      <w:lvlJc w:val="left"/>
      <w:lvlText w:val="(%1)"/>
      <w:numFmt w:val="lowerLetter"/>
      <w:start w:val="61"/>
    </w:lvl>
    <w:lvl w:ilvl="1">
      <w:lvlJc w:val="left"/>
      <w:lvlText w:val="%2"/>
      <w:numFmt w:val="lowerLetter"/>
      <w:start w:val="1"/>
    </w:lvl>
  </w:abstractNum>
  <w:abstractNum w:abstractNumId="165">
    <w:nsid w:val="710757D0"/>
    <w:multiLevelType w:val="hybridMultilevel"/>
    <w:lvl w:ilvl="0">
      <w:lvlJc w:val="left"/>
      <w:lvlText w:val="(%1)"/>
      <w:numFmt w:val="lowerLetter"/>
      <w:start w:val="1"/>
    </w:lvl>
  </w:abstractNum>
  <w:abstractNum w:abstractNumId="166">
    <w:nsid w:val="5015CD1A"/>
    <w:multiLevelType w:val="hybridMultilevel"/>
    <w:lvl w:ilvl="0">
      <w:lvlJc w:val="left"/>
      <w:lvlText w:val="(%1)"/>
      <w:numFmt w:val="lowerLetter"/>
      <w:start w:val="3"/>
    </w:lvl>
  </w:abstractNum>
  <w:abstractNum w:abstractNumId="167">
    <w:nsid w:val="424479DA"/>
    <w:multiLevelType w:val="hybridMultilevel"/>
    <w:lvl w:ilvl="0">
      <w:lvlJc w:val="left"/>
      <w:lvlText w:val="(%1)"/>
      <w:numFmt w:val="lowerRoman"/>
      <w:start w:val="1"/>
    </w:lvl>
  </w:abstractNum>
  <w:abstractNum w:abstractNumId="168">
    <w:nsid w:val="1A9A9E69"/>
    <w:multiLevelType w:val="hybridMultilevel"/>
    <w:lvl w:ilvl="0">
      <w:lvlJc w:val="left"/>
      <w:lvlText w:val="(%1)"/>
      <w:numFmt w:val="lowerRoman"/>
      <w:start w:val="16"/>
    </w:lvl>
  </w:abstractNum>
  <w:abstractNum w:abstractNumId="169">
    <w:nsid w:val="475E256A"/>
    <w:multiLevelType w:val="hybridMultilevel"/>
    <w:lvl w:ilvl="0">
      <w:lvlJc w:val="left"/>
      <w:lvlText w:val="(%1)"/>
      <w:numFmt w:val="decimal"/>
      <w:start w:val="2"/>
    </w:lvl>
  </w:abstractNum>
  <w:abstractNum w:abstractNumId="170">
    <w:nsid w:val="368DB37E"/>
    <w:multiLevelType w:val="hybridMultilevel"/>
    <w:lvl w:ilvl="0">
      <w:lvlJc w:val="left"/>
      <w:lvlText w:val="%1"/>
      <w:numFmt w:val="lowerLetter"/>
      <w:start w:val="1"/>
    </w:lvl>
    <w:lvl w:ilvl="1">
      <w:lvlJc w:val="left"/>
      <w:lvlText w:val="(%2)"/>
      <w:numFmt w:val="lowerLetter"/>
      <w:start w:val="1"/>
    </w:lvl>
  </w:abstractNum>
  <w:abstractNum w:abstractNumId="171">
    <w:nsid w:val="6A3B714C"/>
    <w:multiLevelType w:val="hybridMultilevel"/>
    <w:lvl w:ilvl="0">
      <w:lvlJc w:val="left"/>
      <w:lvlText w:val="(%1)"/>
      <w:numFmt w:val="lowerLetter"/>
      <w:start w:val="35"/>
    </w:lvl>
    <w:lvl w:ilvl="1">
      <w:lvlJc w:val="left"/>
      <w:lvlText w:val="(%2)"/>
      <w:numFmt w:val="lowerLetter"/>
      <w:start w:val="3"/>
    </w:lvl>
  </w:abstractNum>
  <w:abstractNum w:abstractNumId="172">
    <w:nsid w:val="327B517E"/>
    <w:multiLevelType w:val="hybridMultilevel"/>
    <w:lvl w:ilvl="0">
      <w:lvlJc w:val="left"/>
      <w:lvlText w:val="(%1)"/>
      <w:numFmt w:val="lowerLetter"/>
      <w:start w:val="1"/>
    </w:lvl>
  </w:abstractNum>
  <w:abstractNum w:abstractNumId="173">
    <w:nsid w:val="1F461B51"/>
    <w:multiLevelType w:val="hybridMultilevel"/>
    <w:lvl w:ilvl="0">
      <w:lvlJc w:val="left"/>
      <w:lvlText w:val="(%1)"/>
      <w:numFmt w:val="lowerLetter"/>
      <w:start w:val="2"/>
    </w:lvl>
  </w:abstractNum>
  <w:abstractNum w:abstractNumId="174">
    <w:nsid w:val="29BACF25"/>
    <w:multiLevelType w:val="hybridMultilevel"/>
    <w:lvl w:ilvl="0">
      <w:lvlJc w:val="left"/>
      <w:lvlText w:val="(%1)"/>
      <w:numFmt w:val="decimal"/>
      <w:start w:val="5"/>
    </w:lvl>
  </w:abstractNum>
  <w:abstractNum w:abstractNumId="175">
    <w:nsid w:val="5D5BABB3"/>
    <w:multiLevelType w:val="hybridMultilevel"/>
    <w:lvl w:ilvl="0">
      <w:lvlJc w:val="left"/>
      <w:lvlText w:val="(%1)"/>
      <w:numFmt w:val="lowerLetter"/>
      <w:start w:val="1"/>
    </w:lvl>
  </w:abstractNum>
  <w:abstractNum w:abstractNumId="176">
    <w:nsid w:val="51BF6B48"/>
    <w:multiLevelType w:val="hybridMultilevel"/>
    <w:lvl w:ilvl="0">
      <w:lvlJc w:val="left"/>
      <w:lvlText w:val="(%1)"/>
      <w:numFmt w:val="lowerLetter"/>
      <w:start w:val="1"/>
    </w:lvl>
  </w:abstractNum>
  <w:abstractNum w:abstractNumId="177">
    <w:nsid w:val="7E0F6384"/>
    <w:multiLevelType w:val="hybridMultilevel"/>
    <w:lvl w:ilvl="0">
      <w:lvlJc w:val="left"/>
      <w:lvlText w:val="(%1)"/>
      <w:numFmt w:val="lowerLetter"/>
      <w:start w:val="2"/>
    </w:lvl>
    <w:lvl w:ilvl="1">
      <w:lvlJc w:val="left"/>
      <w:lvlText w:val="(%2)"/>
      <w:numFmt w:val="lowerRoman"/>
      <w:start w:val="1"/>
    </w:lvl>
  </w:abstractNum>
  <w:abstractNum w:abstractNumId="178">
    <w:nsid w:val="2B4B8B53"/>
    <w:multiLevelType w:val="hybridMultilevel"/>
    <w:lvl w:ilvl="0">
      <w:lvlJc w:val="left"/>
      <w:lvlText w:val="(%1)"/>
      <w:numFmt w:val="lowerLetter"/>
      <w:start w:val="1"/>
    </w:lvl>
  </w:abstractNum>
  <w:abstractNum w:abstractNumId="179">
    <w:nsid w:val="72E3413A"/>
    <w:multiLevelType w:val="hybridMultilevel"/>
    <w:lvl w:ilvl="0">
      <w:lvlJc w:val="left"/>
      <w:lvlText w:val="(%1)"/>
      <w:numFmt w:val="lowerLetter"/>
      <w:start w:val="3"/>
    </w:lvl>
  </w:abstractNum>
  <w:abstractNum w:abstractNumId="180">
    <w:nsid w:val="116AE494"/>
    <w:multiLevelType w:val="hybridMultilevel"/>
    <w:lvl w:ilvl="0">
      <w:lvlJc w:val="left"/>
      <w:lvlText w:val="(%1)"/>
      <w:numFmt w:val="lowerLetter"/>
      <w:start w:val="2"/>
    </w:lvl>
  </w:abstractNum>
  <w:abstractNum w:abstractNumId="181">
    <w:nsid w:val="3494B2FB"/>
    <w:multiLevelType w:val="hybridMultilevel"/>
    <w:lvl w:ilvl="0">
      <w:lvlJc w:val="left"/>
      <w:lvlText w:val="(%1)"/>
      <w:numFmt w:val="lowerLetter"/>
      <w:start w:val="1"/>
    </w:lvl>
    <w:lvl w:ilvl="1">
      <w:lvlJc w:val="left"/>
      <w:lvlText w:val="(%2)"/>
      <w:numFmt w:val="lowerLetter"/>
      <w:start w:val="9"/>
    </w:lvl>
  </w:abstractNum>
  <w:abstractNum w:abstractNumId="182">
    <w:nsid w:val="B13A31"/>
    <w:multiLevelType w:val="hybridMultilevel"/>
    <w:lvl w:ilvl="0">
      <w:lvlJc w:val="left"/>
      <w:lvlText w:val="%1"/>
      <w:numFmt w:val="lowerLetter"/>
      <w:start w:val="1"/>
    </w:lvl>
    <w:lvl w:ilvl="1">
      <w:lvlJc w:val="left"/>
      <w:lvlText w:val="(%2)"/>
      <w:numFmt w:val="lowerRoman"/>
      <w:start w:val="2"/>
    </w:lvl>
  </w:abstractNum>
  <w:abstractNum w:abstractNumId="183">
    <w:nsid w:val="64429599"/>
    <w:multiLevelType w:val="hybridMultilevel"/>
    <w:lvl w:ilvl="0">
      <w:lvlJc w:val="left"/>
      <w:lvlText w:val="(%1)"/>
      <w:numFmt w:val="lowerLetter"/>
      <w:start w:val="2"/>
    </w:lvl>
    <w:lvl w:ilvl="1">
      <w:lvlJc w:val="left"/>
      <w:lvlText w:val="%2"/>
      <w:numFmt w:val="lowerRoman"/>
      <w:start w:val="1"/>
    </w:lvl>
  </w:abstractNum>
  <w:abstractNum w:abstractNumId="184">
    <w:nsid w:val="631F1690"/>
    <w:multiLevelType w:val="hybridMultilevel"/>
    <w:lvl w:ilvl="0">
      <w:lvlJc w:val="left"/>
      <w:lvlText w:val="(%1)"/>
      <w:numFmt w:val="lowerLetter"/>
      <w:start w:val="5"/>
    </w:lvl>
  </w:abstractNum>
  <w:abstractNum w:abstractNumId="185">
    <w:nsid w:val="25973E32"/>
    <w:multiLevelType w:val="hybridMultilevel"/>
    <w:lvl w:ilvl="0">
      <w:lvlJc w:val="left"/>
      <w:lvlText w:val="(%1)"/>
      <w:numFmt w:val="lowerLetter"/>
      <w:start w:val="1"/>
    </w:lvl>
  </w:abstractNum>
  <w:abstractNum w:abstractNumId="186">
    <w:nsid w:val="EAD6F57"/>
    <w:multiLevelType w:val="hybridMultilevel"/>
    <w:lvl w:ilvl="0">
      <w:lvlJc w:val="left"/>
      <w:lvlText w:val="%1"/>
      <w:numFmt w:val="lowerRoman"/>
      <w:start w:val="1"/>
    </w:lvl>
    <w:lvl w:ilvl="1">
      <w:lvlJc w:val="left"/>
      <w:lvlText w:val="(%2)"/>
      <w:numFmt w:val="lowerLetter"/>
      <w:start w:val="1"/>
    </w:lvl>
  </w:abstractNum>
  <w:abstractNum w:abstractNumId="187">
    <w:nsid w:val="6EC9D844"/>
    <w:multiLevelType w:val="hybridMultilevel"/>
    <w:lvl w:ilvl="0">
      <w:lvlJc w:val="left"/>
      <w:lvlText w:val="(%1)"/>
      <w:numFmt w:val="lowerRoman"/>
      <w:start w:val="8"/>
    </w:lvl>
    <w:lvl w:ilvl="1">
      <w:lvlJc w:val="left"/>
      <w:lvlText w:val="(%2)"/>
      <w:numFmt w:val="lowerLetter"/>
      <w:start w:val="2"/>
    </w:lvl>
  </w:abstractNum>
  <w:abstractNum w:abstractNumId="188">
    <w:nsid w:val="5C49EAEE"/>
    <w:multiLevelType w:val="hybridMultilevel"/>
    <w:lvl w:ilvl="0">
      <w:lvlJc w:val="left"/>
      <w:lvlText w:val="(%1)"/>
      <w:numFmt w:val="lowerLetter"/>
      <w:start w:val="1"/>
    </w:lvl>
  </w:abstractNum>
  <w:abstractNum w:abstractNumId="189">
    <w:nsid w:val="64AF49B"/>
    <w:multiLevelType w:val="hybridMultilevel"/>
    <w:lvl w:ilvl="0">
      <w:lvlJc w:val="left"/>
      <w:lvlText w:val="(%1)"/>
      <w:numFmt w:val="lowerLetter"/>
      <w:start w:val="2"/>
    </w:lvl>
  </w:abstractNum>
  <w:abstractNum w:abstractNumId="190">
    <w:nsid w:val="397C46B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2021-08-04T16:17:00Z</dcterms:created>
  <dcterms:modified xsi:type="dcterms:W3CDTF">2021-08-04T16:17:00Z</dcterms:modified>
</cp:coreProperties>
</file>