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Voss Capital,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12/30/2025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Flywire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FLYW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3773 RICHMOND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850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77046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4180" w:type="dxa"/>
            <w:vAlign w:val="bottom"/>
            <w:gridSpan w:val="8"/>
            <w:vMerge w:val="restart"/>
          </w:tcPr>
          <w:p>
            <w:pPr>
              <w:ind w:left="80"/>
              <w:spacing w:after="0"/>
              <w:rPr>
                <w:sz w:val="20"/>
                <w:szCs w:val="20"/>
                <w:color w:val="auto"/>
              </w:rPr>
            </w:pPr>
            <w:r>
              <w:rPr>
                <w:rFonts w:ascii="Times New Roman" w:cs="Times New Roman" w:eastAsia="Times New Roman" w:hAnsi="Times New Roman"/>
                <w:sz w:val="20"/>
                <w:szCs w:val="20"/>
                <w:color w:val="0000FF"/>
                <w:w w:val="95"/>
              </w:rPr>
              <w:t>Voting common stock, $0.0001 par value per share</w:t>
            </w:r>
            <w:r>
              <w:rPr>
                <w:rFonts w:ascii="Times New Roman" w:cs="Times New Roman" w:eastAsia="Times New Roman" w:hAnsi="Times New Roman"/>
                <w:sz w:val="25"/>
                <w:szCs w:val="25"/>
                <w:color w:val="008000"/>
                <w:w w:val="95"/>
                <w:vertAlign w:val="superscript"/>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vMerge w:val="restart"/>
          </w:tcPr>
          <w:p>
            <w:pPr>
              <w:jc w:val="center"/>
              <w:ind w:left="75"/>
              <w:spacing w:after="0"/>
              <w:rPr>
                <w:sz w:val="20"/>
                <w:szCs w:val="20"/>
                <w:color w:val="auto"/>
              </w:rPr>
            </w:pPr>
            <w:r>
              <w:rPr>
                <w:rFonts w:ascii="Times New Roman" w:cs="Times New Roman" w:eastAsia="Times New Roman" w:hAnsi="Times New Roman"/>
                <w:sz w:val="20"/>
                <w:szCs w:val="20"/>
                <w:color w:val="0000FF"/>
                <w:w w:val="97"/>
              </w:rPr>
              <w:t>2,275,000</w:t>
            </w:r>
          </w:p>
        </w:tc>
        <w:tc>
          <w:tcPr>
            <w:tcW w:w="900" w:type="dxa"/>
            <w:vAlign w:val="bottom"/>
          </w:tcPr>
          <w:p>
            <w:pPr>
              <w:spacing w:after="0"/>
              <w:rPr>
                <w:sz w:val="20"/>
                <w:szCs w:val="20"/>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tcPr>
          <w:p>
            <w:pPr>
              <w:ind w:left="600"/>
              <w:spacing w:after="0"/>
              <w:rPr>
                <w:sz w:val="20"/>
                <w:szCs w:val="20"/>
                <w:color w:val="auto"/>
              </w:rPr>
            </w:pPr>
            <w:r>
              <w:rPr>
                <w:rFonts w:ascii="Times New Roman" w:cs="Times New Roman" w:eastAsia="Times New Roman" w:hAnsi="Times New Roman"/>
                <w:sz w:val="20"/>
                <w:szCs w:val="20"/>
                <w:color w:val="0000FF"/>
              </w:rPr>
              <w:t>By: Voss Value Master Fund,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8"/>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000" w:type="dxa"/>
            <w:vAlign w:val="bottom"/>
            <w:vMerge w:val="restart"/>
          </w:tcPr>
          <w:p>
            <w:pPr>
              <w:ind w:left="600"/>
              <w:spacing w:after="0" w:line="316" w:lineRule="exact"/>
              <w:rPr>
                <w:sz w:val="20"/>
                <w:szCs w:val="20"/>
                <w:color w:val="auto"/>
              </w:rPr>
            </w:pPr>
            <w:r>
              <w:rPr>
                <w:rFonts w:ascii="Times New Roman" w:cs="Times New Roman" w:eastAsia="Times New Roman" w:hAnsi="Times New Roman"/>
                <w:sz w:val="36"/>
                <w:szCs w:val="36"/>
                <w:color w:val="0000FF"/>
                <w:w w:val="90"/>
                <w:vertAlign w:val="subscript"/>
              </w:rPr>
              <w:t>LP</w:t>
            </w:r>
            <w:r>
              <w:rPr>
                <w:rFonts w:ascii="Times New Roman" w:cs="Times New Roman" w:eastAsia="Times New Roman" w:hAnsi="Times New Roman"/>
                <w:sz w:val="12"/>
                <w:szCs w:val="12"/>
                <w:color w:val="008000"/>
                <w:w w:val="90"/>
              </w:rPr>
              <w:t>(2)</w:t>
            </w: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vMerge w:val="continue"/>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180" w:type="dxa"/>
            <w:vAlign w:val="bottom"/>
            <w:gridSpan w:val="8"/>
            <w:vMerge w:val="restart"/>
          </w:tcPr>
          <w:p>
            <w:pPr>
              <w:ind w:left="80"/>
              <w:spacing w:after="0"/>
              <w:rPr>
                <w:sz w:val="20"/>
                <w:szCs w:val="20"/>
                <w:color w:val="auto"/>
              </w:rPr>
            </w:pPr>
            <w:r>
              <w:rPr>
                <w:rFonts w:ascii="Times New Roman" w:cs="Times New Roman" w:eastAsia="Times New Roman" w:hAnsi="Times New Roman"/>
                <w:sz w:val="20"/>
                <w:szCs w:val="20"/>
                <w:color w:val="0000FF"/>
                <w:w w:val="95"/>
              </w:rPr>
              <w:t>Voting common stock, $0.0001 par value per share</w:t>
            </w:r>
            <w:r>
              <w:rPr>
                <w:rFonts w:ascii="Times New Roman" w:cs="Times New Roman" w:eastAsia="Times New Roman" w:hAnsi="Times New Roman"/>
                <w:sz w:val="25"/>
                <w:szCs w:val="25"/>
                <w:color w:val="008000"/>
                <w:w w:val="95"/>
                <w:vertAlign w:val="superscript"/>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vMerge w:val="restart"/>
          </w:tcPr>
          <w:p>
            <w:pPr>
              <w:jc w:val="center"/>
              <w:ind w:left="55"/>
              <w:spacing w:after="0"/>
              <w:rPr>
                <w:sz w:val="20"/>
                <w:szCs w:val="20"/>
                <w:color w:val="auto"/>
              </w:rPr>
            </w:pPr>
            <w:r>
              <w:rPr>
                <w:rFonts w:ascii="Times New Roman" w:cs="Times New Roman" w:eastAsia="Times New Roman" w:hAnsi="Times New Roman"/>
                <w:sz w:val="20"/>
                <w:szCs w:val="20"/>
                <w:color w:val="0000FF"/>
                <w:w w:val="98"/>
              </w:rPr>
              <w:t>375,000</w:t>
            </w:r>
          </w:p>
        </w:tc>
        <w:tc>
          <w:tcPr>
            <w:tcW w:w="900" w:type="dxa"/>
            <w:vAlign w:val="bottom"/>
          </w:tcPr>
          <w:p>
            <w:pPr>
              <w:spacing w:after="0"/>
              <w:rPr>
                <w:sz w:val="24"/>
                <w:szCs w:val="24"/>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tcPr>
          <w:p>
            <w:pPr>
              <w:ind w:left="600"/>
              <w:spacing w:after="0"/>
              <w:rPr>
                <w:sz w:val="20"/>
                <w:szCs w:val="20"/>
                <w:color w:val="auto"/>
              </w:rPr>
            </w:pPr>
            <w:r>
              <w:rPr>
                <w:rFonts w:ascii="Times New Roman" w:cs="Times New Roman" w:eastAsia="Times New Roman" w:hAnsi="Times New Roman"/>
                <w:sz w:val="20"/>
                <w:szCs w:val="20"/>
                <w:color w:val="0000FF"/>
              </w:rPr>
              <w:t>By: Voss Value-Oriented Special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8"/>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3360" w:type="dxa"/>
            <w:vAlign w:val="bottom"/>
            <w:gridSpan w:val="3"/>
            <w:vMerge w:val="restart"/>
          </w:tcPr>
          <w:p>
            <w:pPr>
              <w:ind w:left="600"/>
              <w:spacing w:after="0"/>
              <w:rPr>
                <w:sz w:val="20"/>
                <w:szCs w:val="20"/>
                <w:color w:val="auto"/>
              </w:rPr>
            </w:pPr>
            <w:r>
              <w:rPr>
                <w:rFonts w:ascii="Times New Roman" w:cs="Times New Roman" w:eastAsia="Times New Roman" w:hAnsi="Times New Roman"/>
                <w:sz w:val="20"/>
                <w:szCs w:val="20"/>
                <w:color w:val="0000FF"/>
              </w:rPr>
              <w:t>Situations Fund,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36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180" w:type="dxa"/>
            <w:vAlign w:val="bottom"/>
            <w:gridSpan w:val="8"/>
            <w:vMerge w:val="restart"/>
          </w:tcPr>
          <w:p>
            <w:pPr>
              <w:ind w:left="80"/>
              <w:spacing w:after="0"/>
              <w:rPr>
                <w:sz w:val="20"/>
                <w:szCs w:val="20"/>
                <w:color w:val="auto"/>
              </w:rPr>
            </w:pPr>
            <w:r>
              <w:rPr>
                <w:rFonts w:ascii="Times New Roman" w:cs="Times New Roman" w:eastAsia="Times New Roman" w:hAnsi="Times New Roman"/>
                <w:sz w:val="20"/>
                <w:szCs w:val="20"/>
                <w:color w:val="0000FF"/>
                <w:w w:val="95"/>
              </w:rPr>
              <w:t>Voting common stock, $0.0001 par value per share</w:t>
            </w:r>
            <w:r>
              <w:rPr>
                <w:rFonts w:ascii="Times New Roman" w:cs="Times New Roman" w:eastAsia="Times New Roman" w:hAnsi="Times New Roman"/>
                <w:sz w:val="25"/>
                <w:szCs w:val="25"/>
                <w:color w:val="008000"/>
                <w:w w:val="95"/>
                <w:vertAlign w:val="superscript"/>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vMerge w:val="restart"/>
          </w:tcPr>
          <w:p>
            <w:pPr>
              <w:jc w:val="center"/>
              <w:ind w:left="75"/>
              <w:spacing w:after="0"/>
              <w:rPr>
                <w:sz w:val="20"/>
                <w:szCs w:val="20"/>
                <w:color w:val="auto"/>
              </w:rPr>
            </w:pPr>
            <w:r>
              <w:rPr>
                <w:rFonts w:ascii="Times New Roman" w:cs="Times New Roman" w:eastAsia="Times New Roman" w:hAnsi="Times New Roman"/>
                <w:sz w:val="20"/>
                <w:szCs w:val="20"/>
                <w:color w:val="0000FF"/>
                <w:w w:val="97"/>
              </w:rPr>
              <w:t>9,443,888</w:t>
            </w:r>
          </w:p>
        </w:tc>
        <w:tc>
          <w:tcPr>
            <w:tcW w:w="900" w:type="dxa"/>
            <w:vAlign w:val="bottom"/>
          </w:tcPr>
          <w:p>
            <w:pPr>
              <w:spacing w:after="0"/>
              <w:rPr>
                <w:sz w:val="24"/>
                <w:szCs w:val="24"/>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tcPr>
          <w:p>
            <w:pPr>
              <w:ind w:left="600"/>
              <w:spacing w:after="0"/>
              <w:rPr>
                <w:sz w:val="20"/>
                <w:szCs w:val="20"/>
                <w:color w:val="auto"/>
              </w:rPr>
            </w:pPr>
            <w:r>
              <w:rPr>
                <w:rFonts w:ascii="Times New Roman" w:cs="Times New Roman" w:eastAsia="Times New Roman" w:hAnsi="Times New Roman"/>
                <w:sz w:val="20"/>
                <w:szCs w:val="20"/>
                <w:color w:val="0000FF"/>
              </w:rPr>
              <w:t>By: Managed Accounts of Voss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8"/>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20"/>
                <w:szCs w:val="20"/>
                <w:color w:val="0000FF"/>
              </w:rPr>
              <w:t>Capital, LP</w:t>
            </w:r>
            <w:r>
              <w:rPr>
                <w:rFonts w:ascii="Times New Roman" w:cs="Times New Roman" w:eastAsia="Times New Roman" w:hAnsi="Times New Roman"/>
                <w:sz w:val="25"/>
                <w:szCs w:val="25"/>
                <w:color w:val="008000"/>
                <w:vertAlign w:val="superscript"/>
              </w:rPr>
              <w:t>(4)</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gridSpan w:val="2"/>
            <w:vMerge w:val="continue"/>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88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78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88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gridSpan w:val="3"/>
          </w:tcPr>
          <w:p>
            <w:pPr>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gridSpan w:val="3"/>
          </w:tcPr>
          <w:p>
            <w:pPr>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8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Voss Capital, LP</w:t>
              </w:r>
            </w:hyperlink>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1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3773 RICHMOND AVENUE, SUITE 850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77046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gridSpan w:val="2"/>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(State)</w:t>
            </w:r>
          </w:p>
        </w:tc>
        <w:tc>
          <w:tcPr>
            <w:tcW w:w="1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5"/>
                <w:szCs w:val="15"/>
                <w:color w:val="auto"/>
              </w:rPr>
              <w:t>(Zip)</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Voss Value Master Fund, LP</w:t>
              </w:r>
            </w:hyperlink>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5"/>
                <w:szCs w:val="15"/>
                <w:color w:val="auto"/>
              </w:rPr>
              <w:t>(First)</w:t>
            </w:r>
          </w:p>
        </w:tc>
        <w:tc>
          <w:tcPr>
            <w:tcW w:w="1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3773 RICHMOND AVENUE, SUITE 850</w:t>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HOUSTON</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77046</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073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6073140"/>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Voss Value-Oriented Special Situations</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Fund, LP</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3773 RICHMOND AVENUE, SUITE 850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77046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4"/>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Voss Advisors GP, LLC</w:t>
              </w:r>
            </w:hyperlink>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3773 RICHMOND AVENUE, SUITE 850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77046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4"/>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Cocke Travis W.</w:t>
              </w:r>
            </w:hyperlink>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3773 RICHMOND AVENUE, SUITE 850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77046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260" w:firstLine="5"/>
        <w:spacing w:after="0" w:line="236"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filed jointly by Voss Value Master Fund, LP ("Voss Value Master Fund"), Voss Value-Oriented Special Situations Fund, LP ("Voss Value-Oriented Special Situations Fund"), Voss Advisors GP, LLC ("Voss GP"), Voss Capital, LP ("Voss Capital") and Travis W. Cocke (collectively, the "Reporting Persons"). Each of the Reporting Persons is a member of a group for purposes of Section 13(d) of the Securities Exchange Act of 1934, as amended, that collectively beneficially owns over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32" w:lineRule="exact"/>
        <w:rPr>
          <w:rFonts w:ascii="Times New Roman" w:cs="Times New Roman" w:eastAsia="Times New Roman" w:hAnsi="Times New Roman"/>
          <w:sz w:val="15"/>
          <w:szCs w:val="15"/>
          <w:color w:val="008000"/>
        </w:rPr>
      </w:pPr>
    </w:p>
    <w:p>
      <w:pPr>
        <w:ind w:left="20" w:right="6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owned directly by Voss Value Master Fund. Voss GP, as the general partner of Voss Value Master Fund, may be deemed to beneficially own the securities owned directly by Voss Value Master Fund. Voss Capital, as the investment manager of Voss Value Master Fund, may be deemed to beneficially own the securities owned directly by Voss Value Master Fund. Mr. Cocke, as the managing member of Voss Capital and Voss GP, may be deemed to beneficially own the securities owned directly by Voss Value Master Fund.</w:t>
      </w:r>
    </w:p>
    <w:p>
      <w:pPr>
        <w:spacing w:after="0" w:line="33" w:lineRule="exact"/>
        <w:rPr>
          <w:rFonts w:ascii="Times New Roman" w:cs="Times New Roman" w:eastAsia="Times New Roman" w:hAnsi="Times New Roman"/>
          <w:sz w:val="15"/>
          <w:szCs w:val="15"/>
          <w:color w:val="008000"/>
        </w:rPr>
      </w:pPr>
    </w:p>
    <w:p>
      <w:pPr>
        <w:ind w:left="20" w:right="10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owned directly by Voss Value-Oriented Special Situations Fund. Voss GP, as the general partner of Voss Value-Oriented Special Situations Fund, may be deemed to beneficially own the securities owned directly by Voss Value-Oriented Special Situations Fund. Voss Capital, as the investment manager of Voss Value-Oriented Special Situations Fund, may be deemed to beneficially own the securities owned directly by Voss Value-Oriented Special Situations Fund. Mr. Cocke, as the managing member of Voss Capital and Voss GP, may be deemed to beneficially own the securities owned directly by Voss Value-Oriented Special Situations Fund.</w:t>
      </w:r>
    </w:p>
    <w:p>
      <w:pPr>
        <w:spacing w:after="0" w:line="33" w:lineRule="exact"/>
        <w:rPr>
          <w:rFonts w:ascii="Times New Roman" w:cs="Times New Roman" w:eastAsia="Times New Roman" w:hAnsi="Times New Roman"/>
          <w:sz w:val="15"/>
          <w:szCs w:val="15"/>
          <w:color w:val="008000"/>
        </w:rPr>
      </w:pPr>
    </w:p>
    <w:p>
      <w:pPr>
        <w:jc w:val="both"/>
        <w:ind w:left="2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held in certain accounts separately managed by Voss Capital (the "Voss Managed Accounts"). Voss Capital, as the investment manager of the Voss Managed Accounts, may be deemed to beneficially own the securities held in the Voss Managed Accounts. Mr. Cocke, as the managing member of Voss Capital, may be deemed to beneficially own the securities held in the Voss Managed Accounts.</w:t>
      </w:r>
    </w:p>
    <w:p>
      <w:pPr>
        <w:sectPr>
          <w:pgSz w:w="11900" w:h="16838" w:orient="portrait"/>
          <w:cols w:equalWidth="0" w:num="1">
            <w:col w:w="10860"/>
          </w:cols>
          <w:pgMar w:left="500" w:top="320" w:right="539" w:bottom="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Voss Capital,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192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21920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Travis W. Cocke,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5788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8578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531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Voss Value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63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3634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LP; By: Voss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667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/s/ Travis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366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3665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Cocke,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096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Voss Value-Oriented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1917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1917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Special Situations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0777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LP; By: Voss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66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3667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/s/ Travis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366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3665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Cocke,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09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Voss Advisors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1602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1602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By: /s/ Travis W. Cocke,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60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1602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80"/>
            <w:col w:w="2120"/>
          </w:cols>
          <w:pgMar w:left="500" w:top="320" w:right="5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Managing Member</w:t>
            </w:r>
          </w:p>
        </w:tc>
        <w:tc>
          <w:tcPr>
            <w:tcW w:w="6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6540" w:type="dxa"/>
            <w:vAlign w:val="bottom"/>
          </w:tcPr>
          <w:p>
            <w:pPr>
              <w:spacing w:after="0"/>
              <w:rPr>
                <w:sz w:val="24"/>
                <w:szCs w:val="24"/>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Travis W. Cocke</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01/07/2026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0" Type="http://schemas.openxmlformats.org/officeDocument/2006/relationships/hyperlink" Target="http://www.sec.gov/cgi-bin/browse-edgar?action=getcompany&amp;CIK=0001730145" TargetMode="External"/><Relationship Id="rId11" Type="http://schemas.openxmlformats.org/officeDocument/2006/relationships/hyperlink" Target="http://www.sec.gov/cgi-bin/browse-edgar?action=getcompany&amp;CIK=0001580560" TargetMode="External"/><Relationship Id="rId13" Type="http://schemas.openxmlformats.org/officeDocument/2006/relationships/hyperlink" Target="http://www.sec.gov/cgi-bin/browse-edgar?action=getcompany&amp;CIK=0001969435" TargetMode="External"/><Relationship Id="rId15" Type="http://schemas.openxmlformats.org/officeDocument/2006/relationships/hyperlink" Target="http://www.sec.gov/cgi-bin/browse-edgar?action=getcompany&amp;CIK=0001863498" TargetMode="External"/><Relationship Id="rId16" Type="http://schemas.openxmlformats.org/officeDocument/2006/relationships/hyperlink" Target="http://www.sec.gov/cgi-bin/browse-edgar?action=getcompany&amp;CIK=0001798309" TargetMode="External"/><Relationship Id="rId17" Type="http://schemas.openxmlformats.org/officeDocument/2006/relationships/hyperlink" Target="http://www.sec.gov/cgi-bin/browse-edgar?action=getcompany&amp;CIK=00017983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2026-01-07T17:13:38Z</dcterms:created>
  <dcterms:modified xsi:type="dcterms:W3CDTF">2026-01-07T17:13:38Z</dcterms:modified>
</cp:coreProperties>
</file>