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GOLDMAN SACHS GROUP INC</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92"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54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2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ind w:left="180"/>
              <w:spacing w:after="0"/>
              <w:rPr>
                <w:sz w:val="20"/>
                <w:szCs w:val="20"/>
                <w:color w:val="auto"/>
              </w:rPr>
            </w:pPr>
            <w:r>
              <w:rPr>
                <w:rFonts w:ascii="Arial" w:cs="Arial" w:eastAsia="Arial" w:hAnsi="Arial"/>
                <w:sz w:val="17"/>
                <w:szCs w:val="17"/>
                <w:color w:val="0000FF"/>
              </w:rPr>
              <w:t>12/15/2021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50"/>
              <w:spacing w:after="0"/>
              <w:rPr>
                <w:sz w:val="20"/>
                <w:szCs w:val="20"/>
                <w:color w:val="auto"/>
              </w:rPr>
            </w:pPr>
            <w:r>
              <w:rPr>
                <w:rFonts w:ascii="Arial" w:cs="Arial" w:eastAsia="Arial" w:hAnsi="Arial"/>
                <w:sz w:val="17"/>
                <w:szCs w:val="17"/>
                <w:color w:val="0000FF"/>
                <w:w w:val="92"/>
              </w:rPr>
              <w:t>39,491</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36.17</w:t>
            </w:r>
            <w:r>
              <w:rPr>
                <w:rFonts w:ascii="Arial" w:cs="Arial" w:eastAsia="Arial" w:hAnsi="Arial"/>
                <w:sz w:val="22"/>
                <w:szCs w:val="22"/>
                <w:color w:val="008000"/>
                <w:w w:val="85"/>
                <w:vertAlign w:val="superscript"/>
              </w:rPr>
              <w:t>(1)</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2,992,650</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vMerge w:val="restart"/>
          </w:tcPr>
          <w:p>
            <w:pPr>
              <w:ind w:left="180"/>
              <w:spacing w:after="0"/>
              <w:rPr>
                <w:sz w:val="20"/>
                <w:szCs w:val="20"/>
                <w:color w:val="auto"/>
              </w:rPr>
            </w:pPr>
            <w:r>
              <w:rPr>
                <w:rFonts w:ascii="Arial" w:cs="Arial" w:eastAsia="Arial" w:hAnsi="Arial"/>
                <w:sz w:val="17"/>
                <w:szCs w:val="17"/>
                <w:color w:val="0000FF"/>
              </w:rPr>
              <w:t>12/16/2021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20"/>
              <w:spacing w:after="0"/>
              <w:rPr>
                <w:sz w:val="20"/>
                <w:szCs w:val="20"/>
                <w:color w:val="auto"/>
              </w:rPr>
            </w:pPr>
            <w:r>
              <w:rPr>
                <w:rFonts w:ascii="Arial" w:cs="Arial" w:eastAsia="Arial" w:hAnsi="Arial"/>
                <w:sz w:val="13"/>
                <w:szCs w:val="13"/>
                <w:color w:val="0000FF"/>
              </w:rPr>
              <w:t>S</w:t>
            </w:r>
          </w:p>
        </w:tc>
        <w:tc>
          <w:tcPr>
            <w:tcW w:w="880" w:type="dxa"/>
            <w:vAlign w:val="bottom"/>
            <w:vMerge w:val="restart"/>
          </w:tcPr>
          <w:p>
            <w:pPr>
              <w:jc w:val="center"/>
              <w:ind w:left="610"/>
              <w:spacing w:after="0"/>
              <w:rPr>
                <w:sz w:val="20"/>
                <w:szCs w:val="20"/>
                <w:color w:val="auto"/>
              </w:rPr>
            </w:pPr>
            <w:r>
              <w:rPr>
                <w:rFonts w:ascii="Arial" w:cs="Arial" w:eastAsia="Arial" w:hAnsi="Arial"/>
                <w:sz w:val="17"/>
                <w:szCs w:val="17"/>
                <w:color w:val="0000FF"/>
                <w:w w:val="84"/>
              </w:rPr>
              <w:t>20</w:t>
            </w:r>
          </w:p>
        </w:tc>
        <w:tc>
          <w:tcPr>
            <w:tcW w:w="36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34.5</w:t>
            </w:r>
          </w:p>
        </w:tc>
        <w:tc>
          <w:tcPr>
            <w:tcW w:w="780" w:type="dxa"/>
            <w:vAlign w:val="bottom"/>
            <w:vMerge w:val="restart"/>
          </w:tcPr>
          <w:p>
            <w:pPr>
              <w:ind w:left="60"/>
              <w:spacing w:after="0"/>
              <w:rPr>
                <w:sz w:val="20"/>
                <w:szCs w:val="20"/>
                <w:color w:val="auto"/>
              </w:rPr>
            </w:pPr>
            <w:r>
              <w:rPr>
                <w:rFonts w:ascii="Arial" w:cs="Arial" w:eastAsia="Arial" w:hAnsi="Arial"/>
                <w:sz w:val="17"/>
                <w:szCs w:val="17"/>
                <w:color w:val="0000FF"/>
                <w:w w:val="92"/>
              </w:rPr>
              <w:t>2,995,062</w:t>
            </w:r>
          </w:p>
        </w:tc>
        <w:tc>
          <w:tcPr>
            <w:tcW w:w="900" w:type="dxa"/>
            <w:vAlign w:val="bottom"/>
            <w:vMerge w:val="restart"/>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ind w:left="180"/>
              <w:spacing w:after="0"/>
              <w:rPr>
                <w:sz w:val="20"/>
                <w:szCs w:val="20"/>
                <w:color w:val="auto"/>
              </w:rPr>
            </w:pPr>
            <w:r>
              <w:rPr>
                <w:rFonts w:ascii="Arial" w:cs="Arial" w:eastAsia="Arial" w:hAnsi="Arial"/>
                <w:sz w:val="17"/>
                <w:szCs w:val="17"/>
                <w:color w:val="0000FF"/>
              </w:rPr>
              <w:t>12/16/2021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50"/>
              <w:spacing w:after="0"/>
              <w:rPr>
                <w:sz w:val="20"/>
                <w:szCs w:val="20"/>
                <w:color w:val="auto"/>
              </w:rPr>
            </w:pPr>
            <w:r>
              <w:rPr>
                <w:rFonts w:ascii="Arial" w:cs="Arial" w:eastAsia="Arial" w:hAnsi="Arial"/>
                <w:sz w:val="17"/>
                <w:szCs w:val="17"/>
                <w:color w:val="0000FF"/>
                <w:w w:val="92"/>
              </w:rPr>
              <w:t>25,928</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36.03</w:t>
            </w:r>
            <w:r>
              <w:rPr>
                <w:rFonts w:ascii="Arial" w:cs="Arial" w:eastAsia="Arial" w:hAnsi="Arial"/>
                <w:sz w:val="22"/>
                <w:szCs w:val="22"/>
                <w:color w:val="008000"/>
                <w:w w:val="85"/>
                <w:vertAlign w:val="superscript"/>
              </w:rPr>
              <w:t>(6)</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2,969,134</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11"/>
          </w:tcPr>
          <w:p>
            <w:pPr>
              <w:jc w:val="center"/>
              <w:ind w:right="6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w w:val="95"/>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GOLDMAN SACHS GROUP INC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GOLDMAN SACHS &amp; CO.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Goldman Sachs PSI Global Holdings, LLC</w:t>
        </w:r>
      </w:hyperlink>
    </w:p>
    <w:p>
      <w:pPr>
        <w:sectPr>
          <w:pgSz w:w="11900" w:h="1689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92"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969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969635"/>
                    </a:xfrm>
                    <a:prstGeom prst="rect">
                      <a:avLst/>
                    </a:prstGeom>
                    <a:noFill/>
                  </pic:spPr>
                </pic:pic>
              </a:graphicData>
            </a:graphic>
          </wp:anchor>
        </w:drawing>
        <w:t>200 WEST STREET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Stonebridge 2020 Offshore Holdings 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Bridge Street Opportunity Advisors,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$36.00 to $36.78,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9"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15"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15" w:lineRule="exact"/>
        <w:rPr>
          <w:rFonts w:ascii="Arial" w:cs="Arial" w:eastAsia="Arial" w:hAnsi="Arial"/>
          <w:sz w:val="13"/>
          <w:szCs w:val="13"/>
          <w:color w:val="008000"/>
        </w:rPr>
      </w:pPr>
    </w:p>
    <w:p>
      <w:pPr>
        <w:ind w:left="20" w:right="32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$35.57 to $36.31,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30"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4"/>
          <w:szCs w:val="34"/>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0900"/>
          </w:cols>
          <w:pgMar w:left="480" w:top="184"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2021-12-17T18:21:57Z</dcterms:created>
  <dcterms:modified xsi:type="dcterms:W3CDTF">2021-12-17T18:21:57Z</dcterms:modified>
</cp:coreProperties>
</file>