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058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05802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FMR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20" w:type="dxa"/>
            <w:vAlign w:val="bottom"/>
            <w:tcBorders>
              <w:top w:val="single" w:sz="8" w:color="0000EE"/>
              <w:bottom w:val="single" w:sz="8" w:color="9A9A9A"/>
            </w:tcBorders>
          </w:tcPr>
          <w:p>
            <w:pPr>
              <w:spacing w:after="0"/>
              <w:rPr>
                <w:sz w:val="16"/>
                <w:szCs w:val="16"/>
                <w:color w:val="auto"/>
              </w:rPr>
            </w:pPr>
          </w:p>
        </w:tc>
        <w:tc>
          <w:tcPr>
            <w:tcW w:w="17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3"/>
              </w:rPr>
              <w:t>245 SUMMER STREET</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1100" w:type="dxa"/>
            <w:vAlign w:val="bottom"/>
          </w:tcPr>
          <w:p>
            <w:pPr>
              <w:ind w:left="120"/>
              <w:spacing w:after="0"/>
              <w:rPr>
                <w:sz w:val="20"/>
                <w:szCs w:val="20"/>
                <w:color w:val="auto"/>
              </w:rPr>
            </w:pPr>
            <w:r>
              <w:rPr>
                <w:rFonts w:ascii="Arial" w:cs="Arial" w:eastAsia="Arial" w:hAnsi="Arial"/>
                <w:sz w:val="20"/>
                <w:szCs w:val="20"/>
                <w:color w:val="0000FF"/>
              </w:rPr>
              <w:t>MA</w:t>
            </w:r>
          </w:p>
        </w:tc>
        <w:tc>
          <w:tcPr>
            <w:tcW w:w="1060" w:type="dxa"/>
            <w:vAlign w:val="bottom"/>
          </w:tcPr>
          <w:p>
            <w:pPr>
              <w:ind w:left="60"/>
              <w:spacing w:after="0"/>
              <w:rPr>
                <w:sz w:val="20"/>
                <w:szCs w:val="20"/>
                <w:color w:val="auto"/>
              </w:rPr>
            </w:pPr>
            <w:r>
              <w:rPr>
                <w:rFonts w:ascii="Arial" w:cs="Arial" w:eastAsia="Arial" w:hAnsi="Arial"/>
                <w:sz w:val="20"/>
                <w:szCs w:val="20"/>
                <w:color w:val="0000FF"/>
              </w:rPr>
              <w:t>02210</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523" w:type="dxa"/>
        <w:tblCellMar>
          <w:top w:w="0" w:type="dxa"/>
          <w:left w:w="0" w:type="dxa"/>
          <w:bottom w:w="0" w:type="dxa"/>
          <w:right w:w="0" w:type="dxa"/>
        </w:tblCellMar>
      </w:tblPr>
      <w:tr>
        <w:trPr>
          <w:trHeight w:val="248"/>
        </w:trPr>
        <w:tc>
          <w:tcPr>
            <w:tcW w:w="1020" w:type="dxa"/>
            <w:vAlign w:val="bottom"/>
          </w:tcPr>
          <w:p>
            <w:pPr>
              <w:spacing w:after="0"/>
              <w:rPr>
                <w:sz w:val="20"/>
                <w:szCs w:val="20"/>
                <w:color w:val="auto"/>
              </w:rPr>
            </w:pPr>
            <w:r>
              <w:rPr>
                <w:rFonts w:ascii="Arial" w:cs="Arial" w:eastAsia="Arial" w:hAnsi="Arial"/>
                <w:sz w:val="15"/>
                <w:szCs w:val="15"/>
                <w:color w:val="auto"/>
              </w:rPr>
              <w:t>Director</w:t>
            </w:r>
          </w:p>
        </w:tc>
        <w:tc>
          <w:tcPr>
            <w:tcW w:w="440" w:type="dxa"/>
            <w:vAlign w:val="bottom"/>
          </w:tcPr>
          <w:p>
            <w:pPr>
              <w:ind w:left="200"/>
              <w:spacing w:after="0"/>
              <w:rPr>
                <w:sz w:val="20"/>
                <w:szCs w:val="20"/>
                <w:color w:val="auto"/>
              </w:rPr>
            </w:pPr>
            <w:r>
              <w:rPr>
                <w:rFonts w:ascii="Arial" w:cs="Arial" w:eastAsia="Arial" w:hAnsi="Arial"/>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rPr>
              <w:t>10% Owner</w:t>
            </w:r>
          </w:p>
        </w:tc>
      </w:tr>
      <w:tr>
        <w:trPr>
          <w:trHeight w:val="226"/>
        </w:trPr>
        <w:tc>
          <w:tcPr>
            <w:tcW w:w="1020" w:type="dxa"/>
            <w:vAlign w:val="bottom"/>
          </w:tcPr>
          <w:p>
            <w:pPr>
              <w:spacing w:after="0"/>
              <w:rPr>
                <w:sz w:val="20"/>
                <w:szCs w:val="20"/>
                <w:color w:val="auto"/>
              </w:rPr>
            </w:pPr>
            <w:r>
              <w:rPr>
                <w:rFonts w:ascii="Arial" w:cs="Arial" w:eastAsia="Arial" w:hAnsi="Arial"/>
                <w:sz w:val="15"/>
                <w:szCs w:val="15"/>
                <w:color w:val="auto"/>
              </w:rPr>
              <w:t>Officer (give</w:t>
            </w:r>
          </w:p>
        </w:tc>
        <w:tc>
          <w:tcPr>
            <w:tcW w:w="440" w:type="dxa"/>
            <w:vAlign w:val="bottom"/>
          </w:tcPr>
          <w:p>
            <w:pPr>
              <w:ind w:left="200"/>
              <w:spacing w:after="0" w:line="227" w:lineRule="exact"/>
              <w:rPr>
                <w:sz w:val="20"/>
                <w:szCs w:val="20"/>
                <w:color w:val="auto"/>
              </w:rPr>
            </w:pPr>
            <w:r>
              <w:rPr>
                <w:rFonts w:ascii="Arial" w:cs="Arial" w:eastAsia="Arial" w:hAnsi="Arial"/>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w w:val="98"/>
              </w:rPr>
              <w:t>Other (specify</w:t>
            </w: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title below)</w:t>
            </w:r>
          </w:p>
        </w:tc>
        <w:tc>
          <w:tcPr>
            <w:tcW w:w="44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below)</w:t>
            </w:r>
          </w:p>
        </w:tc>
      </w:tr>
    </w:tbl>
    <w:p>
      <w:pPr>
        <w:spacing w:after="0" w:line="36" w:lineRule="exact"/>
        <w:rPr>
          <w:sz w:val="24"/>
          <w:szCs w:val="24"/>
          <w:color w:val="auto"/>
        </w:rPr>
      </w:pPr>
    </w:p>
    <w:p>
      <w:pPr>
        <w:ind w:left="1023"/>
        <w:spacing w:after="0"/>
        <w:rPr>
          <w:sz w:val="20"/>
          <w:szCs w:val="20"/>
          <w:color w:val="auto"/>
        </w:rPr>
      </w:pPr>
      <w:r>
        <w:rPr>
          <w:rFonts w:ascii="Arial" w:cs="Arial" w:eastAsia="Arial" w:hAnsi="Arial"/>
          <w:sz w:val="20"/>
          <w:szCs w:val="20"/>
          <w:color w:val="0000FF"/>
        </w:rPr>
        <w:t>See Remark 1</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ind w:left="720"/>
              <w:spacing w:after="0"/>
              <w:rPr>
                <w:sz w:val="20"/>
                <w:szCs w:val="20"/>
                <w:color w:val="auto"/>
              </w:rPr>
            </w:pPr>
            <w:r>
              <w:rPr>
                <w:rFonts w:ascii="Arial" w:cs="Arial" w:eastAsia="Arial" w:hAnsi="Arial"/>
                <w:sz w:val="20"/>
                <w:szCs w:val="20"/>
                <w:color w:val="0000FF"/>
              </w:rPr>
              <w:t>191,838</w:t>
            </w:r>
          </w:p>
        </w:tc>
        <w:tc>
          <w:tcPr>
            <w:tcW w:w="920" w:type="dxa"/>
            <w:vAlign w:val="bottom"/>
            <w:vMerge w:val="restart"/>
          </w:tcPr>
          <w:p>
            <w:pPr>
              <w:ind w:left="820"/>
              <w:spacing w:after="0"/>
              <w:rPr>
                <w:sz w:val="20"/>
                <w:szCs w:val="20"/>
                <w:color w:val="auto"/>
              </w:rPr>
            </w:pPr>
            <w:r>
              <w:rPr>
                <w:rFonts w:ascii="Arial" w:cs="Arial" w:eastAsia="Arial" w:hAnsi="Arial"/>
                <w:sz w:val="20"/>
                <w:szCs w:val="20"/>
                <w:color w:val="0000FF"/>
              </w:rPr>
              <w:t>I</w:t>
            </w:r>
          </w:p>
        </w:tc>
        <w:tc>
          <w:tcPr>
            <w:tcW w:w="6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F-Prime Capital Partners Tech</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20"/>
                <w:szCs w:val="20"/>
                <w:color w:val="0000FF"/>
              </w:rPr>
              <w:t>Fund LP</w:t>
            </w: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0" w:type="dxa"/>
            <w:vAlign w:val="bottom"/>
            <w:tcBorders>
              <w:bottom w:val="single" w:sz="8" w:color="2C2C2C"/>
            </w:tcBorders>
            <w:gridSpan w:val="5"/>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5"/>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w w:val="97"/>
              </w:rPr>
              <w:t>F-Prime Capital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B-1 Preferred Stock</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7"/>
              </w:rPr>
              <w:t>4,183,071</w:t>
            </w:r>
          </w:p>
        </w:tc>
        <w:tc>
          <w:tcPr>
            <w:tcW w:w="600" w:type="dxa"/>
            <w:vAlign w:val="bottom"/>
          </w:tcPr>
          <w:p>
            <w:pPr>
              <w:ind w:left="420"/>
              <w:spacing w:after="0"/>
              <w:rPr>
                <w:sz w:val="20"/>
                <w:szCs w:val="20"/>
                <w:color w:val="auto"/>
              </w:rPr>
            </w:pPr>
            <w:r>
              <w:rPr>
                <w:rFonts w:ascii="Arial" w:cs="Arial" w:eastAsia="Arial" w:hAnsi="Arial"/>
                <w:sz w:val="13"/>
                <w:szCs w:val="13"/>
                <w:color w:val="008000"/>
              </w:rPr>
              <w:t>(1)</w:t>
            </w:r>
          </w:p>
        </w:tc>
        <w:tc>
          <w:tcPr>
            <w:tcW w:w="3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Partners Tech</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w w:val="97"/>
              </w:rPr>
              <w:t>F-Prime Capital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8"/>
              </w:rPr>
              <w:t>Series B-1 NV Preferred Stock</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7"/>
              </w:rPr>
              <w:t>1,145,526</w:t>
            </w:r>
          </w:p>
        </w:tc>
        <w:tc>
          <w:tcPr>
            <w:tcW w:w="600" w:type="dxa"/>
            <w:vAlign w:val="bottom"/>
          </w:tcPr>
          <w:p>
            <w:pPr>
              <w:ind w:left="420"/>
              <w:spacing w:after="0"/>
              <w:rPr>
                <w:sz w:val="20"/>
                <w:szCs w:val="20"/>
                <w:color w:val="auto"/>
              </w:rPr>
            </w:pPr>
            <w:r>
              <w:rPr>
                <w:rFonts w:ascii="Arial" w:cs="Arial" w:eastAsia="Arial" w:hAnsi="Arial"/>
                <w:sz w:val="13"/>
                <w:szCs w:val="13"/>
                <w:color w:val="008000"/>
              </w:rPr>
              <w:t>(1)</w:t>
            </w:r>
          </w:p>
        </w:tc>
        <w:tc>
          <w:tcPr>
            <w:tcW w:w="3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Partners Tech</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w w:val="97"/>
              </w:rPr>
              <w:t>F-Prime Capital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C Preferred Stock</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7"/>
              </w:rPr>
              <w:t>1,500,435</w:t>
            </w:r>
          </w:p>
        </w:tc>
        <w:tc>
          <w:tcPr>
            <w:tcW w:w="600" w:type="dxa"/>
            <w:vAlign w:val="bottom"/>
          </w:tcPr>
          <w:p>
            <w:pPr>
              <w:ind w:left="420"/>
              <w:spacing w:after="0"/>
              <w:rPr>
                <w:sz w:val="20"/>
                <w:szCs w:val="20"/>
                <w:color w:val="auto"/>
              </w:rPr>
            </w:pPr>
            <w:r>
              <w:rPr>
                <w:rFonts w:ascii="Arial" w:cs="Arial" w:eastAsia="Arial" w:hAnsi="Arial"/>
                <w:sz w:val="13"/>
                <w:szCs w:val="13"/>
                <w:color w:val="008000"/>
              </w:rPr>
              <w:t>(1)</w:t>
            </w:r>
          </w:p>
        </w:tc>
        <w:tc>
          <w:tcPr>
            <w:tcW w:w="3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Partners Tech</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w w:val="97"/>
              </w:rPr>
              <w:t>F-Prime Capital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B Preferred Stock</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420,024</w:t>
            </w:r>
          </w:p>
        </w:tc>
        <w:tc>
          <w:tcPr>
            <w:tcW w:w="600" w:type="dxa"/>
            <w:vAlign w:val="bottom"/>
          </w:tcPr>
          <w:p>
            <w:pPr>
              <w:ind w:left="420"/>
              <w:spacing w:after="0"/>
              <w:rPr>
                <w:sz w:val="20"/>
                <w:szCs w:val="20"/>
                <w:color w:val="auto"/>
              </w:rPr>
            </w:pPr>
            <w:r>
              <w:rPr>
                <w:rFonts w:ascii="Arial" w:cs="Arial" w:eastAsia="Arial" w:hAnsi="Arial"/>
                <w:sz w:val="13"/>
                <w:szCs w:val="13"/>
                <w:color w:val="008000"/>
              </w:rPr>
              <w:t>(1)</w:t>
            </w:r>
          </w:p>
        </w:tc>
        <w:tc>
          <w:tcPr>
            <w:tcW w:w="3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Partners Tech</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w w:val="97"/>
              </w:rPr>
              <w:t>F-Prime Capital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A Preferred Stock</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4"/>
              </w:rPr>
              <w:t>19,434</w:t>
            </w:r>
          </w:p>
        </w:tc>
        <w:tc>
          <w:tcPr>
            <w:tcW w:w="600" w:type="dxa"/>
            <w:vAlign w:val="bottom"/>
          </w:tcPr>
          <w:p>
            <w:pPr>
              <w:ind w:left="420"/>
              <w:spacing w:after="0"/>
              <w:rPr>
                <w:sz w:val="20"/>
                <w:szCs w:val="20"/>
                <w:color w:val="auto"/>
              </w:rPr>
            </w:pPr>
            <w:r>
              <w:rPr>
                <w:rFonts w:ascii="Arial" w:cs="Arial" w:eastAsia="Arial" w:hAnsi="Arial"/>
                <w:sz w:val="13"/>
                <w:szCs w:val="13"/>
                <w:color w:val="008000"/>
              </w:rPr>
              <w:t>(1)</w:t>
            </w:r>
          </w:p>
        </w:tc>
        <w:tc>
          <w:tcPr>
            <w:tcW w:w="3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Partners Tech</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Series A, B, C, B-1 NV, and B-1 Preferred Stock are convertible on a 1-for-1 basis into the number of shares of Common Stock as shown in column 3 at any time at the holder's election, and automatically upon the closing of the Issuer's initial public offering without payment or further consideration, and have no expiration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60"/>
        <w:spacing w:after="0" w:line="233" w:lineRule="auto"/>
        <w:rPr>
          <w:sz w:val="20"/>
          <w:szCs w:val="20"/>
          <w:color w:val="auto"/>
        </w:rPr>
      </w:pPr>
      <w:r>
        <w:rPr>
          <w:rFonts w:ascii="Arial" w:cs="Arial" w:eastAsia="Arial" w:hAnsi="Arial"/>
          <w:sz w:val="15"/>
          <w:szCs w:val="15"/>
          <w:color w:val="00800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The general partner of F-Prime Capital Partners Tech Fund LP is F-Prime Capital Partners Tech Advisors Fund LP (FPCPTA). FPCPTA is solely managed by Impresa Management LLC, the managing member of its general partner and its investment manager. Impresa Management LLC is owned, directly or indirectly, by various shareholders and employees of FMR LLC, including certain members of the Johnson family.</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9"/>
          </w:tcPr>
          <w:p>
            <w:pPr>
              <w:spacing w:after="0"/>
              <w:rPr>
                <w:sz w:val="20"/>
                <w:szCs w:val="20"/>
                <w:color w:val="auto"/>
              </w:rPr>
            </w:pPr>
            <w:r>
              <w:rPr>
                <w:rFonts w:ascii="Arial" w:cs="Arial" w:eastAsia="Arial" w:hAnsi="Arial"/>
                <w:sz w:val="20"/>
                <w:szCs w:val="20"/>
                <w:color w:val="0000FF"/>
                <w:w w:val="94"/>
              </w:rPr>
              <w:t>Kevin M. Meagher, Duly  05/26/2021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bottom w:val="single" w:sz="8" w:color="auto"/>
            </w:tcBorders>
            <w:gridSpan w:val="5"/>
          </w:tcPr>
          <w:p>
            <w:pPr>
              <w:spacing w:after="0" w:line="220" w:lineRule="exact"/>
              <w:rPr>
                <w:sz w:val="20"/>
                <w:szCs w:val="20"/>
                <w:color w:val="auto"/>
              </w:rPr>
            </w:pPr>
            <w:r>
              <w:rPr>
                <w:rFonts w:ascii="Arial" w:cs="Arial" w:eastAsia="Arial" w:hAnsi="Arial"/>
                <w:sz w:val="20"/>
                <w:szCs w:val="20"/>
                <w:color w:val="0000FF"/>
                <w:w w:val="86"/>
              </w:rPr>
              <w:t>authorized under Powers</w:t>
            </w:r>
          </w:p>
        </w:tc>
        <w:tc>
          <w:tcPr>
            <w:tcW w:w="20" w:type="dxa"/>
            <w:vAlign w:val="bottom"/>
            <w:tcBorders>
              <w:top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6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8"/>
              </w:rPr>
              <w:t>of Attorney, by and on</w:t>
            </w:r>
          </w:p>
        </w:tc>
        <w:tc>
          <w:tcPr>
            <w:tcW w:w="42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8"/>
          </w:tcPr>
          <w:p>
            <w:pPr>
              <w:spacing w:after="0" w:line="220" w:lineRule="exact"/>
              <w:rPr>
                <w:sz w:val="20"/>
                <w:szCs w:val="20"/>
                <w:color w:val="auto"/>
              </w:rPr>
            </w:pPr>
            <w:r>
              <w:rPr>
                <w:rFonts w:ascii="Arial" w:cs="Arial" w:eastAsia="Arial" w:hAnsi="Arial"/>
                <w:sz w:val="20"/>
                <w:szCs w:val="20"/>
                <w:color w:val="0000FF"/>
              </w:rPr>
              <w:t>behalf of FMR LLC and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0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its direct and indirect</w:t>
            </w:r>
          </w:p>
        </w:tc>
        <w:tc>
          <w:tcPr>
            <w:tcW w:w="28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20" w:type="dxa"/>
            <w:vAlign w:val="bottom"/>
            <w:tcBorders>
              <w:bottom w:val="single" w:sz="8" w:color="auto"/>
            </w:tcBorders>
            <w:gridSpan w:val="7"/>
          </w:tcPr>
          <w:p>
            <w:pPr>
              <w:spacing w:after="0" w:line="220" w:lineRule="exact"/>
              <w:rPr>
                <w:sz w:val="20"/>
                <w:szCs w:val="20"/>
                <w:color w:val="auto"/>
              </w:rPr>
            </w:pPr>
            <w:r>
              <w:rPr>
                <w:rFonts w:ascii="Arial" w:cs="Arial" w:eastAsia="Arial" w:hAnsi="Arial"/>
                <w:sz w:val="20"/>
                <w:szCs w:val="20"/>
                <w:color w:val="0000FF"/>
                <w:w w:val="87"/>
              </w:rPr>
              <w:t>subsidiaries, and Abigail P.</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4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1"/>
              </w:rPr>
              <w:t>Johnson</w:t>
            </w:r>
          </w:p>
        </w:tc>
        <w:tc>
          <w:tcPr>
            <w:tcW w:w="154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8"/>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0315066"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2021-05-26T14:57:11Z</dcterms:created>
  <dcterms:modified xsi:type="dcterms:W3CDTF">2021-05-26T14:57:11Z</dcterms:modified>
</cp:coreProperties>
</file>