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19, 2024 (March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192405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27-0690799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ind w:left="4764"/>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329-4524</w:t>
      </w:r>
    </w:p>
    <w:p>
      <w:pPr>
        <w:spacing w:after="0" w:line="1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the Articles of Incorporation or Bylaws; Change in Fiscal Year.</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March 15, 2024, the board of directors of Flywire Corporation (the “Company”) unanimously adopted Amended and Restated Bylaws of the Company (the bylaws, as so amended and restated, the “Amended and Restated Bylaws”), effective immediately, in order to modify the definition of “Acting in Concert” contained therein.</w:t>
      </w:r>
    </w:p>
    <w:p>
      <w:pPr>
        <w:spacing w:after="0" w:line="17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foregoing summary of the amendments does not purport to be complete and is qualified in its entirety by reference to the complete text of the Amended and Restated Bylaws, which are attached hereto as Exhibit 3.1 to this Current Report on Form 8-K and are incorporated herein by reference.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92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Flywire Corporation, effective March 15, 2024.</w:t>
            </w: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820"/>
          </w:cols>
          <w:pgMar w:left="440" w:top="293" w:right="639" w:bottom="1440" w:gutter="0" w:footer="0" w:header="0"/>
        </w:sectPr>
      </w:pPr>
    </w:p>
    <w:bookmarkStart w:id="2" w:name="page3"/>
    <w:bookmarkEnd w:id="2"/>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Orgel</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Orgel</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19, 2024</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75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FLYWIRE CORPORATION</w:t>
            </w:r>
          </w:p>
        </w:tc>
        <w:tc>
          <w:tcPr>
            <w:tcW w:w="2080" w:type="dxa"/>
            <w:vAlign w:val="bottom"/>
          </w:tcPr>
          <w:p>
            <w:pPr>
              <w:spacing w:after="0"/>
              <w:rPr>
                <w:sz w:val="19"/>
                <w:szCs w:val="19"/>
                <w:color w:val="auto"/>
              </w:rPr>
            </w:pPr>
          </w:p>
        </w:tc>
      </w:tr>
      <w:tr>
        <w:trPr>
          <w:trHeight w:val="234"/>
        </w:trPr>
        <w:tc>
          <w:tcPr>
            <w:tcW w:w="1380" w:type="dxa"/>
            <w:vAlign w:val="bottom"/>
          </w:tcPr>
          <w:p>
            <w:pPr>
              <w:spacing w:after="0"/>
              <w:rPr>
                <w:sz w:val="20"/>
                <w:szCs w:val="20"/>
                <w:color w:val="auto"/>
              </w:rPr>
            </w:pPr>
          </w:p>
        </w:tc>
        <w:tc>
          <w:tcPr>
            <w:tcW w:w="75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 Delaware corporation)</w:t>
            </w:r>
          </w:p>
        </w:tc>
        <w:tc>
          <w:tcPr>
            <w:tcW w:w="2080" w:type="dxa"/>
            <w:vAlign w:val="bottom"/>
          </w:tcPr>
          <w:p>
            <w:pPr>
              <w:spacing w:after="0"/>
              <w:rPr>
                <w:sz w:val="20"/>
                <w:szCs w:val="20"/>
                <w:color w:val="auto"/>
              </w:rPr>
            </w:pPr>
          </w:p>
        </w:tc>
      </w:tr>
      <w:tr>
        <w:trPr>
          <w:trHeight w:val="414"/>
        </w:trPr>
        <w:tc>
          <w:tcPr>
            <w:tcW w:w="1380" w:type="dxa"/>
            <w:vAlign w:val="bottom"/>
          </w:tcPr>
          <w:p>
            <w:pPr>
              <w:spacing w:after="0"/>
              <w:rPr>
                <w:sz w:val="24"/>
                <w:szCs w:val="24"/>
                <w:color w:val="auto"/>
              </w:rPr>
            </w:pPr>
          </w:p>
        </w:tc>
        <w:tc>
          <w:tcPr>
            <w:tcW w:w="75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AMENDED AND RESTATED BYLAWS</w:t>
            </w:r>
          </w:p>
        </w:tc>
        <w:tc>
          <w:tcPr>
            <w:tcW w:w="2080" w:type="dxa"/>
            <w:vAlign w:val="bottom"/>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75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As adopted March 15, 2024</w:t>
            </w:r>
          </w:p>
        </w:tc>
        <w:tc>
          <w:tcPr>
            <w:tcW w:w="2080" w:type="dxa"/>
            <w:vAlign w:val="bottom"/>
          </w:tcPr>
          <w:p>
            <w:pPr>
              <w:spacing w:after="0"/>
              <w:rPr>
                <w:sz w:val="20"/>
                <w:szCs w:val="20"/>
                <w:color w:val="auto"/>
              </w:rPr>
            </w:pPr>
          </w:p>
        </w:tc>
      </w:tr>
      <w:tr>
        <w:trPr>
          <w:trHeight w:val="432"/>
        </w:trPr>
        <w:tc>
          <w:tcPr>
            <w:tcW w:w="1380" w:type="dxa"/>
            <w:vAlign w:val="bottom"/>
          </w:tcPr>
          <w:p>
            <w:pPr>
              <w:spacing w:after="0"/>
              <w:rPr>
                <w:sz w:val="24"/>
                <w:szCs w:val="24"/>
                <w:color w:val="auto"/>
              </w:rPr>
            </w:pPr>
          </w:p>
        </w:tc>
        <w:tc>
          <w:tcPr>
            <w:tcW w:w="75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80" w:type="dxa"/>
            <w:vAlign w:val="bottom"/>
          </w:tcPr>
          <w:p>
            <w:pPr>
              <w:spacing w:after="0"/>
              <w:rPr>
                <w:sz w:val="24"/>
                <w:szCs w:val="24"/>
                <w:color w:val="auto"/>
              </w:rPr>
            </w:pPr>
          </w:p>
        </w:tc>
      </w:tr>
      <w:tr>
        <w:trPr>
          <w:trHeight w:val="408"/>
        </w:trPr>
        <w:tc>
          <w:tcPr>
            <w:tcW w:w="13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STOCKHOLDERS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Adjournments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Quorum</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Voting; Proxies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1.8</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1.9</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Inspectors of Elections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Stockholder Business; Nominations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 by Written Consent of Stockholders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BOARD OF DIRECTORS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Qualifications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Election; Resignation; Removal; Vacancies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Regular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Remote Meetings Permitted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Quorum; Vote Required for Action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Unanimous Action by Directors in Lieu of a Meeting</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COMMITTEES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Committee Rules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OFFICERS; CHAIRPERSON; LEAD INDEPENDENT DIRECTOR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Generally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Chairperson of the Board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Secretary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Delegation of Authority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Removal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Voting Shares in Other Business Entities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4.13</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Uncertificated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Lost, Stolen or Destroyed Stock Certificates; Issuance of New Certificates or Uncertificated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Regulations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0960"/>
          </w:cols>
          <w:pgMar w:left="440" w:top="270" w:right="4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of Expenses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Non-Exclusivity of Rights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 Contracts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Indemnitee to Bring Suit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Nature of Rights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NOTICES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Notice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INTERESTED DIRECTORS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Interested Directors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Quorum</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Seal</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Records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Upon Books and Records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Incorporation Governs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Periods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AMENDMENT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0960"/>
          </w:cols>
          <w:pgMar w:left="440" w:top="270"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FLYWIRE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Adopted March 15, 2024</w:t>
      </w:r>
    </w:p>
    <w:p>
      <w:pPr>
        <w:spacing w:after="0" w:line="1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required by applicable law, an annual meeting of stockholders shall be held for the election of directors at such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time as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Flywire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each year fix. The meeting may be held either at a place, within or without the State of Delaware as permitted by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or by means of remote communication as the Board in its sole discretion may determine. Any other proper business may be transacted at the annual meeting. The Corporation may postpone, reschedule or cancel any annual meeting of stockholders previously scheduled by the Board.</w:t>
      </w:r>
    </w:p>
    <w:p>
      <w:pPr>
        <w:spacing w:after="0" w:line="17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stockholders for any purpose or purposes shall be called in the manner set forth in the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of Incorporation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The special meeting may be held either at a place, within or without the State of Delaware, or by means of remote communication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in its sole discretion may determine. Business transacted at any special meeting of stockholders shall be limited to matters relating to the purpose or purposes stated in the notice of the meeting. The Corporation may postpone, reschedule or cancel any special meeting of stockholders previously scheduled by the Board.</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all meetings of stockholders shall be given in writing or by electronic transmission in the manner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(including, without limitation, as set forth in Section 7.1.1 of these Bylaws) stating the date, time and place, if any, of the meeting, the means of remote communication, if any, by which stockholders and proxy holders who are entitled to vote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Adjournments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Section 1.5 of these Bylaws, the chairperson of the meeting shall have the power to recess or adjourn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of stockholders, annual or special,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who are entitled to vote may be deemed to be present in person and vote at such adjourned meeting are announced at the meeting at which the adjournment is taken;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(x) the adjournment is for more than thirty (30) days, a notice of the adjourned meeting shall be given to each stockholder of record entitled to vote at the meeting or (y)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applicable law, the Certificate of Incorporation or these Bylaws, at each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holders of a majority of the voting power of the shares of stock issued and outstanding and entitled to vote at the meeting, present in person or represented by proxy, shall constitute a quorum for the transaction of business;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8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stockholders shall be presided over by (a) such person as the Board may designate, or (b) in the absence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The Secretary of the Corporation shall act as secretary of the meeting, but in such person’s absence the chairperson of the meeting may appoint any person to act as secretary of the meeting.</w:t>
      </w:r>
    </w:p>
    <w:p>
      <w:pPr>
        <w:spacing w:after="0" w:line="1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u w:val="single" w:color="auto"/>
          <w:color w:val="auto"/>
        </w:rPr>
        <w:t>Voting; 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stockholder of record entitled to vote at a meeting of stockholders, or to take corporate action by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 meeting, may authorize another person or persons to act for such stockholder by proxy, but no such proxy shall be voted or acted upon after three years from its date, unless the proxy provides for a longer period. Such a proxy may be prepared, transmitted and delivered in any manner permitted by applicable law. Except as may be required in the Certificate of Incorporation, at all meetings of stockholders for the election of directors at which a quorum is present, directors shall be elected by a plurality of the votes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u w:val="single" w:color="auto"/>
          <w:color w:val="auto"/>
        </w:rPr>
        <w:t>Fixing Date for Determination of Stockholders of Record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8" w:name="page9"/>
    <w:bookmarkEnd w:id="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Stockholder Action by Written Consent</w:t>
      </w:r>
      <w:r>
        <w:rPr>
          <w:rFonts w:ascii="Times New Roman" w:cs="Times New Roman" w:eastAsia="Times New Roman" w:hAnsi="Times New Roman"/>
          <w:sz w:val="18"/>
          <w:szCs w:val="18"/>
          <w:color w:val="auto"/>
        </w:rPr>
        <w:t>. If stockholders are permitted to act by written consent pursuant to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(10) days after the date upon which the resolution fixing the record date is adopted by the Board. If no record date has been fixed by the Board pursuant to the first sentence of this Section 1.8.2, the record date for determining stockholders entitled to consent to corporate action in writing without a meeting (if stockholders are permitted to act by written consent pursuant to the Certificate of Incorporation), when no prior action by the Board is required by applicable law, shall be the first date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pursuant to the first sentence of this Section 1.8.2, the record date for determining stockholders entitled to consent to corporate action in writing without a meeting if prior action by the Board is required by applicable law shall be at the close of business on the date on which the Board adopts the resolution taking such prior action.</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New York Time on the day on which the Board adopts the resolution relating thereto.</w:t>
      </w:r>
    </w:p>
    <w:p>
      <w:pPr>
        <w:spacing w:after="0" w:line="18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1.9 </w:t>
      </w:r>
      <w:r>
        <w:rPr>
          <w:rFonts w:ascii="Times New Roman" w:cs="Times New Roman" w:eastAsia="Times New Roman" w:hAnsi="Times New Roman"/>
          <w:sz w:val="17"/>
          <w:szCs w:val="17"/>
          <w:b w:val="1"/>
          <w:bCs w:val="1"/>
          <w:u w:val="single" w:color="auto"/>
          <w:color w:val="auto"/>
        </w:rPr>
        <w:t>List of Stockholders Entitled to Vote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 shall prepare, at least ten (10) days before every meeting of stockholders,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complete list of stockholders entitled to vote at the meeting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as permitted by applicable law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determine who are holders of Voting Common Stock and entitled to vote in person or by proxy at any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b w:val="1"/>
          <w:bCs w:val="1"/>
          <w:u w:val="single" w:color="auto"/>
          <w:color w:val="auto"/>
        </w:rPr>
        <w:t>Inspectors of Elections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u w:val="single" w:color="auto"/>
          <w:color w:val="auto"/>
        </w:rPr>
        <w:t>Applicability</w:t>
      </w:r>
      <w:r>
        <w:rPr>
          <w:rFonts w:ascii="Times New Roman" w:cs="Times New Roman" w:eastAsia="Times New Roman" w:hAnsi="Times New Roman"/>
          <w:sz w:val="18"/>
          <w:szCs w:val="18"/>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9" w:name="page10"/>
    <w:bookmarkEnd w:id="9"/>
    <w:p>
      <w:pPr>
        <w:jc w:val="both"/>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1.10.2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80"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 xml:space="preserve">1.10.3 </w:t>
      </w:r>
      <w:r>
        <w:rPr>
          <w:rFonts w:ascii="Times New Roman" w:cs="Times New Roman" w:eastAsia="Times New Roman" w:hAnsi="Times New Roman"/>
          <w:sz w:val="18"/>
          <w:szCs w:val="18"/>
          <w:u w:val="single" w:color="auto"/>
          <w:color w:val="auto"/>
        </w:rPr>
        <w:t>Inspector’s Oath</w:t>
      </w:r>
      <w:r>
        <w:rPr>
          <w:rFonts w:ascii="Times New Roman" w:cs="Times New Roman" w:eastAsia="Times New Roman" w:hAnsi="Times New Roman"/>
          <w:sz w:val="18"/>
          <w:szCs w:val="18"/>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162"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 xml:space="preserve">1.10.4 </w:t>
      </w:r>
      <w:r>
        <w:rPr>
          <w:rFonts w:ascii="Times New Roman" w:cs="Times New Roman" w:eastAsia="Times New Roman" w:hAnsi="Times New Roman"/>
          <w:sz w:val="18"/>
          <w:szCs w:val="18"/>
          <w:u w:val="single" w:color="auto"/>
          <w:color w:val="auto"/>
        </w:rPr>
        <w:t>Duties of Inspectors</w:t>
      </w:r>
      <w:r>
        <w:rPr>
          <w:rFonts w:ascii="Times New Roman" w:cs="Times New Roman" w:eastAsia="Times New Roman" w:hAnsi="Times New Roman"/>
          <w:sz w:val="18"/>
          <w:szCs w:val="18"/>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w:t>
      </w: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of time a record of the disposition of any challenges made to any determination by the inspectors, and</w:t>
      </w:r>
    </w:p>
    <w:p>
      <w:pPr>
        <w:spacing w:after="0" w:line="9" w:lineRule="exact"/>
        <w:rPr>
          <w:rFonts w:ascii="Times New Roman" w:cs="Times New Roman" w:eastAsia="Times New Roman" w:hAnsi="Times New Roman"/>
          <w:sz w:val="18"/>
          <w:szCs w:val="18"/>
          <w:color w:val="auto"/>
        </w:rPr>
      </w:pPr>
    </w:p>
    <w:p>
      <w:pPr>
        <w:ind w:left="4" w:right="60" w:hanging="4"/>
        <w:spacing w:after="0" w:line="260"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1.10.5 </w:t>
      </w:r>
      <w:r>
        <w:rPr>
          <w:rFonts w:ascii="Times New Roman" w:cs="Times New Roman" w:eastAsia="Times New Roman" w:hAnsi="Times New Roman"/>
          <w:sz w:val="18"/>
          <w:szCs w:val="18"/>
          <w:u w:val="single" w:color="auto"/>
          <w:color w:val="auto"/>
        </w:rPr>
        <w:t>Opening and Closing of Polls</w:t>
      </w:r>
      <w:r>
        <w:rPr>
          <w:rFonts w:ascii="Times New Roman" w:cs="Times New Roman" w:eastAsia="Times New Roman" w:hAnsi="Times New Roman"/>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80"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 xml:space="preserve">1.10.6 </w:t>
      </w:r>
      <w:r>
        <w:rPr>
          <w:rFonts w:ascii="Times New Roman" w:cs="Times New Roman" w:eastAsia="Times New Roman" w:hAnsi="Times New Roman"/>
          <w:sz w:val="18"/>
          <w:szCs w:val="18"/>
          <w:u w:val="single" w:color="auto"/>
          <w:color w:val="auto"/>
        </w:rPr>
        <w:t>Determinations</w:t>
      </w:r>
      <w:r>
        <w:rPr>
          <w:rFonts w:ascii="Times New Roman" w:cs="Times New Roman" w:eastAsia="Times New Roman" w:hAnsi="Times New Roman"/>
          <w:sz w:val="18"/>
          <w:szCs w:val="18"/>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84"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1.11 </w:t>
      </w:r>
      <w:r>
        <w:rPr>
          <w:rFonts w:ascii="Times New Roman" w:cs="Times New Roman" w:eastAsia="Times New Roman" w:hAnsi="Times New Roman"/>
          <w:sz w:val="17"/>
          <w:szCs w:val="17"/>
          <w:b w:val="1"/>
          <w:bCs w:val="1"/>
          <w:u w:val="single" w:color="auto"/>
          <w:color w:val="auto"/>
        </w:rPr>
        <w:t>Conduct of Meetings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may adopt by resolution such rules and regulations for the conduct of the meeting of stockholders as 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(v) limitations on the time allotted to questions or comments by participants; (vi) 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0" w:name="page11"/>
    <w:bookmarkEnd w:id="10"/>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b w:val="1"/>
          <w:bCs w:val="1"/>
          <w:u w:val="single" w:color="auto"/>
          <w:color w:val="auto"/>
        </w:rPr>
        <w:t>Notice of Stockholder Business; Nominations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hanging="4"/>
        <w:spacing w:after="0" w:line="254"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Times New Roman" w:cs="Times New Roman" w:eastAsia="Times New Roman" w:hAnsi="Times New Roman"/>
          <w:sz w:val="18"/>
          <w:szCs w:val="18"/>
          <w:b w:val="1"/>
          <w:bCs w:val="1"/>
          <w:i w:val="1"/>
          <w:iCs w:val="1"/>
          <w:color w:val="auto"/>
        </w:rPr>
        <w:t>Record Stockholder</w:t>
      </w:r>
      <w:r>
        <w:rPr>
          <w:rFonts w:ascii="Times New Roman" w:cs="Times New Roman" w:eastAsia="Times New Roman" w:hAnsi="Times New Roman"/>
          <w:sz w:val="18"/>
          <w:szCs w:val="18"/>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at an annual meeting of stockholders, and such stockholder must fully comply with the notice and other procedures set forth in this Section 1.12 to make such nominations or propose business before an annual meeting.</w:t>
      </w:r>
    </w:p>
    <w:p>
      <w:pPr>
        <w:spacing w:after="0" w:line="188" w:lineRule="exact"/>
        <w:rPr>
          <w:rFonts w:ascii="Times New Roman" w:cs="Times New Roman" w:eastAsia="Times New Roman" w:hAnsi="Times New Roman"/>
          <w:sz w:val="18"/>
          <w:szCs w:val="18"/>
          <w:color w:val="auto"/>
        </w:rPr>
      </w:pPr>
    </w:p>
    <w:p>
      <w:pPr>
        <w:ind w:left="4" w:right="200" w:hanging="4"/>
        <w:spacing w:after="0" w:line="282"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Record Stockholder pursuant to Section 1.12.1(a) of these Bylaws:</w:t>
      </w:r>
    </w:p>
    <w:p>
      <w:pPr>
        <w:spacing w:after="0" w:line="54" w:lineRule="exact"/>
        <w:rPr>
          <w:sz w:val="20"/>
          <w:szCs w:val="20"/>
          <w:color w:val="auto"/>
        </w:rPr>
      </w:pPr>
    </w:p>
    <w:p>
      <w:pPr>
        <w:ind w:left="4" w:right="80" w:hanging="4"/>
        <w:spacing w:after="0" w:line="282"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business (other than the nomination of persons for election to the Board) must otherwise be a proper matter for stockholder action;</w:t>
      </w:r>
    </w:p>
    <w:p>
      <w:pPr>
        <w:spacing w:after="0" w:line="225" w:lineRule="exact"/>
        <w:rPr>
          <w:rFonts w:ascii="Times New Roman" w:cs="Times New Roman" w:eastAsia="Times New Roman" w:hAnsi="Times New Roman"/>
          <w:sz w:val="18"/>
          <w:szCs w:val="18"/>
          <w:color w:val="auto"/>
        </w:rPr>
      </w:pPr>
    </w:p>
    <w:p>
      <w:pPr>
        <w:ind w:left="4" w:hanging="4"/>
        <w:spacing w:after="0" w:line="256"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87" w:lineRule="exact"/>
        <w:rPr>
          <w:rFonts w:ascii="Times New Roman" w:cs="Times New Roman" w:eastAsia="Times New Roman" w:hAnsi="Times New Roman"/>
          <w:sz w:val="18"/>
          <w:szCs w:val="18"/>
          <w:color w:val="auto"/>
        </w:rPr>
      </w:pPr>
    </w:p>
    <w:p>
      <w:pPr>
        <w:ind w:left="4" w:right="80" w:hanging="4"/>
        <w:spacing w:after="0" w:line="253"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 To be timely, a Record Stockholder’s notice must be delivered to the Secretary at the principal executive offices of the Corporation not later than 5:00 p.m. New York Time on the ninetieth (90th) day nor earlier than 5:00 p.m. New York Time on the one hundred and twentieth (120th) day prior to the first anniversary of the preceding year’s annual meeting (which date shall, for purposes of the Corporation’s first annual meeting of stockholders after its shares of Common Stock (as defined in the Certificate of Incorporation) are first publicly traded, be deemed to have occurred on June 8, 2021);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the event that the date of the annual meeting is more than thirty (30) days before or more than seventy (70) days after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date, notice by the Record Stockholder to be timely must be so delivered (A) no earlier than 5:00 p.m. New York Time on the one hundred and twentieth (120th) day prior to such annual meeting and (B) no later than 5:00 p.m. New York Time on the later of the ninetieth (90th) day prior to such annual meeting or 5:00 p.m. New York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1" w:name="page12"/>
    <w:bookmarkEnd w:id="11"/>
    <w:p>
      <w:pPr>
        <w:ind w:left="4" w:right="200" w:hanging="4"/>
        <w:spacing w:after="0" w:line="282"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to each person whom the Record Stockholder proposes to nominate for election or reelection as a director, in addition to the matters set forth in paragraph (e) below, such Record Stockholder’s notice shall set forth:</w:t>
      </w:r>
    </w:p>
    <w:p>
      <w:pPr>
        <w:spacing w:after="0" w:line="54" w:lineRule="exact"/>
        <w:rPr>
          <w:sz w:val="20"/>
          <w:szCs w:val="20"/>
          <w:color w:val="auto"/>
        </w:rPr>
      </w:pPr>
    </w:p>
    <w:p>
      <w:pPr>
        <w:ind w:left="224" w:hanging="224"/>
        <w:spacing w:after="0"/>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such person;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such nominee;</w:t>
      </w:r>
    </w:p>
    <w:p>
      <w:pPr>
        <w:spacing w:after="0" w:line="225" w:lineRule="exact"/>
        <w:rPr>
          <w:rFonts w:ascii="Times New Roman" w:cs="Times New Roman" w:eastAsia="Times New Roman" w:hAnsi="Times New Roman"/>
          <w:sz w:val="18"/>
          <w:szCs w:val="18"/>
          <w:color w:val="auto"/>
        </w:rPr>
      </w:pPr>
    </w:p>
    <w:p>
      <w:pPr>
        <w:ind w:left="4" w:right="640" w:hanging="4"/>
        <w:spacing w:after="0" w:line="282"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any shares of stock of the Corporation that are beneficially owned or owned of record by such person or any Associated Person (as defined in Section 1.12.4(c));</w:t>
      </w:r>
    </w:p>
    <w:p>
      <w:pPr>
        <w:spacing w:after="0" w:line="16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such shares were acquired and the investment intent of such acquisition;</w:t>
      </w:r>
    </w:p>
    <w:p>
      <w:pPr>
        <w:spacing w:after="0" w:line="225"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175" w:lineRule="exact"/>
        <w:rPr>
          <w:rFonts w:ascii="Times New Roman" w:cs="Times New Roman" w:eastAsia="Times New Roman" w:hAnsi="Times New Roman"/>
          <w:sz w:val="18"/>
          <w:szCs w:val="18"/>
          <w:color w:val="auto"/>
        </w:rPr>
      </w:pPr>
    </w:p>
    <w:p>
      <w:pPr>
        <w:ind w:left="4" w:right="160" w:hanging="4"/>
        <w:spacing w:after="0" w:line="312" w:lineRule="auto"/>
        <w:tabs>
          <w:tab w:leader="none" w:pos="30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39" w:lineRule="exact"/>
        <w:rPr>
          <w:rFonts w:ascii="Times New Roman" w:cs="Times New Roman" w:eastAsia="Times New Roman" w:hAnsi="Times New Roman"/>
          <w:sz w:val="17"/>
          <w:szCs w:val="17"/>
          <w:color w:val="auto"/>
        </w:rPr>
      </w:pPr>
    </w:p>
    <w:p>
      <w:pPr>
        <w:ind w:left="4" w:right="600" w:hanging="4"/>
        <w:spacing w:after="0" w:line="282" w:lineRule="auto"/>
        <w:tabs>
          <w:tab w:leader="none" w:pos="3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person meets the independence requirements of the stock exchange upon which the Corporation’s Class A Common Stock (or Common Stock) is primarily traded;</w:t>
      </w:r>
    </w:p>
    <w:p>
      <w:pPr>
        <w:spacing w:after="0" w:line="161" w:lineRule="exact"/>
        <w:rPr>
          <w:rFonts w:ascii="Times New Roman" w:cs="Times New Roman" w:eastAsia="Times New Roman" w:hAnsi="Times New Roman"/>
          <w:sz w:val="18"/>
          <w:szCs w:val="18"/>
          <w:color w:val="auto"/>
        </w:rPr>
      </w:pPr>
    </w:p>
    <w:p>
      <w:pPr>
        <w:ind w:left="4" w:hanging="4"/>
        <w:spacing w:after="0" w:line="258" w:lineRule="auto"/>
        <w:tabs>
          <w:tab w:leader="none" w:pos="4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8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signed questionnaire, representation and agreement required by Section 1.12.2 of these Bylaws.</w:t>
      </w:r>
    </w:p>
    <w:p>
      <w:pPr>
        <w:spacing w:after="0" w:line="225" w:lineRule="exact"/>
        <w:rPr>
          <w:sz w:val="20"/>
          <w:szCs w:val="20"/>
          <w:color w:val="auto"/>
        </w:rPr>
      </w:pPr>
    </w:p>
    <w:p>
      <w:pPr>
        <w:ind w:left="4" w:right="100" w:hanging="4"/>
        <w:spacing w:after="0" w:line="282"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54" w:lineRule="exact"/>
        <w:rPr>
          <w:sz w:val="20"/>
          <w:szCs w:val="20"/>
          <w:color w:val="auto"/>
        </w:rPr>
      </w:pPr>
    </w:p>
    <w:p>
      <w:pPr>
        <w:ind w:left="4" w:right="240" w:hanging="4"/>
        <w:spacing w:after="0" w:line="261"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79" w:lineRule="exact"/>
        <w:rPr>
          <w:rFonts w:ascii="Times New Roman" w:cs="Times New Roman" w:eastAsia="Times New Roman" w:hAnsi="Times New Roman"/>
          <w:sz w:val="18"/>
          <w:szCs w:val="18"/>
          <w:color w:val="auto"/>
        </w:rPr>
      </w:pPr>
    </w:p>
    <w:p>
      <w:pPr>
        <w:ind w:left="4" w:right="20" w:hanging="4"/>
        <w:spacing w:after="0" w:line="266"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 As to each Proposing Person giving the notice, such Record Stockholder’s notice shall set forth:</w:t>
      </w:r>
    </w:p>
    <w:p>
      <w:pPr>
        <w:spacing w:after="0" w:line="225" w:lineRule="exact"/>
        <w:rPr>
          <w:sz w:val="20"/>
          <w:szCs w:val="20"/>
          <w:color w:val="auto"/>
        </w:rPr>
      </w:pPr>
    </w:p>
    <w:p>
      <w:pPr>
        <w:ind w:left="4" w:right="300" w:hanging="4"/>
        <w:spacing w:after="0" w:line="282"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name and address of such Proposing Person, including, if applicable, their name and address as they appear on the Corporation’s stock ledger, if different;</w:t>
      </w:r>
    </w:p>
    <w:p>
      <w:pPr>
        <w:spacing w:after="0" w:line="161" w:lineRule="exact"/>
        <w:rPr>
          <w:rFonts w:ascii="Times New Roman" w:cs="Times New Roman" w:eastAsia="Times New Roman" w:hAnsi="Times New Roman"/>
          <w:sz w:val="18"/>
          <w:szCs w:val="18"/>
          <w:color w:val="auto"/>
        </w:rPr>
      </w:pPr>
    </w:p>
    <w:p>
      <w:pPr>
        <w:jc w:val="both"/>
        <w:ind w:left="4" w:right="360" w:hanging="4"/>
        <w:spacing w:after="0" w:line="266"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2" w:name="page13"/>
    <w:bookmarkEnd w:id="12"/>
    <w:p>
      <w:pPr>
        <w:ind w:left="4" w:hanging="4"/>
        <w:spacing w:after="0" w:line="252"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Times New Roman" w:cs="Times New Roman" w:eastAsia="Times New Roman" w:hAnsi="Times New Roman"/>
          <w:sz w:val="18"/>
          <w:szCs w:val="18"/>
          <w:b w:val="1"/>
          <w:bCs w:val="1"/>
          <w:i w:val="1"/>
          <w:iCs w:val="1"/>
          <w:color w:val="auto"/>
        </w:rPr>
        <w:t>Derivative Instrument</w:t>
      </w:r>
      <w:r>
        <w:rPr>
          <w:rFonts w:ascii="Times New Roman" w:cs="Times New Roman" w:eastAsia="Times New Roman" w:hAnsi="Times New Roman"/>
          <w:sz w:val="18"/>
          <w:szCs w:val="18"/>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Times New Roman" w:cs="Times New Roman" w:eastAsia="Times New Roman" w:hAnsi="Times New Roman"/>
          <w:sz w:val="18"/>
          <w:szCs w:val="18"/>
          <w:b w:val="1"/>
          <w:bCs w:val="1"/>
          <w:i w:val="1"/>
          <w:iCs w:val="1"/>
          <w:color w:val="auto"/>
        </w:rPr>
        <w:t>Short Interest</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4" w:right="40" w:hanging="4"/>
        <w:spacing w:after="0" w:line="266" w:lineRule="auto"/>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75" w:lineRule="exact"/>
        <w:rPr>
          <w:rFonts w:ascii="Times New Roman" w:cs="Times New Roman" w:eastAsia="Times New Roman" w:hAnsi="Times New Roman"/>
          <w:sz w:val="18"/>
          <w:szCs w:val="18"/>
          <w:color w:val="auto"/>
        </w:rPr>
      </w:pPr>
    </w:p>
    <w:p>
      <w:pPr>
        <w:ind w:left="4" w:right="40" w:hanging="4"/>
        <w:spacing w:after="0" w:line="282"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161" w:lineRule="exact"/>
        <w:rPr>
          <w:rFonts w:ascii="Times New Roman" w:cs="Times New Roman" w:eastAsia="Times New Roman" w:hAnsi="Times New Roman"/>
          <w:sz w:val="18"/>
          <w:szCs w:val="18"/>
          <w:color w:val="auto"/>
        </w:rPr>
      </w:pPr>
    </w:p>
    <w:p>
      <w:pPr>
        <w:ind w:left="4" w:right="160" w:hanging="4"/>
        <w:spacing w:after="0" w:line="282" w:lineRule="auto"/>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or any Derivative Instruments or Short Interests in any Competitor held by such Proposing Person and/or any of its respective affiliates or associates;</w:t>
      </w:r>
    </w:p>
    <w:p>
      <w:pPr>
        <w:spacing w:after="0" w:line="161" w:lineRule="exact"/>
        <w:rPr>
          <w:rFonts w:ascii="Times New Roman" w:cs="Times New Roman" w:eastAsia="Times New Roman" w:hAnsi="Times New Roman"/>
          <w:sz w:val="18"/>
          <w:szCs w:val="18"/>
          <w:color w:val="auto"/>
        </w:rPr>
      </w:pPr>
    </w:p>
    <w:p>
      <w:pPr>
        <w:ind w:left="4" w:right="500" w:hanging="4"/>
        <w:spacing w:after="0" w:line="282" w:lineRule="auto"/>
        <w:tabs>
          <w:tab w:leader="none" w:pos="3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relationship between such Proposing Person, on the one hand, and the Corporation, any affiliate of the Corporation or any Competitor, on the other hand;</w:t>
      </w:r>
    </w:p>
    <w:p>
      <w:pPr>
        <w:spacing w:after="0" w:line="161"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that would be required to be set forth in a Schedule 13D filed pursuant to Rule 13d-1(a) or an amendment pursuant to Rule</w:t>
      </w:r>
    </w:p>
    <w:p>
      <w:pPr>
        <w:spacing w:after="0" w:line="27" w:lineRule="exact"/>
        <w:rPr>
          <w:sz w:val="20"/>
          <w:szCs w:val="20"/>
          <w:color w:val="auto"/>
        </w:rPr>
      </w:pPr>
    </w:p>
    <w:p>
      <w:pPr>
        <w:ind w:left="4" w:right="120"/>
        <w:spacing w:after="0" w:line="260" w:lineRule="auto"/>
        <w:rPr>
          <w:sz w:val="20"/>
          <w:szCs w:val="20"/>
          <w:color w:val="auto"/>
        </w:rPr>
      </w:pPr>
      <w:r>
        <w:rPr>
          <w:rFonts w:ascii="Times New Roman" w:cs="Times New Roman" w:eastAsia="Times New Roman" w:hAnsi="Times New Roman"/>
          <w:sz w:val="18"/>
          <w:szCs w:val="18"/>
          <w:color w:val="auto"/>
        </w:rPr>
        <w:t>13d-2(a) if such a statement were required to be filed under the Exchange Act and the rules and regulations promulgated thereunder by such Proposing Person and/or any of its respective affiliates or associates;</w:t>
      </w:r>
    </w:p>
    <w:p>
      <w:pPr>
        <w:spacing w:after="0" w:line="181" w:lineRule="exact"/>
        <w:rPr>
          <w:sz w:val="20"/>
          <w:szCs w:val="20"/>
          <w:color w:val="auto"/>
        </w:rPr>
      </w:pPr>
    </w:p>
    <w:p>
      <w:pPr>
        <w:ind w:left="4" w:right="260" w:hanging="4"/>
        <w:spacing w:after="0" w:line="266" w:lineRule="auto"/>
        <w:tabs>
          <w:tab w:leader="none" w:pos="3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Proposing Person’s written consent to the public disclosure of information provided to the Corporation pursuant to this Section 1.12;</w:t>
      </w:r>
    </w:p>
    <w:p>
      <w:pPr>
        <w:spacing w:after="0" w:line="225" w:lineRule="exact"/>
        <w:rPr>
          <w:rFonts w:ascii="Times New Roman" w:cs="Times New Roman" w:eastAsia="Times New Roman" w:hAnsi="Times New Roman"/>
          <w:sz w:val="18"/>
          <w:szCs w:val="18"/>
          <w:color w:val="auto"/>
        </w:rPr>
      </w:pPr>
    </w:p>
    <w:p>
      <w:pPr>
        <w:jc w:val="both"/>
        <w:ind w:left="4" w:right="60" w:hanging="4"/>
        <w:spacing w:after="0" w:line="266" w:lineRule="auto"/>
        <w:tabs>
          <w:tab w:leader="none" w:pos="3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75" w:lineRule="exact"/>
        <w:rPr>
          <w:rFonts w:ascii="Times New Roman" w:cs="Times New Roman" w:eastAsia="Times New Roman" w:hAnsi="Times New Roman"/>
          <w:sz w:val="18"/>
          <w:szCs w:val="18"/>
          <w:color w:val="auto"/>
        </w:rPr>
      </w:pPr>
    </w:p>
    <w:p>
      <w:pPr>
        <w:ind w:left="4" w:right="60" w:hanging="4"/>
        <w:spacing w:after="0" w:line="282" w:lineRule="auto"/>
        <w:tabs>
          <w:tab w:leader="none" w:pos="3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3" w:name="page14"/>
    <w:bookmarkEnd w:id="13"/>
    <w:p>
      <w:pPr>
        <w:jc w:val="both"/>
        <w:ind w:left="4" w:right="60" w:hanging="4"/>
        <w:spacing w:after="0" w:line="261" w:lineRule="auto"/>
        <w:tabs>
          <w:tab w:leader="none" w:pos="4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Times New Roman" w:cs="Times New Roman" w:eastAsia="Times New Roman" w:hAnsi="Times New Roman"/>
          <w:sz w:val="18"/>
          <w:szCs w:val="18"/>
          <w:b w:val="1"/>
          <w:bCs w:val="1"/>
          <w:i w:val="1"/>
          <w:iCs w:val="1"/>
          <w:color w:val="auto"/>
        </w:rPr>
        <w:t>Solicitation Notice</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4" w:right="260" w:hanging="4"/>
        <w:spacing w:after="0" w:line="282" w:lineRule="auto"/>
        <w:tabs>
          <w:tab w:leader="none" w:pos="3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contract, arrangement, or relationship pursuant to which the Proposing Person has a right to vote, directly or indirectly, any shares of any security of the Corporation.</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76" w:lineRule="exact"/>
        <w:rPr>
          <w:sz w:val="20"/>
          <w:szCs w:val="20"/>
          <w:color w:val="auto"/>
        </w:rPr>
      </w:pPr>
    </w:p>
    <w:p>
      <w:pPr>
        <w:ind w:left="4" w:hanging="4"/>
        <w:spacing w:after="0" w:line="269" w:lineRule="auto"/>
        <w:tabs>
          <w:tab w:leader="none" w:pos="22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New York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78" w:lineRule="exact"/>
        <w:rPr>
          <w:rFonts w:ascii="Times New Roman" w:cs="Times New Roman" w:eastAsia="Times New Roman" w:hAnsi="Times New Roman"/>
          <w:sz w:val="17"/>
          <w:szCs w:val="17"/>
          <w:color w:val="auto"/>
        </w:rPr>
      </w:pPr>
    </w:p>
    <w:p>
      <w:pPr>
        <w:ind w:left="4" w:right="20" w:hanging="4"/>
        <w:spacing w:after="0" w:line="26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80"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u w:val="single" w:color="auto"/>
          <w:color w:val="auto"/>
        </w:rPr>
        <w:t>Submission of Questionnaire, Representation and Agreement</w:t>
      </w:r>
      <w:r>
        <w:rPr>
          <w:rFonts w:ascii="Times New Roman" w:cs="Times New Roman" w:eastAsia="Times New Roman" w:hAnsi="Times New Roman"/>
          <w:sz w:val="18"/>
          <w:szCs w:val="18"/>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4" w:name="page15"/>
    <w:bookmarkEnd w:id="14"/>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w:t>
      </w:r>
    </w:p>
    <w:p>
      <w:pPr>
        <w:ind w:left="4" w:right="40" w:hanging="4"/>
        <w:spacing w:after="0" w:line="255" w:lineRule="auto"/>
        <w:tabs>
          <w:tab w:leader="none" w:pos="2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86"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1.12.3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New York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1.12.4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hanging="4"/>
        <w:spacing w:after="0" w:line="253"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94" w:lineRule="exact"/>
        <w:rPr>
          <w:rFonts w:ascii="Times New Roman" w:cs="Times New Roman" w:eastAsia="Times New Roman" w:hAnsi="Times New Roman"/>
          <w:sz w:val="18"/>
          <w:szCs w:val="18"/>
          <w:color w:val="auto"/>
        </w:rPr>
      </w:pPr>
    </w:p>
    <w:p>
      <w:pPr>
        <w:ind w:left="4" w:right="40" w:hanging="4"/>
        <w:spacing w:after="0" w:line="276" w:lineRule="auto"/>
        <w:tabs>
          <w:tab w:leader="none" w:pos="25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w:t>
      </w:r>
    </w:p>
    <w:p>
      <w:pPr>
        <w:ind w:left="4" w:hanging="4"/>
        <w:spacing w:after="0" w:line="260"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request inclusion of proposals in the Corporation’s proxy statement pursuant to Rule 14a-8 under the Exchange Act or (b) the holders of any series of Preferred Stock to elect directors pursuant to any applicable provisions of the Certificate of Incorporation.</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1.12.5 For purposes of these Bylaws the following definitions shall apply:</w:t>
      </w:r>
    </w:p>
    <w:p>
      <w:pPr>
        <w:spacing w:after="0" w:line="113" w:lineRule="exact"/>
        <w:rPr>
          <w:sz w:val="20"/>
          <w:szCs w:val="20"/>
          <w:color w:val="auto"/>
        </w:rPr>
      </w:pPr>
    </w:p>
    <w:p>
      <w:pPr>
        <w:ind w:left="4" w:right="20" w:hanging="4"/>
        <w:spacing w:after="0" w:line="257" w:lineRule="auto"/>
        <w:tabs>
          <w:tab w:leader="none" w:pos="2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to be “</w:t>
      </w:r>
      <w:r>
        <w:rPr>
          <w:rFonts w:ascii="Times New Roman" w:cs="Times New Roman" w:eastAsia="Times New Roman" w:hAnsi="Times New Roman"/>
          <w:sz w:val="18"/>
          <w:szCs w:val="18"/>
          <w:b w:val="1"/>
          <w:bCs w:val="1"/>
          <w:i w:val="1"/>
          <w:iCs w:val="1"/>
          <w:color w:val="auto"/>
        </w:rPr>
        <w:t>Acting in Concert</w:t>
      </w:r>
      <w:r>
        <w:rPr>
          <w:rFonts w:ascii="Times New Roman" w:cs="Times New Roman" w:eastAsia="Times New Roman" w:hAnsi="Times New Roman"/>
          <w:sz w:val="18"/>
          <w:szCs w:val="18"/>
          <w:color w:val="auto"/>
        </w:rPr>
        <w:t>” with another person if such person knowingly acts pursuant to any agreement, arrangement or understanding (whether or not in writing) in concert with, or toward a common goal relating to the management, governance or control of the Corporation in substantial parallel with, such other person;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shall have the meanings ascribed thereto in Rule 405 under the Securities Act of 1933, as amended (the “</w:t>
      </w:r>
      <w:r>
        <w:rPr>
          <w:rFonts w:ascii="Times New Roman" w:cs="Times New Roman" w:eastAsia="Times New Roman" w:hAnsi="Times New Roman"/>
          <w:sz w:val="18"/>
          <w:szCs w:val="18"/>
          <w:b w:val="1"/>
          <w:bCs w:val="1"/>
          <w:i w:val="1"/>
          <w:iCs w:val="1"/>
          <w:color w:val="auto"/>
        </w:rPr>
        <w:t>Securities</w:t>
      </w:r>
    </w:p>
    <w:p>
      <w:pPr>
        <w:spacing w:after="0" w:line="31" w:lineRule="exact"/>
        <w:rPr>
          <w:sz w:val="20"/>
          <w:szCs w:val="20"/>
          <w:color w:val="auto"/>
        </w:rPr>
      </w:pPr>
    </w:p>
    <w:p>
      <w:pPr>
        <w:ind w:left="4"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provided, however, that the term “partner” as used in the definition of “associate” shall not include any limited partner that is not involved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of the relevant partnership;</w:t>
      </w:r>
    </w:p>
    <w:p>
      <w:pPr>
        <w:spacing w:after="0" w:line="177" w:lineRule="exact"/>
        <w:rPr>
          <w:sz w:val="20"/>
          <w:szCs w:val="20"/>
          <w:color w:val="auto"/>
        </w:rPr>
      </w:pPr>
    </w:p>
    <w:p>
      <w:pPr>
        <w:ind w:left="4" w:right="20" w:hanging="4"/>
        <w:spacing w:after="0" w:line="262" w:lineRule="auto"/>
        <w:tabs>
          <w:tab w:leader="none" w:pos="2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Associated Person</w:t>
      </w:r>
      <w:r>
        <w:rPr>
          <w:rFonts w:ascii="Times New Roman" w:cs="Times New Roman" w:eastAsia="Times New Roman" w:hAnsi="Times New Roman"/>
          <w:sz w:val="18"/>
          <w:szCs w:val="18"/>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76" w:lineRule="exact"/>
        <w:rPr>
          <w:rFonts w:ascii="Times New Roman" w:cs="Times New Roman" w:eastAsia="Times New Roman" w:hAnsi="Times New Roman"/>
          <w:sz w:val="18"/>
          <w:szCs w:val="18"/>
          <w:color w:val="auto"/>
        </w:rPr>
      </w:pPr>
    </w:p>
    <w:p>
      <w:pPr>
        <w:ind w:left="4" w:right="40" w:hanging="4"/>
        <w:spacing w:after="0" w:line="262" w:lineRule="auto"/>
        <w:tabs>
          <w:tab w:leader="none" w:pos="2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Arrangement</w:t>
      </w:r>
      <w:r>
        <w:rPr>
          <w:rFonts w:ascii="Times New Roman" w:cs="Times New Roman" w:eastAsia="Times New Roman" w:hAnsi="Times New Roman"/>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76" w:lineRule="exact"/>
        <w:rPr>
          <w:rFonts w:ascii="Times New Roman" w:cs="Times New Roman" w:eastAsia="Times New Roman" w:hAnsi="Times New Roman"/>
          <w:sz w:val="18"/>
          <w:szCs w:val="18"/>
          <w:color w:val="auto"/>
        </w:rPr>
      </w:pPr>
    </w:p>
    <w:p>
      <w:pPr>
        <w:ind w:left="4" w:right="320" w:hanging="4"/>
        <w:spacing w:after="0" w:line="286" w:lineRule="auto"/>
        <w:tabs>
          <w:tab w:leader="none" w:pos="2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Competitor</w:t>
      </w:r>
      <w:r>
        <w:rPr>
          <w:rFonts w:ascii="Times New Roman" w:cs="Times New Roman" w:eastAsia="Times New Roman" w:hAnsi="Times New Roman"/>
          <w:sz w:val="18"/>
          <w:szCs w:val="18"/>
          <w:color w:val="auto"/>
        </w:rPr>
        <w:t>” shall mean any entity that provides products or services that compete with or are alternatives to the principal products produced or services provided by the Corporation or its affiliates;</w:t>
      </w:r>
    </w:p>
    <w:p>
      <w:pPr>
        <w:spacing w:after="0" w:line="15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shall mean (1) the Record Stockholder providing the notice of business proposed to be brought before an annual meeting or</w:t>
      </w:r>
    </w:p>
    <w:p>
      <w:pPr>
        <w:spacing w:after="0" w:line="31"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84" w:lineRule="exact"/>
        <w:rPr>
          <w:rFonts w:ascii="Times New Roman" w:cs="Times New Roman" w:eastAsia="Times New Roman" w:hAnsi="Times New Roman"/>
          <w:sz w:val="18"/>
          <w:szCs w:val="18"/>
          <w:color w:val="auto"/>
        </w:rPr>
      </w:pPr>
    </w:p>
    <w:p>
      <w:pPr>
        <w:ind w:left="4" w:right="680" w:hanging="4"/>
        <w:spacing w:after="0" w:line="286" w:lineRule="auto"/>
        <w:tabs>
          <w:tab w:leader="none" w:pos="2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54" w:lineRule="exact"/>
        <w:rPr>
          <w:rFonts w:ascii="Times New Roman" w:cs="Times New Roman" w:eastAsia="Times New Roman" w:hAnsi="Times New Roman"/>
          <w:sz w:val="18"/>
          <w:szCs w:val="18"/>
          <w:color w:val="auto"/>
        </w:rPr>
      </w:pPr>
    </w:p>
    <w:p>
      <w:pPr>
        <w:ind w:left="4" w:hanging="4"/>
        <w:spacing w:after="0" w:line="257" w:lineRule="auto"/>
        <w:tabs>
          <w:tab w:leader="none" w:pos="2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considered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82"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b w:val="1"/>
          <w:bCs w:val="1"/>
          <w:u w:val="single" w:color="auto"/>
          <w:color w:val="auto"/>
        </w:rPr>
        <w:t>Action by Written Consent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Voting Threshold Date (as defined in the Certificate of Incorporation)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other restrictions in the Certificate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entitled to vote on such action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16" w:name="page17"/>
    <w:bookmarkEnd w:id="16"/>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1.14 </w:t>
      </w:r>
      <w:r>
        <w:rPr>
          <w:rFonts w:ascii="Times New Roman" w:cs="Times New Roman" w:eastAsia="Times New Roman" w:hAnsi="Times New Roman"/>
          <w:sz w:val="18"/>
          <w:szCs w:val="18"/>
          <w:b w:val="1"/>
          <w:bCs w:val="1"/>
          <w:u w:val="single" w:color="auto"/>
          <w:color w:val="auto"/>
        </w:rPr>
        <w:t>Delivery to the Corporation</w:t>
      </w:r>
      <w:r>
        <w:rPr>
          <w:rFonts w:ascii="Times New Roman" w:cs="Times New Roman" w:eastAsia="Times New Roman" w:hAnsi="Times New Roman"/>
          <w:sz w:val="18"/>
          <w:szCs w:val="18"/>
          <w:color w:val="auto"/>
        </w:rPr>
        <w:t>. Whenever this Article II requires one or more persons (including a record or beneficial owner of stock)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a document or information to the Corporation or any officer, employee or agent thereof (including any notice, request, questionnaire, revocation, representation or other document or agreement), unless the Corporation elects otherwise,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Number; Qualifications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number of directors constituting the Whole Board shall be fixed from time to time in the manner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Certificate of Incorporation and the term “Whole Board”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Election; Resignation; Removal; 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need not be by written ballot. Unless otherwise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and subject to the special rights of holders of any series of Preferred Stock to elect directors, immediately following the Voting Threshold Date (as defined in the Certificate of Incorporation), the Board shall be divided into three classes, designated as Class I, Class II and Class III. The number of directors in each class shall be divided as nearly equal as is practicable.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8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may be held at such places, within or without the State of Delaware, and at such times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from time to time determine. Notice of regular meetings need not be given if the date, times and places thereof are fixed by resolution of the Board.</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may be called by the Chairperson of the Board, the Chief Executive Officer, the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7" w:name="page18"/>
    <w:bookmarkEnd w:id="17"/>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Times New Roman" w:cs="Times New Roman" w:eastAsia="Times New Roman" w:hAnsi="Times New Roman"/>
          <w:sz w:val="18"/>
          <w:szCs w:val="18"/>
          <w:b w:val="1"/>
          <w:bCs w:val="1"/>
          <w:u w:val="single" w:color="auto"/>
          <w:color w:val="auto"/>
        </w:rPr>
        <w:t>Remote Meetings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or any committee of the Board, may participate in a meeting of the Board 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Quorum; Vote Required for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meetings of the Board, directors representing a majority of the Whole Board shall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Board shall be presided over by (a) the Chairperson of the Board, or (b) in the absence of such person,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 Independent Director, or (c) in such person’s absence, by the Chief Executive Officer, or (d) in such person’s absence, by a chairperson chosen by the Board at the meeting. Unless otherwise determined by the Board, the Secretary shall act as secretary of the meeting, but in such person’s absence the chairperson of the meeting may appoint any person to act as secretary of the meeting.</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Unanimous Action by Directors in Lieu of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required or permitted to be taken at any meeting of the Board, or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may be taken without a meeting if all members of the Board or such committee, as the case may be, consent thereto in writing or by electronic transmission, and any consent may be documented, signed and delivered in any manner permitted by Section 116 of the DGCL. After an action is taken, the consent or consents relating thereto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by or under the direction of the Board.</w:t>
      </w:r>
    </w:p>
    <w:p>
      <w:pPr>
        <w:spacing w:after="0" w:line="155"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as such, may receive, pursuant to a resolution of the Board, fees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their services as directors, including without limitation their services as members of committees of the Board.</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director shall maintain the confidentiality of, and shall not share with any third party person or entity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that originally sponsored, nominated or designated such director (the “</w:t>
      </w:r>
      <w:r>
        <w:rPr>
          <w:rFonts w:ascii="Times New Roman" w:cs="Times New Roman" w:eastAsia="Times New Roman" w:hAnsi="Times New Roman"/>
          <w:sz w:val="18"/>
          <w:szCs w:val="18"/>
          <w:b w:val="1"/>
          <w:bCs w:val="1"/>
          <w:i w:val="1"/>
          <w:iCs w:val="1"/>
          <w:color w:val="auto"/>
        </w:rPr>
        <w:t>Sponsoring Party</w:t>
      </w:r>
      <w:r>
        <w:rPr>
          <w:rFonts w:ascii="Times New Roman" w:cs="Times New Roman" w:eastAsia="Times New Roman" w:hAnsi="Times New Roman"/>
          <w:sz w:val="18"/>
          <w:szCs w:val="18"/>
          <w:color w:val="auto"/>
        </w:rPr>
        <w:t>”)), any non-public information learned in their capacities as directors, including communications among Board members in their capacities as directors. The Board may adopt a board confidentiality policy further implementing and interpreting this bylaw (a “</w:t>
      </w:r>
      <w:r>
        <w:rPr>
          <w:rFonts w:ascii="Times New Roman" w:cs="Times New Roman" w:eastAsia="Times New Roman" w:hAnsi="Times New Roman"/>
          <w:sz w:val="18"/>
          <w:szCs w:val="18"/>
          <w:b w:val="1"/>
          <w:bCs w:val="1"/>
          <w:i w:val="1"/>
          <w:iCs w:val="1"/>
          <w:color w:val="auto"/>
        </w:rPr>
        <w:t>Board Confidentiality Policy</w:t>
      </w:r>
      <w:r>
        <w:rPr>
          <w:rFonts w:ascii="Times New Roman" w:cs="Times New Roman" w:eastAsia="Times New Roman" w:hAnsi="Times New Roman"/>
          <w:sz w:val="18"/>
          <w:szCs w:val="18"/>
          <w:color w:val="auto"/>
        </w:rPr>
        <w:t>”).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0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designate one or more committees, each committee to consist of one or more of the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8" w:name="page19"/>
    <w:bookmarkEnd w:id="18"/>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Times New Roman" w:cs="Times New Roman" w:eastAsia="Times New Roman" w:hAnsi="Times New Roman"/>
          <w:sz w:val="18"/>
          <w:szCs w:val="18"/>
          <w:b w:val="1"/>
          <w:bCs w:val="1"/>
          <w:u w:val="single" w:color="auto"/>
          <w:color w:val="auto"/>
        </w:rPr>
        <w:t>Committee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committee shall keep records of its proceedings and make such reports as the Board may from time to time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39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OFFICERS; CHAIRPERSON; LEAD INDEPENDENT DIRECTOR</w:t>
      </w:r>
    </w:p>
    <w:p>
      <w:pPr>
        <w:spacing w:after="0" w:line="203"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consist of a Chief Executive Officer (who may be the Chairperson of the Board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90"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control of the Board and such supervisory powers, if any, as may be given by the Board, the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duties of the Chief Executive Officer of the Corporation are:</w:t>
      </w:r>
    </w:p>
    <w:p>
      <w:pPr>
        <w:spacing w:after="0" w:line="51" w:lineRule="exact"/>
        <w:rPr>
          <w:sz w:val="20"/>
          <w:szCs w:val="20"/>
          <w:color w:val="auto"/>
        </w:rPr>
      </w:pPr>
    </w:p>
    <w:p>
      <w:pPr>
        <w:ind w:left="4" w:right="40" w:hanging="4"/>
        <w:spacing w:after="0" w:line="282"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general manager and, subject to the control of the Board, to have general supervision, direction and control of the business and affairs of the Corporation;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1.6 of these Bylaws, to preside at all meetings of the stockholders;</w:t>
      </w:r>
    </w:p>
    <w:p>
      <w:pPr>
        <w:spacing w:after="0" w:line="225" w:lineRule="exact"/>
        <w:rPr>
          <w:rFonts w:ascii="Times New Roman" w:cs="Times New Roman" w:eastAsia="Times New Roman" w:hAnsi="Times New Roman"/>
          <w:sz w:val="18"/>
          <w:szCs w:val="18"/>
          <w:color w:val="auto"/>
        </w:rPr>
      </w:pPr>
    </w:p>
    <w:p>
      <w:pPr>
        <w:ind w:left="4" w:right="120" w:hanging="4"/>
        <w:spacing w:after="0" w:line="282"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61" w:lineRule="exact"/>
        <w:rPr>
          <w:rFonts w:ascii="Times New Roman" w:cs="Times New Roman" w:eastAsia="Times New Roman" w:hAnsi="Times New Roman"/>
          <w:sz w:val="18"/>
          <w:szCs w:val="18"/>
          <w:color w:val="auto"/>
        </w:rPr>
      </w:pPr>
    </w:p>
    <w:p>
      <w:pPr>
        <w:jc w:val="both"/>
        <w:ind w:left="4" w:right="220" w:hanging="4"/>
        <w:spacing w:after="0" w:line="261"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80"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person holding the office of President shall be the Chief Executive Officer of the Corporation unless the Board shall designate another officer to be the Chief Executive Officer.</w:t>
      </w:r>
    </w:p>
    <w:p>
      <w:pPr>
        <w:spacing w:after="0" w:line="158"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Chairperson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2.7 of these Bylaws, the Chairperson of the Board shall have the power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 at all meetings of the Board and shall have such other powers and duties as provided in these Bylaws and as the Board may from time to time prescribe. The Chairperson of the Board may or may not be an officer of the Corporation.</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19" w:name="page20"/>
    <w:bookmarkEnd w:id="19"/>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Times New Roman" w:cs="Times New Roman" w:eastAsia="Times New Roman" w:hAnsi="Times New Roman"/>
          <w:sz w:val="18"/>
          <w:szCs w:val="18"/>
          <w:b w:val="1"/>
          <w:bCs w:val="1"/>
          <w:u w:val="single" w:color="auto"/>
          <w:color w:val="auto"/>
        </w:rPr>
        <w:t>Lead Independent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in its discretion, elect a lead independent director from among its members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 (as defined below) (such director, the “</w:t>
      </w:r>
      <w:r>
        <w:rPr>
          <w:rFonts w:ascii="Times New Roman" w:cs="Times New Roman" w:eastAsia="Times New Roman" w:hAnsi="Times New Roman"/>
          <w:sz w:val="18"/>
          <w:szCs w:val="18"/>
          <w:b w:val="1"/>
          <w:bCs w:val="1"/>
          <w:i w:val="1"/>
          <w:iCs w:val="1"/>
          <w:color w:val="auto"/>
        </w:rPr>
        <w:t>Lead Independent Director</w:t>
      </w:r>
      <w:r>
        <w:rPr>
          <w:rFonts w:ascii="Times New Roman" w:cs="Times New Roman" w:eastAsia="Times New Roman" w:hAnsi="Times New Roman"/>
          <w:sz w:val="18"/>
          <w:szCs w:val="18"/>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has the meaning ascribed to such term under the rules of the exchange upon which the Corporation’s Class A Common Stock is primarily traded.</w:t>
      </w:r>
    </w:p>
    <w:p>
      <w:pPr>
        <w:spacing w:after="0" w:line="1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Chief Executive Officer shall be the President of the Corporation unless the Board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Chief Financial Officer shall be the Treasurer of the Corporation unless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7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Treasurer shall have custody of all monies and securities of the Corporation. The 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Vice President shall have all such powers and duties as are commonly incident to the office of Vice President or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7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 issue or cause to be issued all authorized notices for, and shall keep, or cause to be kept, minutes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from time to time delegate the powers or duties of any officer of the Corporation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or agents of the Corporation, notwithstanding any provision hereof.</w:t>
      </w:r>
    </w:p>
    <w:p>
      <w:pPr>
        <w:spacing w:after="0" w:line="15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of the Corporation shall serve at the pleasure of the Board and may be removed at any time, with or without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Board;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20" w:name="page21"/>
    <w:bookmarkEnd w:id="20"/>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4.12 </w:t>
      </w:r>
      <w:r>
        <w:rPr>
          <w:rFonts w:ascii="Times New Roman" w:cs="Times New Roman" w:eastAsia="Times New Roman" w:hAnsi="Times New Roman"/>
          <w:sz w:val="18"/>
          <w:szCs w:val="18"/>
          <w:b w:val="1"/>
          <w:bCs w:val="1"/>
          <w:u w:val="single" w:color="auto"/>
          <w:color w:val="auto"/>
        </w:rPr>
        <w:t>Voting Shares in Other Business Entities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Chairperson, the CEO, the President, if any is appointed, any vice president, the CFO,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or assistant secretary of the Corporation, or any other person authorized by the Board of Directors may vote, and otherwise exercise on behalf of the Corporation any and all rights and powers incident to the ownership of, any and all shares of stock or other equity interest held by the Corporation in any other corporation or other business entity. The authority granted herein may be exercised either by such person directly or by any other person authorized to do so by proxy or power of attorney duly executed by the person having such authority.</w:t>
      </w:r>
    </w:p>
    <w:p>
      <w:pPr>
        <w:spacing w:after="0" w:line="17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4.13 </w:t>
      </w:r>
      <w:r>
        <w:rPr>
          <w:rFonts w:ascii="Times New Roman" w:cs="Times New Roman" w:eastAsia="Times New Roman" w:hAnsi="Times New Roman"/>
          <w:sz w:val="17"/>
          <w:szCs w:val="17"/>
          <w:b w:val="1"/>
          <w:bCs w:val="1"/>
          <w:u w:val="single" w:color="auto"/>
          <w:color w:val="auto"/>
        </w:rPr>
        <w:t>Execution o</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Corporate Contracts and Instruments</w:t>
      </w:r>
      <w:r>
        <w:rPr>
          <w:rFonts w:ascii="Times New Roman" w:cs="Times New Roman" w:eastAsia="Times New Roman" w:hAnsi="Times New Roman"/>
          <w:sz w:val="17"/>
          <w:szCs w:val="17"/>
          <w:color w:val="auto"/>
        </w:rPr>
        <w:t>. The Board of Directors, except as otherwise provided in these Bylaws,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designate the officers, employees and agents of the Corporation who shall have power to enter into any contract or execute any instrument in the name of and on behalf of the Corporation. Such delegation may be by resolution or otherwise and the authority granted shall be general or confined to specific matters, all as the Board of Directors or any such committee may determine. In the absence of such designation referred to in the first sentence of this Section 4.13, the officers of the Corporation shall have such power so referred to, to the extent incident to the normal performance of their duties.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Certificates;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capital stock of the Corporation shall be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Lost, Stolen or Destroyed Stock Certificates; Issuance of New Certificates or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issue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2" w:lineRule="exact"/>
        <w:rPr>
          <w:sz w:val="20"/>
          <w:szCs w:val="20"/>
          <w:color w:val="auto"/>
        </w:rPr>
      </w:pPr>
    </w:p>
    <w:p>
      <w:pPr>
        <w:ind w:right="3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5.3 </w:t>
      </w:r>
      <w:r>
        <w:rPr>
          <w:rFonts w:ascii="Times New Roman" w:cs="Times New Roman" w:eastAsia="Times New Roman" w:hAnsi="Times New Roman"/>
          <w:sz w:val="17"/>
          <w:szCs w:val="17"/>
          <w:b w:val="1"/>
          <w:bCs w:val="1"/>
          <w:u w:val="single" w:color="auto"/>
          <w:color w:val="auto"/>
        </w:rPr>
        <w:t>Other Regulations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applicable law, the Certificate of Incorporation and these Bylaws, the issue, transfer, conversion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registration of shares represented by certificates and of uncertificated shares shall be governed by such other regulations as the Board may establish.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Indemnification of Officers and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who was or is made a party to, or is threatened to be made a party to,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involved in any threatened, pending or completed action, suit or proceeding, whether civil, criminal, administrative, legislative or any other type whatsoever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9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Advance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pay all expenses (including attorneys’ fees) incurred by an Indemnitee in defending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Proceeding in advance of its final disposition;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spacing w:after="0" w:line="17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Non-Exclusivity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conferred on any person in this Article VI shall not be exclusive of any other right that such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Indemnification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is authorized to cause the Corporation to enter into indemnification contracts with any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b w:val="1"/>
          <w:bCs w:val="1"/>
          <w:u w:val="single" w:color="auto"/>
          <w:color w:val="auto"/>
        </w:rPr>
        <w:t>Right of Indemnitee to Bring Suit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shall apply to the extent not in conflict with any indemnification contract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6.4 of these Bylaws.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u w:val="single" w:color="auto"/>
          <w:color w:val="auto"/>
        </w:rPr>
        <w:t>Right to Bring Suit</w:t>
      </w:r>
      <w:r>
        <w:rPr>
          <w:rFonts w:ascii="Times New Roman" w:cs="Times New Roman" w:eastAsia="Times New Roman" w:hAnsi="Times New Roman"/>
          <w:sz w:val="18"/>
          <w:szCs w:val="18"/>
          <w:color w:val="auto"/>
        </w:rPr>
        <w:t>.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u w:val="single" w:color="auto"/>
          <w:color w:val="auto"/>
        </w:rPr>
        <w:t>Effect of Determination</w:t>
      </w:r>
      <w:r>
        <w:rPr>
          <w:rFonts w:ascii="Times New Roman" w:cs="Times New Roman" w:eastAsia="Times New Roman" w:hAnsi="Times New Roman"/>
          <w:sz w:val="18"/>
          <w:szCs w:val="18"/>
          <w:color w:val="auto"/>
        </w:rPr>
        <w:t>. The absence of a determination prior to the commencement of such suit that indemnification of the Indemnitee is proper in the circumstances because the Indemnitee has met the applicable standard of conduct set forth in applicable law shall not create a presumption that the Indemnitee has not met the applicable standard of conduct or, in the case of such a suit brought by the Indemnitee, be a defense to such suit.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2" w:name="page23"/>
    <w:bookmarkEnd w:id="22"/>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6.5.3 </w:t>
      </w: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Nature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conferred upon Indemnitees in this Article VI shall be contract rights and such rights shall continue as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 Any reference to an officer of the Corporation in this Article VI shall be deemed to refer exclusively to the Chief Executive Officer, President, Treasurer, Chief Financial Officer, and Secretary of the Corporation appointed pursuant to Article IV of these Bylaws, and to any Vice President, Assistant Secretary, Assistant Treasurer or other officer of the Corporation appointed by the Board of Directors or by the Chief Executive Officer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w:t>
      </w:r>
    </w:p>
    <w:p>
      <w:pPr>
        <w:spacing w:after="0" w:line="1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purchase and maintain insurance, at its expense, to protect itself and any director, officer, employee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Form and Delivery</w:t>
      </w:r>
      <w:r>
        <w:rPr>
          <w:rFonts w:ascii="Times New Roman" w:cs="Times New Roman" w:eastAsia="Times New Roman" w:hAnsi="Times New Roman"/>
          <w:sz w:val="18"/>
          <w:szCs w:val="18"/>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by courier service or electronic mail in the manner provided in Section 232 of the DGCL or, if specifically consented to by the stockholder as described in Section 7.1.2 of these Bylaws, by sending such notice by a form of electronic transmission other than electronic mail in the manner prescribed by Section 232 of the DGCL.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(i) the case of delivery by overnight express courier to a director, when dispatched or (ii) the case of delivery by courier service to a stockholder, the earlier of when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3" w:name="page24"/>
    <w:bookmarkEnd w:id="23"/>
    <w:p>
      <w:pPr>
        <w:ind w:left="4" w:right="2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is received or left at such stockholder’s address, and (d) in (i) the case of delivery by electronic mail, when directed to the director’s or stockholder’s electronic mail address unless, in the case of a stockholder, the stockholder has notified the corporation in writing or by electronic transmission of an objection to receiving notice by electronic mail or such notice is prohibited by the last sentence of Section 7.1.2 of these Bylaws or</w:t>
      </w:r>
    </w:p>
    <w:p>
      <w:pPr>
        <w:spacing w:after="0" w:line="2" w:lineRule="exact"/>
        <w:rPr>
          <w:sz w:val="20"/>
          <w:szCs w:val="20"/>
          <w:color w:val="auto"/>
        </w:rPr>
      </w:pPr>
    </w:p>
    <w:p>
      <w:pPr>
        <w:ind w:left="4" w:right="180" w:hanging="4"/>
        <w:spacing w:after="0" w:line="260"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case of delivery via facsimile or other form of electronic transmission (other than electronic mail) at the time provided in Section 7.1.2 of these Bylaws.</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Without limiting the manner by which notice otherwise may be given effectively to stockholders, any notice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stockholders given by the Corporation under any provision of the DGCL, the Certificate of Incorporation, or these Bylaws shall be effective if given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form of electronic transmission (other than electronic mail) consented to by the stockholder to whom the notice is given in accordance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232 of the DGCL. Notice given pursuant to this Section 7.1.2 shall be deemed given: (i) if by facsimile telecommunication, when directed to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at which the stockholder has consented to receive notice; (ii) if by a posting on an electronic network together with separate notice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stockholder of such specific posting, upon the later of such posting and the giving of such separate notice; and (iii) if by any other form of electronic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transmission (other than electronic mail), when directed to the stockholder. Notwithstanding the foregoing, a notice may not be given to stockholders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 electronic transmission from and after the time that (a) the Corporation is unable to deliver by such electronic transmission two (2) consecutive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notices given by the Corporation, (b) such inability becomes known to the Secretary or an Assistant Secretary or to the transfer agent, or other person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responsible for the giving of notice; provided, however, the inadvertent failure to discover such inability shall not invalidate any meeting or other action.</w:t>
      </w:r>
    </w:p>
    <w:p>
      <w:pPr>
        <w:spacing w:after="0" w:line="207" w:lineRule="exact"/>
        <w:rPr>
          <w:sz w:val="20"/>
          <w:szCs w:val="20"/>
          <w:color w:val="auto"/>
        </w:rPr>
      </w:pPr>
    </w:p>
    <w:p>
      <w:pPr>
        <w:jc w:val="both"/>
        <w:ind w:left="4" w:right="20"/>
        <w:spacing w:after="0" w:line="312" w:lineRule="auto"/>
        <w:rPr>
          <w:sz w:val="20"/>
          <w:szCs w:val="20"/>
          <w:color w:val="auto"/>
        </w:rPr>
      </w:pPr>
      <w:r>
        <w:rPr>
          <w:rFonts w:ascii="Times New Roman" w:cs="Times New Roman" w:eastAsia="Times New Roman" w:hAnsi="Times New Roman"/>
          <w:sz w:val="17"/>
          <w:szCs w:val="17"/>
          <w:color w:val="auto"/>
        </w:rPr>
        <w:t xml:space="preserve">7.1.3 </w:t>
      </w:r>
      <w:r>
        <w:rPr>
          <w:rFonts w:ascii="Times New Roman" w:cs="Times New Roman" w:eastAsia="Times New Roman" w:hAnsi="Times New Roman"/>
          <w:sz w:val="17"/>
          <w:szCs w:val="17"/>
          <w:u w:val="single" w:color="auto"/>
          <w:color w:val="auto"/>
        </w:rPr>
        <w:t>Affidavit of Giving Notice</w:t>
      </w:r>
      <w:r>
        <w:rPr>
          <w:rFonts w:ascii="Times New Roman" w:cs="Times New Roman" w:eastAsia="Times New Roman" w:hAnsi="Times New Roman"/>
          <w:sz w:val="17"/>
          <w:szCs w:val="17"/>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36"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notice is required to be given under any provision of the DGCL,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203"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Interested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contract or transaction between the Corporation and one or more of its members of the Board or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85"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Interested directors may be counted in determining the presence of a quorum at a meeting of the Board or of a committee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authorizes the contract or transaction.</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of the Corporation shall be determined by resolution of the Board.</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Seal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provide for a corporate seal, which may have the name of the Corporation inscribed thereon and shall otherwise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form as may be approved from time to time by the Board.</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9.3 </w:t>
      </w:r>
      <w:r>
        <w:rPr>
          <w:rFonts w:ascii="Times New Roman" w:cs="Times New Roman" w:eastAsia="Times New Roman" w:hAnsi="Times New Roman"/>
          <w:sz w:val="18"/>
          <w:szCs w:val="18"/>
          <w:b w:val="1"/>
          <w:bCs w:val="1"/>
          <w:u w:val="single" w:color="auto"/>
          <w:color w:val="auto"/>
        </w:rPr>
        <w:t>Form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records administered by or on behalf of the Corporation in the regular course of its business, including its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9.4 </w:t>
      </w:r>
      <w:r>
        <w:rPr>
          <w:rFonts w:ascii="Times New Roman" w:cs="Times New Roman" w:eastAsia="Times New Roman" w:hAnsi="Times New Roman"/>
          <w:sz w:val="18"/>
          <w:szCs w:val="18"/>
          <w:b w:val="1"/>
          <w:bCs w:val="1"/>
          <w:u w:val="single" w:color="auto"/>
          <w:color w:val="auto"/>
        </w:rPr>
        <w:t>Reliance Upon Books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member of the Board, or a member of any committee designated by the Board shall,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9.5 </w:t>
      </w:r>
      <w:r>
        <w:rPr>
          <w:rFonts w:ascii="Times New Roman" w:cs="Times New Roman" w:eastAsia="Times New Roman" w:hAnsi="Times New Roman"/>
          <w:sz w:val="18"/>
          <w:szCs w:val="18"/>
          <w:b w:val="1"/>
          <w:bCs w:val="1"/>
          <w:u w:val="single" w:color="auto"/>
          <w:color w:val="auto"/>
        </w:rPr>
        <w:t>Certificate of Incorporation Governs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any conflict between the provisions of the Certificate of Incorporation and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the Certificate of Incorporation shall govern.</w:t>
      </w:r>
    </w:p>
    <w:p>
      <w:pPr>
        <w:spacing w:after="0" w:line="1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these Bylaws shall be held to be invalid, illegal, unenforceable or in conflict with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9.7 </w:t>
      </w:r>
      <w:r>
        <w:rPr>
          <w:rFonts w:ascii="Times New Roman" w:cs="Times New Roman" w:eastAsia="Times New Roman" w:hAnsi="Times New Roman"/>
          <w:sz w:val="18"/>
          <w:szCs w:val="18"/>
          <w:b w:val="1"/>
          <w:bCs w:val="1"/>
          <w:u w:val="single" w:color="auto"/>
          <w:color w:val="auto"/>
        </w:rPr>
        <w:t>Time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applying any provision of these Bylaws which requires that an act be done or not be done a specified number of days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event or that an act be done during a period of a specified number of days prior to an event, calendar days shall be used, the day of the doing of the act shall be excluded, and the day of the event shall be included.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5" w:name="page26"/>
    <w:bookmarkEnd w:id="2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 OF AMENDED AND RESTATED BYLAWS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 Peter Butterfield certify that I am Secretary of Flywire Corporation,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that I am duly authorized to make and deliver this certification, that the attached Bylaws are a true and complete copy of the Restated Bylaws of the Corporation in effect as of the date of this certificate.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15,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Peter Butterfield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Peter Butterfield</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Roman"/>
      <w:start w:val="1"/>
    </w:lvl>
  </w:abstractNum>
  <w:abstractNum w:abstractNumId="4">
    <w:nsid w:val="140E0F76"/>
    <w:multiLevelType w:val="hybridMultilevel"/>
    <w:lvl w:ilvl="0">
      <w:lvlJc w:val="left"/>
      <w:lvlText w:val="(%1)"/>
      <w:numFmt w:val="lowerLetter"/>
      <w:start w:val="3"/>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1)"/>
      <w:numFmt w:val="lowerLetter"/>
      <w:start w:val="4"/>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lowerRoman"/>
      <w:start w:val="1"/>
    </w:lvl>
  </w:abstractNum>
  <w:abstractNum w:abstractNumId="9">
    <w:nsid w:val="1BEFD79F"/>
    <w:multiLevelType w:val="hybridMultilevel"/>
    <w:lvl w:ilvl="0">
      <w:lvlJc w:val="left"/>
      <w:lvlText w:val="(%1)"/>
      <w:numFmt w:val="lowerRoman"/>
      <w:start w:val="3"/>
    </w:lvl>
  </w:abstractNum>
  <w:abstractNum w:abstractNumId="10">
    <w:nsid w:val="41A7C4C9"/>
    <w:multiLevelType w:val="hybridMultilevel"/>
    <w:lvl w:ilvl="0">
      <w:lvlJc w:val="left"/>
      <w:lvlText w:val="(%1)"/>
      <w:numFmt w:val="lowerRoman"/>
      <w:start w:val="9"/>
    </w:lvl>
  </w:abstractNum>
  <w:abstractNum w:abstractNumId="11">
    <w:nsid w:val="6B68079A"/>
    <w:multiLevelType w:val="hybridMultilevel"/>
    <w:lvl w:ilvl="0">
      <w:lvlJc w:val="left"/>
      <w:lvlText w:val="(%1)"/>
      <w:numFmt w:val="lowerRoman"/>
      <w:start w:val="13"/>
    </w:lvl>
  </w:abstractNum>
  <w:abstractNum w:abstractNumId="12">
    <w:nsid w:val="4E6AFB66"/>
    <w:multiLevelType w:val="hybridMultilevel"/>
    <w:lvl w:ilvl="0">
      <w:lvlJc w:val="left"/>
      <w:lvlText w:val="(%1)"/>
      <w:numFmt w:val="lowerLetter"/>
      <w:start w:val="6"/>
    </w:lvl>
  </w:abstractNum>
  <w:abstractNum w:abstractNumId="13">
    <w:nsid w:val="25E45D32"/>
    <w:multiLevelType w:val="hybridMultilevel"/>
    <w:lvl w:ilvl="0">
      <w:lvlJc w:val="left"/>
      <w:lvlText w:val="(%1)"/>
      <w:numFmt w:val="lowerLetter"/>
      <w:start w:val="6"/>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upperLetter"/>
      <w:start w:val="1"/>
    </w:lvl>
  </w:abstractNum>
  <w:abstractNum w:abstractNumId="17">
    <w:nsid w:val="7C83E458"/>
    <w:multiLevelType w:val="hybridMultilevel"/>
    <w:lvl w:ilvl="0">
      <w:lvlJc w:val="left"/>
      <w:lvlText w:val="(%1)"/>
      <w:numFmt w:val="upperLetter"/>
      <w:start w:val="3"/>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2024-03-19T15:16:29Z</dcterms:created>
  <dcterms:modified xsi:type="dcterms:W3CDTF">2024-03-19T15:16:29Z</dcterms:modified>
</cp:coreProperties>
</file>