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Cosmin Pitigoi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Flywire Corp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28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Form 10-Q for Fiscal Quarter Ended June 30, 2024 File No. 001-40430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Cosmin Pitigoi: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September 12, 2024 response to our comment letter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August 29,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Dated September 12,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June 30, 2024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Activities, page 44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6 and the intended revised disclosure therein. It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operating cash flows materially worsened by almost $32 million between the six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ended June 30, 2024 and June 30, 2023. Though you state you will explain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reasons and implications of material changes in operating cash flows between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periods, it appears the focus of your intended revised disclosure is how operating cash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are derived for each period. For the $32 million change noted above, it appears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 factors are changes in funds receivable from payment partners and funds payable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clients, but we did not note any specific discussion in your intended revised disclosure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their impact on the change. Please ensure your disclosure is a comparative analysis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change in operating cash flows between periods and all material factors impacting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change are discussed. Also, in your intended revised disclosure it is not clear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non-cash items explains changes in cash or the correlation between changes in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assets and liabilities and revenue growth. Please clarify.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Shapiro at 202-551-3273 or Doug Jones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2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2024-11-05T23:23:05Z</dcterms:created>
  <dcterms:modified xsi:type="dcterms:W3CDTF">2024-11-05T23:23:05Z</dcterms:modified>
</cp:coreProperties>
</file>