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6994525" cy="6522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52208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2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860"/>
        <w:spacing w:after="0" w:line="340"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10282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1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08/23/2022</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266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6" w:lineRule="exact"/>
        <w:rPr>
          <w:sz w:val="24"/>
          <w:szCs w:val="24"/>
          <w:color w:val="auto"/>
        </w:rPr>
      </w:pPr>
    </w:p>
    <w:p>
      <w:pPr>
        <w:sectPr>
          <w:pgSz w:w="11900" w:h="16838"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jc w:val="center"/>
              <w:ind w:left="49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gridSpan w:val="4"/>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08/23/2022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40,872</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558,178</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08/23/2022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40,872</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25.41</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517,306</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08/24/2022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51,494</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633,032</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08/24/2022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51,494</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25.81</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581,538</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0"/>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8"/>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82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28"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40,872</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08/23/2022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40,872</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3,753,237</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54"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28"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51,494</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08/24/2022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51,494</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3,701,743</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54"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-2527935</wp:posOffset>
            </wp:positionV>
            <wp:extent cx="29210" cy="2533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330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30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7" w:lineRule="exact"/>
        <w:rPr>
          <w:rFonts w:ascii="Times New Roman" w:cs="Times New Roman" w:eastAsia="Times New Roman" w:hAnsi="Times New Roman"/>
          <w:sz w:val="13"/>
          <w:szCs w:val="13"/>
          <w:color w:val="008000"/>
        </w:rPr>
      </w:pPr>
    </w:p>
    <w:p>
      <w:pPr>
        <w:ind w:left="40" w:right="1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August 23, 2022, the reporting person consummated the sale of all 40,872 shares of Non-Voting Common Stock, resulting in the automatic conversion of such shares into Voting Common Stock upon the execution of the sale of such shares as reported in Table I.</w:t>
      </w:r>
    </w:p>
    <w:p>
      <w:pPr>
        <w:spacing w:after="0" w:line="27" w:lineRule="exact"/>
        <w:rPr>
          <w:rFonts w:ascii="Times New Roman" w:cs="Times New Roman" w:eastAsia="Times New Roman" w:hAnsi="Times New Roman"/>
          <w:sz w:val="13"/>
          <w:szCs w:val="13"/>
          <w:color w:val="008000"/>
        </w:rPr>
      </w:pPr>
    </w:p>
    <w:p>
      <w:pPr>
        <w:ind w:left="40" w:right="14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jc w:val="both"/>
        <w:ind w:left="40" w:right="4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ind w:left="40" w:right="1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August 24, 2022, the reporting person consummated the sale of all 51,494 shares of Non-Voting Common Stock, resulting in the automatic conversion of such shares into Voting Common Stock upon the execution of the sale of such shares as reported in Table I.</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Crystal Orgill,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08/25/2022</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6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2022-08-25T17:26:36Z</dcterms:created>
  <dcterms:modified xsi:type="dcterms:W3CDTF">2022-08-25T17:26:36Z</dcterms:modified>
</cp:coreProperties>
</file>