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0001295402</w:t>
            </w:r>
          </w:p>
        </w:tc>
        <w:tc>
          <w:tcPr>
            <w:tcW w:w="30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w w:val="91"/>
              </w:rPr>
              <w:t>141 TREMONT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617-329-4524</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40" w:type="dxa"/>
            <w:vAlign w:val="bottom"/>
          </w:tcPr>
          <w:p>
            <w:pPr>
              <w:ind w:left="780"/>
              <w:spacing w:after="0"/>
              <w:rPr>
                <w:sz w:val="20"/>
                <w:szCs w:val="20"/>
                <w:color w:val="auto"/>
              </w:rPr>
            </w:pPr>
            <w:r>
              <w:rPr>
                <w:rFonts w:ascii="Arial" w:cs="Arial" w:eastAsia="Arial" w:hAnsi="Arial"/>
                <w:sz w:val="22"/>
                <w:szCs w:val="22"/>
                <w:color w:val="auto"/>
              </w:rPr>
              <w:t>Enrique Salem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5000</w:t>
            </w:r>
          </w:p>
        </w:tc>
        <w:tc>
          <w:tcPr>
            <w:tcW w:w="1280" w:type="dxa"/>
            <w:vAlign w:val="bottom"/>
          </w:tcPr>
          <w:p>
            <w:pPr>
              <w:jc w:val="right"/>
              <w:ind w:right="452"/>
              <w:spacing w:after="0"/>
              <w:rPr>
                <w:sz w:val="20"/>
                <w:szCs w:val="20"/>
                <w:color w:val="auto"/>
              </w:rPr>
            </w:pPr>
            <w:r>
              <w:rPr>
                <w:rFonts w:ascii="Arial" w:cs="Arial" w:eastAsia="Arial" w:hAnsi="Arial"/>
                <w:sz w:val="22"/>
                <w:szCs w:val="22"/>
                <w:color w:val="auto"/>
                <w:w w:val="95"/>
              </w:rPr>
              <w:t>159800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53"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Voting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Conversion of</w:t>
      </w:r>
    </w:p>
    <w:p>
      <w:pPr>
        <w:ind w:left="980"/>
        <w:spacing w:after="0" w:line="238" w:lineRule="auto"/>
        <w:rPr>
          <w:sz w:val="20"/>
          <w:szCs w:val="20"/>
          <w:color w:val="auto"/>
        </w:rPr>
      </w:pPr>
      <w:r>
        <w:rPr>
          <w:rFonts w:ascii="Arial" w:cs="Arial" w:eastAsia="Arial" w:hAnsi="Arial"/>
          <w:sz w:val="22"/>
          <w:szCs w:val="22"/>
          <w:color w:val="auto"/>
        </w:rPr>
        <w:t>preferred stock</w:t>
      </w:r>
    </w:p>
    <w:p>
      <w:pPr>
        <w:ind w:left="980"/>
        <w:spacing w:after="0" w:line="230" w:lineRule="auto"/>
        <w:rPr>
          <w:sz w:val="20"/>
          <w:szCs w:val="20"/>
          <w:color w:val="auto"/>
        </w:rPr>
      </w:pPr>
      <w:r>
        <w:rPr>
          <w:rFonts w:ascii="Arial" w:cs="Arial" w:eastAsia="Arial" w:hAnsi="Arial"/>
          <w:sz w:val="22"/>
          <w:szCs w:val="22"/>
          <w:color w:val="auto"/>
        </w:rPr>
        <w:t>purchased prior to</w:t>
      </w:r>
    </w:p>
    <w:p>
      <w:pPr>
        <w:ind w:left="980"/>
        <w:spacing w:after="0" w:line="231" w:lineRule="auto"/>
        <w:rPr>
          <w:sz w:val="20"/>
          <w:szCs w:val="20"/>
          <w:color w:val="auto"/>
        </w:rPr>
      </w:pPr>
      <w:r>
        <w:rPr>
          <w:rFonts w:ascii="Arial" w:cs="Arial" w:eastAsia="Arial" w:hAnsi="Arial"/>
          <w:sz w:val="22"/>
          <w:szCs w:val="22"/>
          <w:color w:val="auto"/>
        </w:rPr>
        <w:t>the IPO into Class</w:t>
      </w:r>
    </w:p>
    <w:p>
      <w:pPr>
        <w:ind w:left="980"/>
        <w:spacing w:after="0" w:line="230" w:lineRule="auto"/>
        <w:rPr>
          <w:sz w:val="20"/>
          <w:szCs w:val="20"/>
          <w:color w:val="auto"/>
        </w:rPr>
      </w:pPr>
      <w:r>
        <w:rPr>
          <w:rFonts w:ascii="Arial" w:cs="Arial" w:eastAsia="Arial" w:hAnsi="Arial"/>
          <w:sz w:val="22"/>
          <w:szCs w:val="22"/>
          <w:color w:val="auto"/>
        </w:rPr>
        <w:t>A Common Stock,</w:t>
      </w:r>
    </w:p>
    <w:p>
      <w:pPr>
        <w:ind w:left="980"/>
        <w:spacing w:after="0" w:line="231" w:lineRule="auto"/>
        <w:rPr>
          <w:sz w:val="20"/>
          <w:szCs w:val="20"/>
          <w:color w:val="auto"/>
        </w:rPr>
      </w:pPr>
      <w:r>
        <w:rPr>
          <w:rFonts w:ascii="Arial" w:cs="Arial" w:eastAsia="Arial" w:hAnsi="Arial"/>
          <w:sz w:val="22"/>
          <w:szCs w:val="22"/>
          <w:color w:val="auto"/>
        </w:rPr>
        <w:t>reclassification of</w:t>
      </w:r>
    </w:p>
    <w:p>
      <w:pPr>
        <w:ind w:left="980" w:right="680" w:hanging="1037"/>
        <w:spacing w:after="0"/>
        <w:tabs>
          <w:tab w:leader="none" w:pos="2700" w:val="left"/>
        </w:tabs>
        <w:rPr>
          <w:sz w:val="20"/>
          <w:szCs w:val="20"/>
          <w:color w:val="auto"/>
        </w:rPr>
      </w:pPr>
      <w:r>
        <w:rPr>
          <w:rFonts w:ascii="Arial" w:cs="Arial" w:eastAsia="Arial" w:hAnsi="Arial"/>
          <w:sz w:val="22"/>
          <w:szCs w:val="22"/>
          <w:color w:val="auto"/>
        </w:rPr>
        <w:t>05/28/2021 the Class A</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5000 Common Stock</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into Voting</w:t>
      </w:r>
    </w:p>
    <w:p>
      <w:pPr>
        <w:ind w:left="980"/>
        <w:spacing w:after="0" w:line="230" w:lineRule="auto"/>
        <w:rPr>
          <w:sz w:val="20"/>
          <w:szCs w:val="20"/>
          <w:color w:val="auto"/>
        </w:rPr>
      </w:pPr>
      <w:r>
        <w:rPr>
          <w:rFonts w:ascii="Arial" w:cs="Arial" w:eastAsia="Arial" w:hAnsi="Arial"/>
          <w:sz w:val="22"/>
          <w:szCs w:val="22"/>
          <w:color w:val="auto"/>
        </w:rPr>
        <w:t>Common Stock</w:t>
      </w:r>
    </w:p>
    <w:p>
      <w:pPr>
        <w:ind w:left="980"/>
        <w:spacing w:after="0" w:line="231" w:lineRule="auto"/>
        <w:rPr>
          <w:sz w:val="20"/>
          <w:szCs w:val="20"/>
          <w:color w:val="auto"/>
        </w:rPr>
      </w:pPr>
      <w:r>
        <w:rPr>
          <w:rFonts w:ascii="Arial" w:cs="Arial" w:eastAsia="Arial" w:hAnsi="Arial"/>
          <w:sz w:val="22"/>
          <w:szCs w:val="22"/>
          <w:color w:val="auto"/>
        </w:rPr>
        <w:t>and a subsequent</w:t>
      </w:r>
    </w:p>
    <w:p>
      <w:pPr>
        <w:ind w:left="980"/>
        <w:spacing w:after="0" w:line="230" w:lineRule="auto"/>
        <w:rPr>
          <w:sz w:val="20"/>
          <w:szCs w:val="20"/>
          <w:color w:val="auto"/>
        </w:rPr>
      </w:pPr>
      <w:r>
        <w:rPr>
          <w:rFonts w:ascii="Arial" w:cs="Arial" w:eastAsia="Arial" w:hAnsi="Arial"/>
          <w:sz w:val="22"/>
          <w:szCs w:val="22"/>
          <w:color w:val="auto"/>
        </w:rPr>
        <w:t>pro-rata</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distribution in-kind</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500" w:lineRule="exact"/>
        <w:rPr>
          <w:sz w:val="20"/>
          <w:szCs w:val="20"/>
          <w:color w:val="auto"/>
        </w:rPr>
      </w:pPr>
    </w:p>
    <w:p>
      <w:pPr>
        <w:sectPr>
          <w:pgSz w:w="11900" w:h="16838" w:orient="portrait"/>
          <w:cols w:equalWidth="0" w:num="3">
            <w:col w:w="1400" w:space="180"/>
            <w:col w:w="6760" w:space="180"/>
            <w:col w:w="272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00" w:type="dxa"/>
            <w:vAlign w:val="bottom"/>
          </w:tcPr>
          <w:p>
            <w:pPr>
              <w:spacing w:after="0"/>
              <w:rPr>
                <w:sz w:val="20"/>
                <w:szCs w:val="20"/>
                <w:color w:val="auto"/>
              </w:rPr>
            </w:pPr>
            <w:r>
              <w:rPr>
                <w:rFonts w:ascii="Arial" w:cs="Arial" w:eastAsia="Arial" w:hAnsi="Arial"/>
                <w:sz w:val="22"/>
                <w:szCs w:val="22"/>
                <w:color w:val="auto"/>
              </w:rPr>
              <w:t>Remarks</w:t>
            </w:r>
          </w:p>
        </w:tc>
        <w:tc>
          <w:tcPr>
            <w:tcW w:w="2880" w:type="dxa"/>
            <w:vAlign w:val="bottom"/>
          </w:tcPr>
          <w:p>
            <w:pPr>
              <w:spacing w:after="0"/>
              <w:rPr>
                <w:sz w:val="23"/>
                <w:szCs w:val="23"/>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22"/>
                <w:szCs w:val="22"/>
                <w:color w:val="auto"/>
              </w:rPr>
              <w:t>Date of Notice</w:t>
            </w:r>
          </w:p>
        </w:tc>
        <w:tc>
          <w:tcPr>
            <w:tcW w:w="288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32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Enrique Salem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2023-06-16T17:24:40Z</dcterms:created>
  <dcterms:modified xsi:type="dcterms:W3CDTF">2023-06-16T17:24:40Z</dcterms:modified>
</cp:coreProperties>
</file>