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03/04/2022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252,039</w:t>
            </w:r>
            <w:r>
              <w:rPr>
                <w:rFonts w:ascii="Arial" w:cs="Arial" w:eastAsia="Arial" w:hAnsi="Arial"/>
                <w:sz w:val="22"/>
                <w:szCs w:val="22"/>
                <w:color w:val="008000"/>
                <w:w w:val="9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1,186,171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The RSU vests with respect to 25% of the shares on March 4, 2023, with the remainder vesting in equal quarterly installments over the following three years, provided that the Reporting Person has provided continuous service to the Issuer through the applicable vesting date.</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2022-03-08T16:10:07Z</dcterms:created>
  <dcterms:modified xsi:type="dcterms:W3CDTF">2022-03-08T16:10:07Z</dcterms:modified>
</cp:coreProperties>
</file>